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E43947E7-30AA-4ED0-908F-E2E40F0E1687" style="width:451.35pt;height:352.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MEABHRÁN MÍNIÚCHÁIN</w:t>
      </w:r>
    </w:p>
    <w:p>
      <w:pPr>
        <w:pStyle w:val="ManualHeading1"/>
        <w:rPr>
          <w:rFonts w:eastAsia="Arial Unicode MS"/>
          <w:noProof/>
        </w:rPr>
      </w:pPr>
      <w:r>
        <w:t>1.</w:t>
      </w:r>
      <w:r>
        <w:tab/>
      </w:r>
      <w:r>
        <w:rPr>
          <w:noProof/>
        </w:rPr>
        <w:t>Ábhar an togra</w:t>
      </w:r>
    </w:p>
    <w:p>
      <w:pPr>
        <w:rPr>
          <w:rFonts w:eastAsia="Arial Unicode MS"/>
          <w:noProof/>
        </w:rPr>
      </w:pPr>
      <w:r>
        <w:rPr>
          <w:noProof/>
        </w:rPr>
        <w:t>Baineann an togra seo leis an gcinneadh lena mbunaítear an seasamh a ghlacfar thar ceann an Aontais ag cruinnithe de Chomhairle agus de Thionól an Údaráis Idirnáisiúnta um Ghrinneall na Farraige i ndáil le glacadh agus cur chun feidhme beartaithe na rialachán maidir le saothrú acmhainní mianraí sa Limistéar (ISBA/25/C/WP.1) agus na gcaighdeán agus na dtreoirlínte gaolmhara.</w:t>
      </w:r>
    </w:p>
    <w:p>
      <w:pPr>
        <w:pStyle w:val="ManualHeading1"/>
        <w:rPr>
          <w:noProof/>
        </w:rPr>
      </w:pPr>
      <w:r>
        <w:t>2.</w:t>
      </w:r>
      <w:r>
        <w:tab/>
      </w:r>
      <w:r>
        <w:rPr>
          <w:noProof/>
        </w:rPr>
        <w:t>Comhthéacs an togra</w:t>
      </w:r>
    </w:p>
    <w:p>
      <w:pPr>
        <w:pStyle w:val="ManualHeading2"/>
        <w:rPr>
          <w:noProof/>
        </w:rPr>
      </w:pPr>
      <w:r>
        <w:t>2.1.</w:t>
      </w:r>
      <w:r>
        <w:tab/>
      </w:r>
      <w:r>
        <w:rPr>
          <w:noProof/>
        </w:rPr>
        <w:t>Na dréacht-rialacháin maidir le saothrú acmhainní mianraí sa Limistéar</w:t>
      </w:r>
    </w:p>
    <w:p>
      <w:pPr>
        <w:rPr>
          <w:noProof/>
        </w:rPr>
      </w:pPr>
      <w:r>
        <w:rPr>
          <w:noProof/>
        </w:rPr>
        <w:t>Is é is aidhm do na dréacht</w:t>
      </w:r>
      <w:r>
        <w:rPr>
          <w:noProof/>
        </w:rPr>
        <w:noBreakHyphen/>
        <w:t>rialacháin maidir le saothrú acmhainní mianraí sa Limistéar</w:t>
      </w:r>
      <w:r>
        <w:t xml:space="preserve"> </w:t>
      </w:r>
      <w:r>
        <w:rPr>
          <w:noProof/>
        </w:rPr>
        <w:t>(‘na Rialacháin’) a chur ar a gcumas do na conraitheoirí tiontú ó thaiscéalaíocht acmhainní mianraí sa Limistéar go dtí saothrú na n</w:t>
      </w:r>
      <w:r>
        <w:rPr>
          <w:noProof/>
        </w:rPr>
        <w:noBreakHyphen/>
        <w:t>acmhainní sin. Scaipeadh na dréacht</w:t>
      </w:r>
      <w:r>
        <w:rPr>
          <w:noProof/>
        </w:rPr>
        <w:noBreakHyphen/>
        <w:t>rialacháin a d’ullmhaigh Coimisiún Dlí agus Teicniúil an Údaráis Idirnáisiúnta um Ghrinneall na Farraige i mí an Mhárta 2019 agus tá siad á gcaibidliú faoi láthair ag Comhairle an Údaráis Idirnáisiúnta um Ghrinneall na Farraige. Dréachtaítear na rialacháin i gcomhréir le cuid XI de Choinbhinsiún na Náisiún Aontaithe maidir le Dlí na Farraige (UNCLOS) agus i gcomhréir leis an gcomhaontú a bhaineann le Cuid XI de UNCLOS a chur chun feidhme. Ceanglaítear leis na dréachtrialacháin go dtabharfar aghaidh ar shaincheisteanna áirithe i gcomhréir le caighdeáin agus treoirlínte a fhorbróidh orgáin an Údaráis Idirnáisiúnta um Ghrinneall na Farraige, nó na caighdeáin agus treoirlínte sin á gcur san áireamh. Beidh na caighdeáin ceangailteach ó thaobh dlí ar Chonraitheoirí agus ar an Údarás Idirnáisiúnta um Ghrinneall na Farraige, ach ní bheidh sna treoirlínte ach moladh. Tá an tAontas Eorpach ina pháirtí in UNCLOS</w:t>
      </w:r>
      <w:r>
        <w:rPr>
          <w:rStyle w:val="FootnoteReference"/>
          <w:rFonts w:eastAsia="Arial Unicode MS"/>
          <w:noProof/>
        </w:rPr>
        <w:footnoteReference w:id="1"/>
      </w:r>
      <w:r>
        <w:rPr>
          <w:noProof/>
        </w:rPr>
        <w:t>. De bhun Airteagal 2 de Chinneadh 98/392/CE ón gComhairle an 23 Márta 1998, comhordóidh an tAontas agus a Bhallstáit na seasaimh a ghlacfaidh siad i gcomhlachtaí an Údaráis Idirnáisiúnta um Ghrinneall na Farraige i gcomhréir leis an nós imeachta a leagtar síos in Iarscríbhinn III</w:t>
      </w:r>
      <w:r>
        <w:rPr>
          <w:rStyle w:val="FootnoteReference"/>
          <w:noProof/>
        </w:rPr>
        <w:footnoteReference w:id="2"/>
      </w:r>
      <w:r>
        <w:rPr>
          <w:noProof/>
        </w:rPr>
        <w:t xml:space="preserve">. </w:t>
      </w:r>
    </w:p>
    <w:p>
      <w:pPr>
        <w:rPr>
          <w:rFonts w:eastAsia="Arial Unicode MS"/>
          <w:noProof/>
        </w:rPr>
      </w:pPr>
    </w:p>
    <w:p>
      <w:pPr>
        <w:pStyle w:val="ManualHeading2"/>
        <w:rPr>
          <w:noProof/>
        </w:rPr>
      </w:pPr>
      <w:r>
        <w:t>2.2.</w:t>
      </w:r>
      <w:r>
        <w:tab/>
      </w:r>
      <w:r>
        <w:rPr>
          <w:noProof/>
        </w:rPr>
        <w:t>Cruinnithe de Chomhairle an Údaráis Idirnáisiúnta um Ghrinneall na Farraige</w:t>
      </w:r>
    </w:p>
    <w:p>
      <w:pPr>
        <w:rPr>
          <w:rFonts w:eastAsia="Arial Unicode MS"/>
          <w:noProof/>
        </w:rPr>
      </w:pPr>
      <w:r>
        <w:rPr>
          <w:noProof/>
        </w:rPr>
        <w:t>Is í an Chomhairle orgán feidhmiúcháin an Údaráis Idirnáisiúnta um Ghrinneall na Farraige. Tá sé laistigh de Chomhairle an Údaráis Idirnáisiúnta um Ghrinneall na Farraige go bhfuil na rialacháin á gcaibidliú agus go nglacfar iad ina dhiaidh sin sula gcuirfear faoi bhráid Thionól an Údaráis Idirnáisiúnta um Ghrinneall na Farraige iad, an t</w:t>
      </w:r>
      <w:r>
        <w:rPr>
          <w:noProof/>
        </w:rPr>
        <w:noBreakHyphen/>
        <w:t xml:space="preserve">orgán uachtarach agus polaitiúil ar a bhfuil 167 chomhalta agus an tAontas Eorpach, chun a fhormheas deiridh a thabhairt. Cuirfidh Comhairle an Údaráis Idirnáisiúnta um Ghrinneall na Farraige na rialacháin i bhfeidhm go sealadach, go dtí go bhformheasfaidh an Tionól iad. Mar pháirtí in UNCLOS, tá an tAontas Eorpach go huathoibríoch ina chomhalta de Thionól an Údaráis Idirnáisiúnta um Ghrinneall na Farraige agus ina bhreathnóir i gComhairle an Údaráis Idirnáisiúnta um Ghrinneall na Farraige, ina bhfuil 36 chomhalta arna dtoghadh ag an Tionól. Mar riail ghinearálta, ba cheart gur trí chomhthoil a dhéanfaí an chinnteoireacht i gComhairle an </w:t>
      </w:r>
      <w:r>
        <w:rPr>
          <w:noProof/>
        </w:rPr>
        <w:lastRenderedPageBreak/>
        <w:t xml:space="preserve">Údaráis Idirnáisiúnta um Ghrinneall na Farraige. Má theipeann ar gach iarracht chun teacht ar chinneadh trí chomhthoil, déanfaidh tromlach comhaltaí, agus iad i láthair agus ag vótáil, na cinntí faoi cheisteanna nós imeachta, agus déanfaidh dhá thrian de na comhaltaí, agus iad i láthair agus ag vótáil, cinntí faoi cheisteanna substainte. Mar bhreathnóir i gComhairle an Údaráis Idirnáisiúnta um Ghrinneall na Farraige, níl aon cheart vótála ag an Aontas. Mar sin féin, tá cearta rannpháirtíochta agus vótála ag an Aontas i gComhthionól an Údaráis Idirnáisiúnta um Ghrinneall na Farraige. </w:t>
      </w:r>
    </w:p>
    <w:p>
      <w:pPr>
        <w:pStyle w:val="ManualHeading2"/>
        <w:rPr>
          <w:noProof/>
        </w:rPr>
      </w:pPr>
      <w:r>
        <w:t>2.3.</w:t>
      </w:r>
      <w:r>
        <w:tab/>
      </w:r>
      <w:r>
        <w:rPr>
          <w:noProof/>
        </w:rPr>
        <w:t>An togra maidir le rialacháin a bheith á nglacadh go sealadach ag Comhairle an Údaráis Idirnáisiúnta um Ghrinneall na Farraige</w:t>
      </w:r>
    </w:p>
    <w:p>
      <w:pPr>
        <w:rPr>
          <w:rFonts w:eastAsia="Arial Unicode MS"/>
          <w:noProof/>
        </w:rPr>
      </w:pPr>
      <w:r>
        <w:rPr>
          <w:noProof/>
        </w:rPr>
        <w:t>Cuireadh an chéad dréacht de na rialacháin i láthair ag an 23</w:t>
      </w:r>
      <w:r>
        <w:rPr>
          <w:noProof/>
          <w:vertAlign w:val="superscript"/>
        </w:rPr>
        <w:t>ú</w:t>
      </w:r>
      <w:r>
        <w:rPr>
          <w:noProof/>
        </w:rPr>
        <w:t xml:space="preserve"> seisiún de Chomhairle an Údaráis Idirnáisiúnta um Ghrinneall na Farraige i mí Lúnasa 2017. Chomhaontaigh Coimisiún Dlí agus Teicniúil an Údaráis um Ghrinneall na Farraige mar aon leis an gComhairle sceideal lena ndírítear ar an gcaibidlíocht ar na rialacháin a thabhairt chun críche faoi 2020, ach de dheasca phaindéim Covid</w:t>
      </w:r>
      <w:r>
        <w:rPr>
          <w:noProof/>
        </w:rPr>
        <w:noBreakHyphen/>
        <w:t>19, áfach, tá an 26</w:t>
      </w:r>
      <w:r>
        <w:rPr>
          <w:noProof/>
          <w:vertAlign w:val="superscript"/>
        </w:rPr>
        <w:t>ú</w:t>
      </w:r>
      <w:r>
        <w:rPr>
          <w:noProof/>
        </w:rPr>
        <w:t xml:space="preserve"> seisiún den Chomhairle a beartaíodh do mhí Iúil 2020 curtha siar go dtí go bhfógrófar a mhalairt</w:t>
      </w:r>
    </w:p>
    <w:p>
      <w:pPr>
        <w:rPr>
          <w:noProof/>
        </w:rPr>
      </w:pPr>
      <w:r>
        <w:rPr>
          <w:noProof/>
        </w:rPr>
        <w:t xml:space="preserve">Beidh na rialacháin atá beartaithe ceangailteach ó thaobh dlí ar na páirtithe i gcomhréir le UNCLOS agus le Comhaontú 1994 maidir le Cuid XI de UNCLOS a chur chun feidhme. </w:t>
      </w:r>
    </w:p>
    <w:p>
      <w:pPr>
        <w:rPr>
          <w:b/>
          <w:noProof/>
        </w:rPr>
      </w:pPr>
      <w:r>
        <w:rPr>
          <w:b/>
          <w:noProof/>
        </w:rPr>
        <w:t>2.4</w:t>
      </w:r>
      <w:r>
        <w:rPr>
          <w:b/>
          <w:noProof/>
        </w:rPr>
        <w:tab/>
        <w:t>An formheas atá beartaithe a dhéanamh ar na rialacháin ag Tionól an Údaráis Idirnáisiúnta um Ghrinneall na Farraige</w:t>
      </w:r>
    </w:p>
    <w:p>
      <w:pPr>
        <w:rPr>
          <w:noProof/>
        </w:rPr>
      </w:pPr>
      <w:r>
        <w:rPr>
          <w:noProof/>
        </w:rPr>
        <w:t xml:space="preserve">A luaithe a chuirfidh Comhairle an Údaráis Idirnáisiúnta um Ghrinneall na Farraige bailchríoch ar an gcaibidlíocht maidir leis na rialacháin agus a luaithe a bheidh sí in ann iad a ghlacadh go sealadach, cuirfear na rialacháin faoi bhráid Thionól an Údaráis Idirnáisiúnta um Ghrinneall na Farraige ionas gur féidir leis iad a bhreithniú agus a fhormheas go críochnaitheach. </w:t>
      </w:r>
    </w:p>
    <w:p>
      <w:pPr>
        <w:pStyle w:val="ManualHeading1"/>
        <w:rPr>
          <w:rFonts w:eastAsia="Arial Unicode MS"/>
          <w:noProof/>
        </w:rPr>
      </w:pPr>
      <w:r>
        <w:t>3.</w:t>
      </w:r>
      <w:r>
        <w:tab/>
      </w:r>
      <w:r>
        <w:rPr>
          <w:noProof/>
        </w:rPr>
        <w:t>An seasamh a ghlacfar thar ceann an Aontais</w:t>
      </w:r>
    </w:p>
    <w:p>
      <w:pPr>
        <w:rPr>
          <w:b/>
          <w:bCs/>
          <w:smallCaps/>
          <w:noProof/>
        </w:rPr>
      </w:pPr>
      <w:r>
        <w:rPr>
          <w:noProof/>
        </w:rPr>
        <w:t xml:space="preserve">Baineann na rialacháin atá beartaithe freisin le nithe substainteacha a bhfuil inniúlacht sheachtrach ag an Aontas ina leith de bhua Airteagal 3(2) CFAE. </w:t>
      </w:r>
    </w:p>
    <w:p>
      <w:pPr>
        <w:rPr>
          <w:b/>
          <w:bCs/>
          <w:smallCaps/>
          <w:noProof/>
        </w:rPr>
      </w:pPr>
      <w:r>
        <w:rPr>
          <w:noProof/>
        </w:rPr>
        <w:t>Go háirithe, tá inniúlacht ag an Aontas maidir leis na codanna sin de na rialacháin a bhaineann le cosaint na muirthimpeallachta. De réir struchtúr Airteagal 3(2) CFAE, tá inniúlacht sheachtrach ag an Aontas de réir an cháis. Ar an gcéad dul síos, de bhrí go bhforáiltear maidir le forálacha UNCLOS a bhaineann leis an muirthimpeallacht sa ghníomh reachtach lena dtugtar UNCLOS i gcrích thar ceann an Aontais</w:t>
      </w:r>
      <w:r>
        <w:rPr>
          <w:rStyle w:val="FootnoteReference"/>
          <w:rFonts w:eastAsia="Arial Unicode MS"/>
          <w:noProof/>
        </w:rPr>
        <w:footnoteReference w:id="3"/>
      </w:r>
      <w:r>
        <w:rPr>
          <w:noProof/>
        </w:rPr>
        <w:t xml:space="preserve">. Ar an dara dul síos, toisc go bhfuil gá le gníomhaíocht ón Aontas maidir leis na rialacháin chun é a chur ar a chumas don Aontas a inniúlacht inmheánach a fheidhmiú, amhail i gcás na hinniúlachta comhshaoil atá faighte aige. Ar deireadh, tá inniúlacht sheachtrach ag an Aontas ós rud é go bhféadfadh roinnt forálacha sa rialachán difear a dhéanamh do rialacha comhchoiteanna nó a raon feidhme a athrú. Anseo, cumhdaítear </w:t>
      </w:r>
      <w:r>
        <w:rPr>
          <w:i/>
          <w:iCs/>
          <w:noProof/>
        </w:rPr>
        <w:t>acquis</w:t>
      </w:r>
      <w:r>
        <w:rPr>
          <w:noProof/>
        </w:rPr>
        <w:t xml:space="preserve"> an Aontais (go háirithe maidir le reachtaíocht thánaisteach an Aontais i réimse an chomhshaoil, agus comhaontuithe idirnáisiúnta eile a bhfuil an tAontas ina pháirtí iomlán iontu) nó d’fhéadfadh codanna de na dréachtrialacháin (nó de na caighdeáin agus de na treoirlínte gaolmhara) difear a dhéanamh dó, rud a thugann inniúlacht don Aontas maidir leis na codanna sonracha sin, a bhfuil cuid acu eisiach.</w:t>
      </w:r>
    </w:p>
    <w:p>
      <w:pPr>
        <w:rPr>
          <w:b/>
          <w:bCs/>
          <w:smallCaps/>
          <w:noProof/>
        </w:rPr>
      </w:pPr>
      <w:r>
        <w:rPr>
          <w:noProof/>
        </w:rPr>
        <w:t xml:space="preserve">Dá thoradh sin, tá an tAontas i dteideal a bheith i láthair ag an Údarás Idirnáisiúnta um Ghrinneall na Farraige i ndáil leis na codanna ábhartha de na rialacháin a chuirtear i láthair sa ráiteas seo, agus i ndáil leis na caighdeáin agus na treoirlínte gaolmhara. Thairis sin, le </w:t>
      </w:r>
      <w:r>
        <w:rPr>
          <w:noProof/>
        </w:rPr>
        <w:lastRenderedPageBreak/>
        <w:t xml:space="preserve">prionsabal an chomhair dhílis ceanglaítear ar na Ballstáit gníomhú ar bhealach áirithe in imeachtaí an Údaráis Idirnáisiúnta um Ghrinneall na Farraige. </w:t>
      </w:r>
    </w:p>
    <w:p>
      <w:pPr>
        <w:rPr>
          <w:b/>
          <w:bCs/>
          <w:smallCaps/>
          <w:noProof/>
        </w:rPr>
      </w:pPr>
      <w:r>
        <w:rPr>
          <w:noProof/>
        </w:rPr>
        <w:t>Tá sé beartaithe an seasamh a ghlacfar thar ceann an Aontais ag cruinnithe de Chomhairle agus de Thionól an Údaráis Idirnáisiúnta um Ghrinneall na Farraige a bhunú de réir cur chuige dhá shraith. Leagfar amach le Cinneadh ón gComhairle bunphrionsabail agus treoshuímh sheasamh an Aontais, agus, dá éis sin, déanfar an seasamh a choigeartú le haghaidh gach cruinnithe le páipéir leathoifigiúla ón gCoimisiún a phléifear i Meitheal na Comhairle.</w:t>
      </w:r>
    </w:p>
    <w:p>
      <w:pPr>
        <w:pStyle w:val="Text1"/>
        <w:ind w:left="0"/>
        <w:rPr>
          <w:noProof/>
        </w:rPr>
      </w:pPr>
      <w:r>
        <w:rPr>
          <w:noProof/>
        </w:rPr>
        <w:t xml:space="preserve">Cuimsítear sa chinneadh seo prionsabail UNCLOS agus cuspóirí Mhargadh Glas na hEorpa, </w:t>
      </w:r>
      <w:r>
        <w:rPr>
          <w:rStyle w:val="FootnoteReference"/>
          <w:noProof/>
        </w:rPr>
        <w:footnoteReference w:id="4"/>
      </w:r>
      <w:r>
        <w:rPr>
          <w:noProof/>
        </w:rPr>
        <w:t>an Straitéis Bhithéagsúlachta</w:t>
      </w:r>
      <w:r>
        <w:rPr>
          <w:rStyle w:val="FootnoteReference"/>
          <w:noProof/>
        </w:rPr>
        <w:footnoteReference w:id="5"/>
      </w:r>
      <w:r>
        <w:rPr>
          <w:noProof/>
        </w:rPr>
        <w:t xml:space="preserve"> mar a iarradh sna Conclúidí ón gComhairle maidir leis an ullmhúchán le haghaidh Creat</w:t>
      </w:r>
      <w:r>
        <w:rPr>
          <w:noProof/>
        </w:rPr>
        <w:noBreakHyphen/>
        <w:t>Choinbhinsiún Domhanda um Bithéagsúlacht i ndiaidh 2020 maidir leis an Éagsúlacht Bhitheolaíoch (CBD)</w:t>
      </w:r>
      <w:r>
        <w:rPr>
          <w:rStyle w:val="FootnoteReference"/>
          <w:noProof/>
        </w:rPr>
        <w:footnoteReference w:id="6"/>
      </w:r>
      <w:r>
        <w:rPr>
          <w:noProof/>
        </w:rPr>
        <w:t xml:space="preserve">. </w:t>
      </w:r>
    </w:p>
    <w:p>
      <w:pPr>
        <w:rPr>
          <w:noProof/>
        </w:rPr>
      </w:pPr>
      <w:r>
        <w:rPr>
          <w:noProof/>
        </w:rPr>
        <w:t>Bunús dlí</w:t>
      </w:r>
    </w:p>
    <w:p>
      <w:pPr>
        <w:pStyle w:val="ManualHeading2"/>
        <w:rPr>
          <w:noProof/>
        </w:rPr>
      </w:pPr>
      <w:r>
        <w:t>3.1.</w:t>
      </w:r>
      <w:r>
        <w:tab/>
      </w:r>
      <w:r>
        <w:rPr>
          <w:noProof/>
        </w:rPr>
        <w:t>Bunús dlí le don nós imeachta</w:t>
      </w:r>
    </w:p>
    <w:p>
      <w:pPr>
        <w:pStyle w:val="ManualHeading3"/>
        <w:rPr>
          <w:noProof/>
        </w:rPr>
      </w:pPr>
      <w:r>
        <w:t>3.1.1.</w:t>
      </w:r>
      <w:r>
        <w:tab/>
      </w:r>
      <w:r>
        <w:rPr>
          <w:noProof/>
        </w:rPr>
        <w:t>Prionsabail</w:t>
      </w:r>
    </w:p>
    <w:p>
      <w:pPr>
        <w:rPr>
          <w:noProof/>
        </w:rPr>
      </w:pPr>
      <w:r>
        <w:rPr>
          <w:noProof/>
        </w:rPr>
        <w:t>In Airteagal 218(9) den Chonradh ar Fheidhmiú an Aontais Eorpaigh (CFAE) foráiltear maidir le cinntí lena leagtar síos ‘</w:t>
      </w:r>
      <w:r>
        <w:rPr>
          <w:i/>
          <w:noProof/>
        </w:rPr>
        <w:t>na seasaimh a ghlacfar thar ceann an Aontais i gcomhlacht arna chur ar bun le comhaontú nuair a iarrtar ar an gcomhlacht sin gníomhartha a ghlacadh a bhfuil éifeachtaí dlíthiúla leo, seachas gníomhartha lena bhforlíonfar nó lena leasófar creat institiúideach an chomhaontaithe.</w:t>
      </w:r>
      <w:r>
        <w:rPr>
          <w:noProof/>
        </w:rPr>
        <w:t>’</w:t>
      </w:r>
    </w:p>
    <w:p>
      <w:pPr>
        <w:rPr>
          <w:noProof/>
        </w:rPr>
      </w:pPr>
      <w:r>
        <w:rPr>
          <w:noProof/>
        </w:rPr>
        <w:t>Áirítear ar na ‘</w:t>
      </w:r>
      <w:r>
        <w:rPr>
          <w:i/>
          <w:noProof/>
        </w:rPr>
        <w:t>gníomhartha a bhfuil éifeachtaí dlíthiúla leo</w:t>
      </w:r>
      <w:r>
        <w:rPr>
          <w:noProof/>
        </w:rPr>
        <w:t>’ gníomhartha a bhfuil éifeachtaí dlíthiúla leo de bhua rialacha an dlí idirnáisiúnta lena rialaítear an comhlacht atá i gceist. Áirítear orthu freisin ionstraimí nach bhfuil éifeacht cheangailteach leo faoin dlí idirnáisiúnta, ach ‘</w:t>
      </w:r>
      <w:r>
        <w:rPr>
          <w:i/>
          <w:noProof/>
        </w:rPr>
        <w:t>a bhféadfadh tionchar cinntitheach a bheith acu ar ábhar na reachtaíochta a ghlacfaidh reachtas an Aontais</w:t>
      </w:r>
      <w:r>
        <w:rPr>
          <w:noProof/>
        </w:rPr>
        <w:t>’</w:t>
      </w:r>
      <w:r>
        <w:rPr>
          <w:rStyle w:val="FootnoteReference"/>
          <w:noProof/>
        </w:rPr>
        <w:footnoteReference w:id="7"/>
      </w:r>
      <w:r>
        <w:rPr>
          <w:noProof/>
        </w:rPr>
        <w:t>.</w:t>
      </w:r>
    </w:p>
    <w:p>
      <w:pPr>
        <w:rPr>
          <w:noProof/>
        </w:rPr>
      </w:pPr>
    </w:p>
    <w:p>
      <w:pPr>
        <w:pStyle w:val="ManualHeading3"/>
        <w:rPr>
          <w:noProof/>
        </w:rPr>
      </w:pPr>
      <w:r>
        <w:t>3.1.2.</w:t>
      </w:r>
      <w:r>
        <w:tab/>
      </w:r>
      <w:r>
        <w:rPr>
          <w:noProof/>
        </w:rPr>
        <w:t>Feidhm maidir leis an gcás seo</w:t>
      </w:r>
    </w:p>
    <w:p>
      <w:pPr>
        <w:rPr>
          <w:noProof/>
        </w:rPr>
      </w:pPr>
      <w:r>
        <w:rPr>
          <w:noProof/>
        </w:rPr>
        <w:t xml:space="preserve">Tá Comhairle agus Tionól Idirnáisiúnta an Údaráis ar dhá cheann de thrí phríomhorgán an Údaráis a bunaíodh le hAirteagal 158 UNCLOS. </w:t>
      </w:r>
    </w:p>
    <w:p>
      <w:r>
        <w:rPr>
          <w:noProof/>
        </w:rPr>
        <w:t>Na rialacháin a bhfuiltear ag iarraidh ar Chomhairle an Údaráis Idirnáisiúnta um Ghrinneall na Farraige iad a ghlacadh, is gníomh iad a bhfuil éifeachtaí dlíthiúla aige. Is gníomh a bhfuil éifeachtaí dlíthiúla aige é formheas deiridh na rialachán ag Tionól an Údaráis Idirnáisiúnta um Ghrinneall na Farraige freisin. Beidh na gníomhartha atá beartaithe ceangailteach faoin dlí idirnáisiúnta i gcomhréir le hAirteagail 145, 153 agus 162 de UNCLOS agus leis an gComhaontú a bhaineann le Cuid XI de UNCLOS a chur chun feidhme.</w:t>
      </w:r>
    </w:p>
    <w:p>
      <w:pPr>
        <w:rPr>
          <w:noProof/>
        </w:rPr>
      </w:pPr>
      <w:r>
        <w:rPr>
          <w:noProof/>
        </w:rPr>
        <w:t>Leis an ngníomh atá beartaithe, ní fhorlíontar creat institiúideach an Chomhaontaithe ná ní leasaítear é.</w:t>
      </w:r>
    </w:p>
    <w:p>
      <w:pPr>
        <w:rPr>
          <w:noProof/>
        </w:rPr>
      </w:pPr>
      <w:r>
        <w:rPr>
          <w:noProof/>
        </w:rPr>
        <w:t>Dá bhrí sin, is é Airteagal 218(9) CFAE an bunús dlí don nós imeachta maidir leis an gcinneadh atá beartaithe.</w:t>
      </w:r>
    </w:p>
    <w:p>
      <w:pPr>
        <w:pStyle w:val="ManualHeading2"/>
        <w:rPr>
          <w:noProof/>
        </w:rPr>
      </w:pPr>
      <w:r>
        <w:lastRenderedPageBreak/>
        <w:t>3.2.</w:t>
      </w:r>
      <w:r>
        <w:tab/>
      </w:r>
      <w:r>
        <w:rPr>
          <w:noProof/>
        </w:rPr>
        <w:t>Bunús substainteach dlí</w:t>
      </w:r>
    </w:p>
    <w:p>
      <w:pPr>
        <w:pStyle w:val="ManualHeading3"/>
        <w:rPr>
          <w:noProof/>
        </w:rPr>
      </w:pPr>
      <w:r>
        <w:t>3.2.1.</w:t>
      </w:r>
      <w:r>
        <w:tab/>
      </w:r>
      <w:r>
        <w:rPr>
          <w:noProof/>
        </w:rPr>
        <w:t>Prionsabail</w:t>
      </w:r>
    </w:p>
    <w:p>
      <w:pPr>
        <w:rPr>
          <w:noProof/>
        </w:rPr>
      </w:pPr>
      <w:r>
        <w:rPr>
          <w:noProof/>
        </w:rPr>
        <w:t xml:space="preserve">An bunús dlí substainteach le haghaidh cinneadh faoi Airteagal 218(9) CFAE, braitheann sé go príomha ar chuspóir agus ábhar an ghnímh atá beartaithe agus a bhfuiltear ag glacadh seasamh thar ceann an Aontais ina leith. </w:t>
      </w:r>
    </w:p>
    <w:p>
      <w:pPr>
        <w:pStyle w:val="ManualHeading3"/>
        <w:rPr>
          <w:noProof/>
        </w:rPr>
      </w:pPr>
      <w:r>
        <w:t>3.2.2.</w:t>
      </w:r>
      <w:r>
        <w:tab/>
      </w:r>
      <w:r>
        <w:rPr>
          <w:noProof/>
        </w:rPr>
        <w:t>Feidhm maidir leis an gcás seo</w:t>
      </w:r>
    </w:p>
    <w:p>
      <w:pPr>
        <w:rPr>
          <w:noProof/>
        </w:rPr>
      </w:pPr>
      <w:r>
        <w:rPr>
          <w:noProof/>
        </w:rPr>
        <w:t>Is le muiriompar a bhaineann príomhchuspóir agus príomhinneachar an ghnímh atá beartaithe.</w:t>
      </w:r>
    </w:p>
    <w:p>
      <w:pPr>
        <w:rPr>
          <w:noProof/>
        </w:rPr>
      </w:pPr>
      <w:r>
        <w:rPr>
          <w:noProof/>
        </w:rPr>
        <w:t>Dá bhrí sin, is é Airteagal 191 CFAE bunús dlí substainteach an chinnidh atá beartaithe.</w:t>
      </w:r>
    </w:p>
    <w:p>
      <w:pPr>
        <w:rPr>
          <w:noProof/>
        </w:rPr>
      </w:pPr>
    </w:p>
    <w:p>
      <w:pPr>
        <w:pStyle w:val="ManualHeading2"/>
        <w:rPr>
          <w:noProof/>
        </w:rPr>
      </w:pPr>
      <w:r>
        <w:t>3.3.</w:t>
      </w:r>
      <w:r>
        <w:tab/>
      </w:r>
      <w:r>
        <w:rPr>
          <w:noProof/>
        </w:rPr>
        <w:t>Conclúid</w:t>
      </w:r>
    </w:p>
    <w:p>
      <w:pPr>
        <w:rPr>
          <w:noProof/>
        </w:rPr>
      </w:pPr>
      <w:r>
        <w:rPr>
          <w:noProof/>
        </w:rPr>
        <w:t>Ba cheart Airteagal 191 CFAE a bheith ina bhunús dlí leis an gcinneadh atá beartaithe, i gcomhar le hAirteagal 218(9) CFAE.</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2020/0372 (NLE)</w:t>
      </w:r>
    </w:p>
    <w:p>
      <w:pPr>
        <w:pStyle w:val="Statut"/>
        <w:rPr>
          <w:noProof/>
        </w:rPr>
      </w:pPr>
      <w:r>
        <w:rPr>
          <w:noProof/>
        </w:rPr>
        <w:t>Togra le haghaidh</w:t>
      </w:r>
    </w:p>
    <w:p>
      <w:pPr>
        <w:pStyle w:val="Typedudocument"/>
        <w:rPr>
          <w:noProof/>
        </w:rPr>
      </w:pPr>
      <w:r>
        <w:rPr>
          <w:noProof/>
        </w:rPr>
        <w:t>CINNEADH ÓN gCOMHAIRLE</w:t>
      </w:r>
    </w:p>
    <w:p>
      <w:pPr>
        <w:pStyle w:val="Titreobjet"/>
        <w:rPr>
          <w:noProof/>
        </w:rPr>
      </w:pPr>
      <w:r>
        <w:rPr>
          <w:noProof/>
        </w:rPr>
        <w:t>maidir leis an seasamh a ghlacfar thar ceann an Aontais Eorpaigh ag cruinnithe de Chomhairle agus de Thionól Idirnáisiúnta Ghrinneall na Farraige</w:t>
      </w:r>
    </w:p>
    <w:p>
      <w:pPr>
        <w:pStyle w:val="Institutionquiagit"/>
        <w:rPr>
          <w:b/>
          <w:noProof/>
        </w:rPr>
      </w:pPr>
      <w:r>
        <w:rPr>
          <w:b/>
          <w:noProof/>
        </w:rPr>
        <w:t>TÁ COMHAIRLE AN AONTAIS EORPAIGH,</w:t>
      </w:r>
    </w:p>
    <w:p>
      <w:pPr>
        <w:rPr>
          <w:noProof/>
        </w:rPr>
      </w:pPr>
      <w:r>
        <w:rPr>
          <w:noProof/>
        </w:rPr>
        <w:t>Ag féachaint don Chonradh ar Fheidhmiú an Aontais Eorpaigh, agus go háirithe Airteagal 191 CFAE de,</w:t>
      </w:r>
      <w:r>
        <w:t xml:space="preserve"> </w:t>
      </w:r>
      <w:r>
        <w:rPr>
          <w:noProof/>
        </w:rPr>
        <w:t>i gcomhar le hAirteagal 218(9) de,</w:t>
      </w:r>
    </w:p>
    <w:p>
      <w:pPr>
        <w:rPr>
          <w:noProof/>
        </w:rPr>
      </w:pPr>
      <w:r>
        <w:rPr>
          <w:noProof/>
        </w:rPr>
        <w:t>Ag féachaint don togra ón gCoimisiún Eorpach,</w:t>
      </w:r>
    </w:p>
    <w:p>
      <w:pPr>
        <w:rPr>
          <w:noProof/>
        </w:rPr>
      </w:pPr>
      <w:r>
        <w:rPr>
          <w:noProof/>
        </w:rPr>
        <w:t>De bharr an mhéid seo a leanas:</w:t>
      </w:r>
    </w:p>
    <w:p>
      <w:pPr>
        <w:pStyle w:val="ManualConsidrant"/>
        <w:rPr>
          <w:noProof/>
        </w:rPr>
      </w:pPr>
      <w:r>
        <w:t>(1)</w:t>
      </w:r>
      <w:r>
        <w:tab/>
      </w:r>
      <w:r>
        <w:rPr>
          <w:noProof/>
        </w:rPr>
        <w:t xml:space="preserve">Thug an tAontas Coinbhinsiún na Náisiún Aontaithe maidir le Dlí na Farraige (UNCLOS) agus Comhaontú an 28 Iúil 1994 maidir le cur chun feidhme Chuid XI de (‘an Comhaontú’) i gcrích le Cinneadh 98/392/CE ón gComhairle an 23 Márta 1998. </w:t>
      </w:r>
    </w:p>
    <w:p>
      <w:pPr>
        <w:pStyle w:val="ManualConsidrant"/>
        <w:rPr>
          <w:noProof/>
        </w:rPr>
      </w:pPr>
      <w:r>
        <w:t>(2)</w:t>
      </w:r>
      <w:r>
        <w:tab/>
      </w:r>
      <w:r>
        <w:rPr>
          <w:noProof/>
        </w:rPr>
        <w:t>De bhun Airteagal 162(2)(o)(ii) de UNCLOS, féadfaidh Comhairle an Údaráis Idirnáisiúnta um Ghrinneall na Farraige rialacha, rialacháin agus nósanna imeachta an Údaráis, agus aon leasuithe orthu, a ghlacadh agus a chur i bhfeidhm go sealadach, go dtí go bhformheasfaidh an Tionól iad, agus moltaí ón gCoimisiún Dlíthiúil agus Teicniúil nó fo-orgáin eile lena mbaineann á gcur san áireamh. Bainfidh na rialacha, na rialacháin agus na nósanna imeachta seo le sirtheoireacht, taiscéalaíocht agus saothrú sa Limistéar agus le bainistiú airgeadais agus riarachán inmheánach an Údaráis.</w:t>
      </w:r>
    </w:p>
    <w:p>
      <w:pPr>
        <w:pStyle w:val="ManualConsidrant"/>
        <w:rPr>
          <w:noProof/>
          <w:szCs w:val="24"/>
        </w:rPr>
      </w:pPr>
      <w:r>
        <w:t>(3)</w:t>
      </w:r>
      <w:r>
        <w:tab/>
      </w:r>
      <w:r>
        <w:rPr>
          <w:noProof/>
        </w:rPr>
        <w:t xml:space="preserve">Le linn na gcruinnithe atá ar na bacáin, déanfaidh Comhairle an Údaráis Idirnáisiúnta um Ghrinneall na Farraige rialacháin a ghlacadh maidir le saothrú acmhainní mianraí sa Limistéar. </w:t>
      </w:r>
    </w:p>
    <w:p>
      <w:pPr>
        <w:pStyle w:val="ManualConsidrant"/>
        <w:rPr>
          <w:noProof/>
          <w:szCs w:val="24"/>
        </w:rPr>
      </w:pPr>
      <w:r>
        <w:t>(4)</w:t>
      </w:r>
      <w:r>
        <w:tab/>
      </w:r>
      <w:r>
        <w:rPr>
          <w:noProof/>
        </w:rPr>
        <w:t>De bhun Airteagal 160(2)(f)(ii) de UNCLOS, féadfaidh Tionól an Údaráis Idirnáisiúnta um Ghrinneall na Farraige rialacha, rialacháin agus nósanna imeachta an Údaráis, agus aon leasuithe orthu, a ghlac an Chomhairle go sealadach de bhun Airteagal 162, mír 2 (o)(ii), a mheas agus a fhormheas. Bainfidh na rialacha, na rialacháin agus na nósanna imeachta seo le sirtheoireacht, taiscéalaíocht agus saothrú sa Limistéar, le bainistiú airgeadais agus le riarachán inmheánach an Údaráis.</w:t>
      </w:r>
    </w:p>
    <w:p>
      <w:pPr>
        <w:pStyle w:val="ManualConsidrant"/>
        <w:rPr>
          <w:noProof/>
        </w:rPr>
      </w:pPr>
      <w:r>
        <w:t>(5)</w:t>
      </w:r>
      <w:r>
        <w:tab/>
      </w:r>
      <w:r>
        <w:rPr>
          <w:noProof/>
        </w:rPr>
        <w:t>Is iomchuí an seasamh a ghlacfar thar ceann an Aontais i gComhairle agus Tionól an Údaráis Idirnáisiúnta um Ghrinneall na Farraige a bhunú, ós rud é go mbeidh na rialacháin atá beartaithe ina gceangal ar an Aontas, mar pháirtí in UNCLOS agus sa Chomhaontú i ndáil le cur chun feidhme CHUID XI de UNCLOS.</w:t>
      </w:r>
    </w:p>
    <w:p>
      <w:pPr>
        <w:pStyle w:val="ManualConsidrant"/>
        <w:rPr>
          <w:noProof/>
        </w:rPr>
      </w:pPr>
      <w:r>
        <w:t>(6)</w:t>
      </w:r>
      <w:r>
        <w:tab/>
      </w:r>
      <w:r>
        <w:rPr>
          <w:noProof/>
        </w:rPr>
        <w:t xml:space="preserve">Is iomchuí freisin an seasamh a ghlacfar thar ceann an Aontais i gComhairle agus i dTionól an Údaráis Idirnáisiúnta um Ghrinneall na Farraige a bhunú, ós rud é go mbeidh na rialacháin maidir le saothrú acmhainní mianraí sa Limistéar ina gceangal ar an Aontas agus go mbeidh siad in ann tionchar cinntitheach a imirt ar inneachar dhlí an Aontais, go háirithe i réimse chosaint na muirthimpeallachta. </w:t>
      </w:r>
    </w:p>
    <w:p>
      <w:pPr>
        <w:pStyle w:val="ManualConsidrant"/>
        <w:rPr>
          <w:noProof/>
        </w:rPr>
      </w:pPr>
      <w:r>
        <w:lastRenderedPageBreak/>
        <w:t>(7)</w:t>
      </w:r>
      <w:r>
        <w:tab/>
      </w:r>
      <w:r>
        <w:rPr>
          <w:noProof/>
        </w:rPr>
        <w:t xml:space="preserve">I dtaca le nithe a bhaineann le cosaint na muirthimpeallachta, tá an tAontas agus a Bhallstáit faoi cheangal ag prionsabal an réamhchúraim (Airteagal 191 CFAE) agus ag an gcur chuige bunaithe ar an éiceachóras (Treoir 2008/56/CE Airteagal 3.4 agus 3.5, Airteagal 10 agus Iarscríbhinní I agus VI; Aisghairtear Rialachán (AE) Uimh. 1380/2013 Airteagal 2.3; Treoir 2014/89/AE Airteagal 5). Is bonn cirt é creat dlíthiúil seo le hinneachar an tseasaimh a bheartaítear a ghlacadh thar ceann an Aontais. </w:t>
      </w:r>
    </w:p>
    <w:p>
      <w:pPr>
        <w:pStyle w:val="ManualConsidrant"/>
        <w:rPr>
          <w:noProof/>
        </w:rPr>
      </w:pPr>
      <w:r>
        <w:t>(8)</w:t>
      </w:r>
      <w:r>
        <w:tab/>
      </w:r>
      <w:r>
        <w:rPr>
          <w:noProof/>
        </w:rPr>
        <w:t xml:space="preserve">A mhéid atá bac ar an Aontas a sheasamh a chur in iúl i gComhairle an Údaráis Idirnáisiúnta um Ghrinneall na Farraige toisc nach bhfuil ach stádas breathnóra teoranta aige, tá seasamh an Aontais le cur in iúl ag Ballstáit an Aontais ar comhaltaí iad de Chomhairle an Údaráis Idirnáisiúnta um Ghrinneall na Farraige. </w:t>
      </w:r>
    </w:p>
    <w:p>
      <w:pPr>
        <w:pStyle w:val="Formuledadoption"/>
        <w:rPr>
          <w:noProof/>
        </w:rPr>
      </w:pPr>
      <w:r>
        <w:rPr>
          <w:noProof/>
        </w:rPr>
        <w:t>TAR ÉIS AN CINNEADH SEO A GHLACADH:</w:t>
      </w:r>
    </w:p>
    <w:p>
      <w:pPr>
        <w:pStyle w:val="Titrearticle"/>
        <w:rPr>
          <w:noProof/>
        </w:rPr>
      </w:pPr>
      <w:r>
        <w:rPr>
          <w:noProof/>
        </w:rPr>
        <w:t>Airteagal 1</w:t>
      </w:r>
    </w:p>
    <w:p>
      <w:pPr>
        <w:rPr>
          <w:noProof/>
        </w:rPr>
      </w:pPr>
      <w:r>
        <w:rPr>
          <w:noProof/>
        </w:rPr>
        <w:t>Leagtar amach san Iarscríbhinn an seasamh a ghlacfar thar ceann an Aontais i gcruinnithe de Chomhairle agus de Thionól Idirnáisiúnta um Ghrinneall na Farraige.</w:t>
      </w:r>
    </w:p>
    <w:p>
      <w:pPr>
        <w:pStyle w:val="Titrearticle"/>
        <w:rPr>
          <w:noProof/>
        </w:rPr>
      </w:pPr>
      <w:r>
        <w:rPr>
          <w:noProof/>
        </w:rPr>
        <w:t>Airteagal 2</w:t>
      </w:r>
    </w:p>
    <w:p>
      <w:pPr>
        <w:rPr>
          <w:noProof/>
        </w:rPr>
      </w:pPr>
      <w:r>
        <w:rPr>
          <w:noProof/>
        </w:rPr>
        <w:t>Déanfaidh Ballstáit an Aontais, ar comhaltaí iad de Chomhairle an Údaráis Idirnáisiúnta um Ghrinneall na Farraige, seasamh an Aontais laistigh de Chomhairle an Údaráis Idirnáisiúnta um Ghrinneall na Farraige dá dtagraítear in Airteagal 1 a chur in iúl agus a chaomhnú gach uair a bheidh bac ar an Aontas a sheasamh féin a chur in iúl mar gheall ar a stádas breathnóra teoranta</w:t>
      </w:r>
    </w:p>
    <w:p>
      <w:pPr>
        <w:pStyle w:val="Titrearticle"/>
        <w:rPr>
          <w:noProof/>
        </w:rPr>
      </w:pPr>
      <w:r>
        <w:rPr>
          <w:noProof/>
        </w:rPr>
        <w:t>Airteagal 3</w:t>
      </w:r>
    </w:p>
    <w:p>
      <w:pPr>
        <w:rPr>
          <w:noProof/>
        </w:rPr>
      </w:pPr>
      <w:r>
        <w:rPr>
          <w:noProof/>
        </w:rPr>
        <w:t>Dírítear an Cinneadh seo chuig an gCoimisiún agus chuig na Ballstáit</w:t>
      </w:r>
      <w:r>
        <w:rPr>
          <w:i/>
          <w:noProof/>
        </w:rPr>
        <w:t>.</w:t>
      </w:r>
    </w:p>
    <w:p>
      <w:pPr>
        <w:pStyle w:val="Fait"/>
        <w:rPr>
          <w:noProof/>
        </w:rPr>
      </w:pPr>
      <w:r>
        <w:t>Arna dhéanamh sa Bhruiséil,</w:t>
      </w:r>
    </w:p>
    <w:p>
      <w:pPr>
        <w:pStyle w:val="Institutionquisigne"/>
        <w:rPr>
          <w:noProof/>
        </w:rPr>
      </w:pPr>
      <w:r>
        <w:rPr>
          <w:noProof/>
        </w:rPr>
        <w:tab/>
        <w:t>Thar ceann na Comhairle</w:t>
      </w:r>
    </w:p>
    <w:p>
      <w:pPr>
        <w:pStyle w:val="Personnequisigne"/>
        <w:rPr>
          <w:noProof/>
        </w:rPr>
      </w:pPr>
      <w:r>
        <w:rPr>
          <w:noProof/>
        </w:rPr>
        <w:tab/>
        <w:t>An tUachtarán</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GA</w:t>
    </w:r>
    <w:r>
      <w:rPr>
        <w:rFonts w:ascii="Arial" w:hAnsi="Arial" w:cs="Arial"/>
        <w:b/>
        <w:sz w:val="48"/>
      </w:rPr>
      <w:tab/>
    </w:r>
    <w:r>
      <w:rPr>
        <w:rFonts w:ascii="Arial" w:hAnsi="Arial" w:cs="Arial"/>
        <w:b/>
        <w:sz w:val="48"/>
      </w:rPr>
      <w:tab/>
    </w:r>
    <w:r>
      <w:tab/>
    </w:r>
    <w:r>
      <w:rPr>
        <w:rFonts w:ascii="Arial" w:hAnsi="Arial" w:cs="Arial"/>
        <w:b/>
        <w:sz w:val="48"/>
      </w:rPr>
      <w:t>GA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GA</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GA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Cinneadh 98/392/CE ón gComhairle an 23 Márta 1998 maidir le Coinbhinsiún na Náisiún Aontaithe maidir le Dlí na Mara an 10 Nollaig 1982 agus Comhaontú an 28 Iúil 1994 maidir le cur chun feidhme Chuid XI de arna dtabhairt i gcrích ag an gComhphobal Eorpach (IO L 179, 23.6.1998, lch. 1).</w:t>
      </w:r>
    </w:p>
  </w:footnote>
  <w:footnote w:id="2">
    <w:p>
      <w:pPr>
        <w:pStyle w:val="FootnoteText"/>
      </w:pPr>
      <w:r>
        <w:rPr>
          <w:rStyle w:val="FootnoteReference"/>
        </w:rPr>
        <w:footnoteRef/>
      </w:r>
      <w:r>
        <w:tab/>
        <w:t xml:space="preserve">Gnáthnós imeachta maidir le seasaimh ar cheisteanna laistigh d’inniúlacht an Chomhphobail; agus an nós imeachta atá faoi rialú ag Teideal V den Chonradh ar an Aontas Eorpach maidir le ceisteanna a thagann faoi bheartas eachtrach an Aontais Eorpaigh. </w:t>
      </w:r>
    </w:p>
  </w:footnote>
  <w:footnote w:id="3">
    <w:p>
      <w:pPr>
        <w:pStyle w:val="FootnoteText"/>
      </w:pPr>
      <w:r>
        <w:rPr>
          <w:rStyle w:val="FootnoteReference"/>
        </w:rPr>
        <w:footnoteRef/>
      </w:r>
      <w:r>
        <w:tab/>
        <w:t>Cinneadh 98/392/CE ón gComhairle</w:t>
      </w:r>
    </w:p>
  </w:footnote>
  <w:footnote w:id="4">
    <w:p>
      <w:pPr>
        <w:pStyle w:val="FootnoteText"/>
      </w:pPr>
      <w:r>
        <w:rPr>
          <w:rStyle w:val="FootnoteReference"/>
        </w:rPr>
        <w:footnoteRef/>
      </w:r>
      <w:r>
        <w:tab/>
        <w:t>COIM/2019/640 final</w:t>
      </w:r>
    </w:p>
  </w:footnote>
  <w:footnote w:id="5">
    <w:p>
      <w:pPr>
        <w:pStyle w:val="FootnoteText"/>
      </w:pPr>
      <w:r>
        <w:rPr>
          <w:rStyle w:val="FootnoteReference"/>
        </w:rPr>
        <w:footnoteRef/>
      </w:r>
      <w:r>
        <w:tab/>
        <w:t>COIM/2020/380 final</w:t>
      </w:r>
    </w:p>
  </w:footnote>
  <w:footnote w:id="6">
    <w:p>
      <w:pPr>
        <w:pStyle w:val="FootnoteText"/>
      </w:pPr>
      <w:r>
        <w:rPr>
          <w:rStyle w:val="FootnoteReference"/>
        </w:rPr>
        <w:footnoteRef/>
      </w:r>
      <w:r>
        <w:tab/>
        <w:t>https://data.consilium.europa.eu/doc/document/ST</w:t>
      </w:r>
      <w:r>
        <w:noBreakHyphen/>
        <w:t>15272-2019-INIT/en/pdf</w:t>
      </w:r>
    </w:p>
  </w:footnote>
  <w:footnote w:id="7">
    <w:p>
      <w:pPr>
        <w:pStyle w:val="FootnoteText"/>
      </w:pPr>
      <w:r>
        <w:rPr>
          <w:rStyle w:val="FootnoteReference"/>
        </w:rPr>
        <w:footnoteRef/>
      </w:r>
      <w:r>
        <w:tab/>
        <w:t xml:space="preserve">Breithiúnas ón gCúirt Bhreithiúnais an 7 Deireadh Fómhair 2014, an Ghearmáin v an Chomhairle, C-399/12, ECLI:EU:C:2014:2258, míreanna 61 go 64.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8161CE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7CC62A4"/>
    <w:lvl w:ilvl="0">
      <w:start w:val="1"/>
      <w:numFmt w:val="decimal"/>
      <w:pStyle w:val="ListNumber3"/>
      <w:lvlText w:val="%1."/>
      <w:lvlJc w:val="left"/>
      <w:pPr>
        <w:tabs>
          <w:tab w:val="num" w:pos="926"/>
        </w:tabs>
        <w:ind w:left="926" w:hanging="360"/>
      </w:pPr>
    </w:lvl>
  </w:abstractNum>
  <w:abstractNum w:abstractNumId="2">
    <w:nsid w:val="FFFFFF7F"/>
    <w:multiLevelType w:val="singleLevel"/>
    <w:tmpl w:val="27180F72"/>
    <w:lvl w:ilvl="0">
      <w:start w:val="1"/>
      <w:numFmt w:val="decimal"/>
      <w:pStyle w:val="ListNumber2"/>
      <w:lvlText w:val="%1."/>
      <w:lvlJc w:val="left"/>
      <w:pPr>
        <w:tabs>
          <w:tab w:val="num" w:pos="643"/>
        </w:tabs>
        <w:ind w:left="643" w:hanging="360"/>
      </w:pPr>
    </w:lvl>
  </w:abstractNum>
  <w:abstractNum w:abstractNumId="3">
    <w:nsid w:val="FFFFFF81"/>
    <w:multiLevelType w:val="singleLevel"/>
    <w:tmpl w:val="2D58CCC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906453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EB6B79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0965252"/>
    <w:lvl w:ilvl="0">
      <w:start w:val="1"/>
      <w:numFmt w:val="decimal"/>
      <w:pStyle w:val="ListNumber"/>
      <w:lvlText w:val="%1."/>
      <w:lvlJc w:val="left"/>
      <w:pPr>
        <w:tabs>
          <w:tab w:val="num" w:pos="360"/>
        </w:tabs>
        <w:ind w:left="360" w:hanging="360"/>
      </w:pPr>
    </w:lvl>
  </w:abstractNum>
  <w:abstractNum w:abstractNumId="7">
    <w:nsid w:val="FFFFFF89"/>
    <w:multiLevelType w:val="singleLevel"/>
    <w:tmpl w:val="D4508E3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IE" w:vendorID="64" w:dllVersion="131078" w:nlCheck="1" w:checkStyle="1"/>
  <w:attachedTemplate r:id="rId1"/>
  <w:revisionView w:markup="0"/>
  <w:defaultTabStop w:val="720"/>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12-14 13:22:38"/>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E43947E7-30AA-4ED0-908F-E2E40F0E1687"/>
    <w:docVar w:name="LW_COVERPAGE_TYPE" w:val="1"/>
    <w:docVar w:name="LW_CROSSREFERENCE" w:val="&lt;UNUSED&gt;"/>
    <w:docVar w:name="LW_DocType" w:val="COM"/>
    <w:docVar w:name="LW_EMISSION" w:val="5.1.2021"/>
    <w:docVar w:name="LW_EMISSION_ISODATE" w:val="2021-01-05"/>
    <w:docVar w:name="LW_EMISSION_LOCATION" w:val="BRX"/>
    <w:docVar w:name="LW_EMISSION_PREFIX" w:val="An Bhruiséil,"/>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GA"/>
    <w:docVar w:name="LW_LEVEL_OF_SENSITIVITY" w:val="Standard treatment"/>
    <w:docVar w:name="LW_NOM.INST" w:val="AN COIMISIÚN EORPACH"/>
    <w:docVar w:name="LW_NOM.INST_JOINTDOC" w:val="&lt;EMPTY&gt;"/>
    <w:docVar w:name="LW_PART_NBR" w:val="1"/>
    <w:docVar w:name="LW_PART_NBR_TOTAL" w:val="1"/>
    <w:docVar w:name="LW_REF.II.NEW.CP" w:val="NLE"/>
    <w:docVar w:name="LW_REF.II.NEW.CP_NUMBER" w:val="0372"/>
    <w:docVar w:name="LW_REF.II.NEW.CP_YEAR" w:val="2020"/>
    <w:docVar w:name="LW_REF.INST.NEW" w:val="COM"/>
    <w:docVar w:name="LW_REF.INST.NEW_ADOPTED" w:val="final"/>
    <w:docVar w:name="LW_REF.INST.NEW_TEXT" w:val="(2021) 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Togra le haghaidh"/>
    <w:docVar w:name="LW_SUPERTITRE" w:val="&lt;UNUSED&gt;"/>
    <w:docVar w:name="LW_TITRE.OBJ.CP" w:val="maidir leis an seasamh a ghlacfar thar ceann an Aontais Eorpaigh ag cruinnithe de Chomhairle agus de Thionól Idirnáisiúnta Ghrinneall na Farraige"/>
    <w:docVar w:name="LW_TYPE.DOC.CP" w:val="CINNEADH ÓN gCOMHAIRL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ga-IE"/>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before="0" w:after="160"/>
      <w:jc w:val="left"/>
    </w:pPr>
    <w:rPr>
      <w:rFonts w:ascii="Calibri" w:hAnsi="Calibri"/>
      <w:sz w:val="20"/>
      <w:szCs w:val="20"/>
    </w:rPr>
  </w:style>
  <w:style w:type="character" w:customStyle="1" w:styleId="CommentTextChar">
    <w:name w:val="Comment Text Char"/>
    <w:basedOn w:val="DefaultParagraphFont"/>
    <w:link w:val="CommentText"/>
    <w:uiPriority w:val="99"/>
    <w:rPr>
      <w:rFonts w:ascii="Calibri" w:hAnsi="Calibri" w:cs="Times New Roman"/>
      <w:sz w:val="20"/>
      <w:szCs w:val="20"/>
      <w:lang w:val="ga-IE"/>
    </w:rPr>
  </w:style>
  <w:style w:type="character" w:customStyle="1" w:styleId="Hyperlink1">
    <w:name w:val="Hyperlink1"/>
    <w:basedOn w:val="DefaultParagraphFont"/>
    <w:uiPriority w:val="99"/>
    <w:unhideWhenUsed/>
    <w:rPr>
      <w:color w:val="0563C1"/>
      <w:u w:val="singl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ga-IE"/>
    </w:rPr>
  </w:style>
  <w:style w:type="paragraph" w:styleId="CommentSubject">
    <w:name w:val="annotation subject"/>
    <w:basedOn w:val="CommentText"/>
    <w:next w:val="CommentText"/>
    <w:link w:val="CommentSubjectChar"/>
    <w:uiPriority w:val="99"/>
    <w:semiHidden/>
    <w:unhideWhenUsed/>
    <w:pPr>
      <w:spacing w:before="120" w:after="120"/>
      <w:jc w:val="both"/>
    </w:pPr>
    <w:rPr>
      <w:rFonts w:ascii="Times New Roman" w:hAnsi="Times New Roman"/>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ga-I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ga-I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ga-I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ga-IE"/>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before="0" w:after="160"/>
      <w:jc w:val="left"/>
    </w:pPr>
    <w:rPr>
      <w:rFonts w:ascii="Calibri" w:hAnsi="Calibri"/>
      <w:sz w:val="20"/>
      <w:szCs w:val="20"/>
    </w:rPr>
  </w:style>
  <w:style w:type="character" w:customStyle="1" w:styleId="CommentTextChar">
    <w:name w:val="Comment Text Char"/>
    <w:basedOn w:val="DefaultParagraphFont"/>
    <w:link w:val="CommentText"/>
    <w:uiPriority w:val="99"/>
    <w:rPr>
      <w:rFonts w:ascii="Calibri" w:hAnsi="Calibri" w:cs="Times New Roman"/>
      <w:sz w:val="20"/>
      <w:szCs w:val="20"/>
      <w:lang w:val="ga-IE"/>
    </w:rPr>
  </w:style>
  <w:style w:type="character" w:customStyle="1" w:styleId="Hyperlink1">
    <w:name w:val="Hyperlink1"/>
    <w:basedOn w:val="DefaultParagraphFont"/>
    <w:uiPriority w:val="99"/>
    <w:unhideWhenUsed/>
    <w:rPr>
      <w:color w:val="0563C1"/>
      <w:u w:val="singl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ga-IE"/>
    </w:rPr>
  </w:style>
  <w:style w:type="paragraph" w:styleId="CommentSubject">
    <w:name w:val="annotation subject"/>
    <w:basedOn w:val="CommentText"/>
    <w:next w:val="CommentText"/>
    <w:link w:val="CommentSubjectChar"/>
    <w:uiPriority w:val="99"/>
    <w:semiHidden/>
    <w:unhideWhenUsed/>
    <w:pPr>
      <w:spacing w:before="120" w:after="120"/>
      <w:jc w:val="both"/>
    </w:pPr>
    <w:rPr>
      <w:rFonts w:ascii="Times New Roman" w:hAnsi="Times New Roman"/>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ga-I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ga-I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ga-I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98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85B1E-0CD7-4514-B778-AE43CB321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7</Pages>
  <Words>2227</Words>
  <Characters>11983</Characters>
  <Application>Microsoft Office Word</Application>
  <DocSecurity>0</DocSecurity>
  <Lines>203</Lines>
  <Paragraphs>74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19</cp:revision>
  <dcterms:created xsi:type="dcterms:W3CDTF">2020-12-10T12:20:00Z</dcterms:created>
  <dcterms:modified xsi:type="dcterms:W3CDTF">2020-12-14T12:22:00Z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7.0.1, Build 20190916</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