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3EC30EF-8017-49F7-A898-68F139E9120E" style="width:450.25pt;height:41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 I.</w:t>
      </w:r>
    </w:p>
    <w:p>
      <w:pPr>
        <w:spacing w:after="240" w:line="360" w:lineRule="auto"/>
        <w:jc w:val="center"/>
        <w:rPr>
          <w:rFonts w:eastAsia="Times New Roman"/>
          <w:b/>
          <w:noProof/>
          <w:szCs w:val="20"/>
          <w:u w:val="single"/>
        </w:rPr>
      </w:pPr>
      <w:r>
        <w:rPr>
          <w:b/>
          <w:noProof/>
          <w:szCs w:val="20"/>
          <w:u w:val="single"/>
        </w:rPr>
        <w:t xml:space="preserve">Stajalište koje treba zauzeti u ime Unije na sastancima Vijeća i Skupštine Međunarodne vlasti za morsko dno </w:t>
      </w:r>
    </w:p>
    <w:p>
      <w:pPr>
        <w:pStyle w:val="ManualHeading1"/>
        <w:rPr>
          <w:noProof/>
        </w:rPr>
      </w:pPr>
      <w:r>
        <w:rPr>
          <w:noProof/>
        </w:rPr>
        <w:t xml:space="preserve">1. </w:t>
      </w:r>
      <w:r>
        <w:rPr>
          <w:noProof/>
        </w:rPr>
        <w:tab/>
        <w:t>NAČELA</w:t>
      </w:r>
    </w:p>
    <w:p>
      <w:pPr>
        <w:spacing w:before="0" w:after="240"/>
        <w:jc w:val="left"/>
        <w:rPr>
          <w:rFonts w:eastAsia="Times New Roman"/>
          <w:noProof/>
          <w:szCs w:val="20"/>
        </w:rPr>
      </w:pPr>
      <w:r>
        <w:rPr>
          <w:noProof/>
        </w:rPr>
        <w:t>U okviru sastanaka Vijeća i Skupštine Međunarodne vlasti za morsko dno Unija:</w:t>
      </w:r>
    </w:p>
    <w:p>
      <w:pPr>
        <w:pStyle w:val="Point0letter"/>
        <w:numPr>
          <w:ilvl w:val="1"/>
          <w:numId w:val="9"/>
        </w:numPr>
        <w:rPr>
          <w:noProof/>
        </w:rPr>
      </w:pPr>
      <w:r>
        <w:rPr>
          <w:noProof/>
        </w:rPr>
        <w:t>Djeluje u skladu s člankom 192. i člankom 145. Konvencije Ujedinjenih naroda o pravu mora (UNCLOS) od 10. prosinca 1982. i obvezom zaštite i očuvanja morskog okoliša. Ta sveobuhvatna obveza obuhvaća odgovornosti sprečavanja, smanjenja i nadziranja onečišćenja morskog okoliša iz bilo kojeg izvora, promatranja rizika ili posljedica onečišćenja i procjene mogućih posljedica djelatnosti pod jurisdikcijom i nadzorom država stranaka koje mogu uzrokovati veliko onečišćenje ili znatne i štetne promjene u morskom okolišu (članci 194., 204. i 206.). Konkretno, države stranke moraju poduzeti mjere za zaštitu i očuvanje rijetkih ili osjetljivih ekosustava. U skladu s člankom 196. stavkom 1. i člankom 209., države moraju i sprečavati, smanjivati i nadzirati onečišćenje koje proizlazi iz upotrebe tehnologija pod njihovom jurisdikcijom ili nadzorom, među ostalim u pogledu djelatnosti u Zoni što se poduzimaju brodovima, uređajima, napravama i drugim spravama koje vijore njihovu zastavu ili su upisani u upisnik na njihovu području ili djeluju pod njihovom vlašću. U skladu s člankom 145. države preko Međunarodne vlasti za morsko dno donose odgovarajuća pravila, propise i postupke za zaštitu i očuvanje prirodnih bogatstava Zone i sprečavanje štete za morsku floru i faunu.</w:t>
      </w:r>
    </w:p>
    <w:p>
      <w:pPr>
        <w:pStyle w:val="Point0letter"/>
        <w:rPr>
          <w:noProof/>
        </w:rPr>
      </w:pPr>
      <w:r>
        <w:rPr>
          <w:noProof/>
        </w:rPr>
        <w:t>Djeluje u skladu s člankom 191. Ugovora o funkcioniranju Europske unije (TFEU) u kojem je navedeno da se politika Unije temelji na načelu predostrožnosti te na načelu preventivnog djelovanja, načelu da se šteta nanesena okolišu popravlja ponajprije na samom izvoru te na načelu da onečišćivač plaća. U tom bi se kontekstu EU trebao zalagati za to da se morski minerali na međunarodnom morskom dnu ne mogu iskorištavati dok se dovoljno ne istraže učinci dubokomorskog rudarstva na morski okoliš, bioraznolikost i ljudske aktivnosti, dok se ne shvate rizici i ne dokaže da tehnologije i postupci koji se koriste ne nanose ozbiljnu štetu okolišu, u skladu s načelom predostrožnosti.</w:t>
      </w:r>
    </w:p>
    <w:p>
      <w:pPr>
        <w:pStyle w:val="Point0letter"/>
        <w:rPr>
          <w:noProof/>
        </w:rPr>
      </w:pPr>
      <w:r>
        <w:rPr>
          <w:noProof/>
        </w:rPr>
        <w:t xml:space="preserve">Nastoji postići usklađenost i sinergiju s pristupom temeljenim na ekosustavu kako je navedeno u članku 2. stavku 3. Uredbe (EU) br. 1380/2013 Europskog parlamenta i Vijeća od 11. prosinca 2013. o zajedničkoj ribarstvenoj politici; članku 3. stavcima 4. i 5. i članku 10. Direktive 2008/56/EZ Europskog parlamenta i Vijeća od 17. lipnja 2008. o uspostavljanju okvira za djelovanje Zajednice u području politike morskog okoliša (Okvirna direktiva o morskoj strategiji) i u njezinim Prilozima I. i VI. te u članku 5. Direktive 2014/89/EU Europskog parlamenta i Vijeća od 23. srpnja 2014. o uspostavi okvira za prostorno planiranje morskog područja. </w:t>
      </w:r>
    </w:p>
    <w:p>
      <w:pPr>
        <w:pStyle w:val="Point0letter"/>
        <w:rPr>
          <w:noProof/>
        </w:rPr>
      </w:pPr>
      <w:r>
        <w:rPr>
          <w:noProof/>
        </w:rPr>
        <w:t xml:space="preserve">Aktivno sudjeluje na raspravama kako bi se osiguralo da rudarski kodeks Međunarodne vlasti za morsko dno bude solidan, u skladu s međunarodnim načelima i obvezama te da sadržava stroge i provedive standarde zaštite okoliša koji se redovito ažuriraju uzimajući u obzir najnovije dostupne znanstvene spoznaje i tehnologije, uključujući potrebu poštovanja pristupa na temelju načela </w:t>
      </w:r>
      <w:r>
        <w:rPr>
          <w:noProof/>
        </w:rPr>
        <w:lastRenderedPageBreak/>
        <w:t>predostrožnosti i potrebu provedbe prethodnih procjena utjecaja na okoliš koje su u skladu s postupcima i smjernicama Programa Ujedinjenih naroda za okoliš (UNEP)</w:t>
      </w:r>
      <w:r>
        <w:rPr>
          <w:rStyle w:val="FootnoteReference"/>
          <w:rFonts w:eastAsia="Times New Roman"/>
          <w:noProof/>
          <w:szCs w:val="20"/>
        </w:rPr>
        <w:footnoteReference w:id="1"/>
      </w:r>
      <w:r>
        <w:rPr>
          <w:noProof/>
        </w:rPr>
        <w:t xml:space="preserve">. </w:t>
      </w:r>
    </w:p>
    <w:p>
      <w:pPr>
        <w:pStyle w:val="Point0letter"/>
        <w:rPr>
          <w:noProof/>
        </w:rPr>
      </w:pPr>
      <w:r>
        <w:rPr>
          <w:noProof/>
        </w:rPr>
        <w:t>Osigurava da su propisi o iskorištavanju mineralnih resursa u Zoni u skladu s međunarodnim pravom, a posebno s odredbama UNCLOS-a i međunarodnog običajnog prava.</w:t>
      </w:r>
    </w:p>
    <w:p>
      <w:pPr>
        <w:pStyle w:val="Point0letter"/>
        <w:rPr>
          <w:noProof/>
        </w:rPr>
      </w:pPr>
      <w:r>
        <w:rPr>
          <w:noProof/>
        </w:rPr>
        <w:t>Ustraje na stajalištu Unije u okviru kojeg se podupiru ciljevi europskog zelenog plana i zeleno načelo „nenanošenja štete” te ambicija Europske unije da bude globalni predvodnik u očuvanju i zaštiti našeg okoliša, uključujući mora i oceane.</w:t>
      </w:r>
    </w:p>
    <w:p>
      <w:pPr>
        <w:pStyle w:val="Point0letter"/>
        <w:rPr>
          <w:noProof/>
        </w:rPr>
      </w:pPr>
      <w:r>
        <w:rPr>
          <w:noProof/>
        </w:rPr>
        <w:t xml:space="preserve">Promiče napredak znanstvenih spoznaja o utjecaju na okoliš i njihovo uzimanje u obzir u rudarskom kodeksu Međunarodne vlasti za morsko dno. </w:t>
      </w:r>
    </w:p>
    <w:p>
      <w:pPr>
        <w:pStyle w:val="Point0letter"/>
        <w:rPr>
          <w:noProof/>
        </w:rPr>
      </w:pPr>
      <w:r>
        <w:rPr>
          <w:noProof/>
        </w:rPr>
        <w:t xml:space="preserve">Nastoji da prethodna procjena rizika za okoliš bude u skladu s najvišim standardima i da bude podvrgnuta strogoj evaluaciji.  </w:t>
      </w:r>
    </w:p>
    <w:p>
      <w:pPr>
        <w:pStyle w:val="ManualHeading1"/>
        <w:rPr>
          <w:noProof/>
        </w:rPr>
      </w:pPr>
      <w:r>
        <w:rPr>
          <w:noProof/>
        </w:rPr>
        <w:t>2.</w:t>
      </w:r>
      <w:r>
        <w:rPr>
          <w:noProof/>
        </w:rPr>
        <w:tab/>
        <w:t>SMJERNICE</w:t>
      </w:r>
    </w:p>
    <w:p>
      <w:pPr>
        <w:spacing w:before="0" w:after="240"/>
        <w:rPr>
          <w:rFonts w:eastAsia="Times New Roman"/>
          <w:noProof/>
          <w:szCs w:val="20"/>
        </w:rPr>
      </w:pPr>
      <w:r>
        <w:rPr>
          <w:noProof/>
        </w:rPr>
        <w:t>S obzirom na ograničene znanstvene spoznaje i zabrinutost zbog neizbježnih i vjerojatno nepovratnih učinaka na bioraznolikost i klimu, od ključne je važnosti osigurati da stajalište Unije o dubokomorskom rudarstvu bude u potpunosti u skladu sa zalaganjem Europske unije za održivost te da se temelji na najboljim dostupnim znanstvenim spoznajama, primjeni načela predostrožnosti i pristupu temeljenom na ekosustavu.</w:t>
      </w:r>
    </w:p>
    <w:p>
      <w:pPr>
        <w:spacing w:before="0" w:after="240"/>
        <w:rPr>
          <w:rFonts w:eastAsia="Times New Roman"/>
          <w:noProof/>
          <w:szCs w:val="20"/>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PRILOG II.</w:t>
      </w:r>
    </w:p>
    <w:p>
      <w:pPr>
        <w:rPr>
          <w:b/>
          <w:noProof/>
        </w:rPr>
      </w:pPr>
      <w:r>
        <w:rPr>
          <w:b/>
          <w:noProof/>
        </w:rPr>
        <w:t xml:space="preserve">Godišnje utvrđivanje stajališta koje u ime Unije treba zauzeti na sastancima Vijeća i Skupštine Međunarodne vlasti za morsko dno </w:t>
      </w:r>
    </w:p>
    <w:p>
      <w:pPr>
        <w:rPr>
          <w:b/>
          <w:noProof/>
        </w:rPr>
      </w:pPr>
    </w:p>
    <w:p>
      <w:pPr>
        <w:rPr>
          <w:noProof/>
        </w:rPr>
      </w:pPr>
      <w:r>
        <w:rPr>
          <w:noProof/>
        </w:rPr>
        <w:t>Prije svakog sastanka Vijeća ili Skupštine Međunarodne vlasti za morsko dno poduzimaju se potrebne mjere kako bi se u stajalištu koje se iznosi u ime Unije uzele u obzir najnovije znanstvene i druge relevantne dostupne informacije, u skladu s načelima i smjernicama utvrđenima u Prilogu I.</w:t>
      </w:r>
    </w:p>
    <w:p>
      <w:pPr>
        <w:rPr>
          <w:noProof/>
        </w:rPr>
      </w:pPr>
      <w:r>
        <w:rPr>
          <w:noProof/>
        </w:rPr>
        <w:t>U tu svrhu i na temelju tih podataka Komisija Vijeću ili njegovim pripremnim tijelima pravodobno prije svakog sastanka Vijeća ili Skupštine Međunarodne vlasti za morsko dno dostavlja pisani dokument s podacima za predloženo utvrđivanje stajališta Unije, na temelju kojih se razmatraju i prihvaćaju pojedinosti stajališta koje treba iznijeti u ime Unije.</w:t>
      </w:r>
    </w:p>
    <w:p>
      <w:pPr>
        <w:rPr>
          <w:noProof/>
        </w:rPr>
      </w:pPr>
      <w:r>
        <w:rPr>
          <w:noProof/>
        </w:rPr>
        <w:t>Ako na sastanku Vijeća ili Skupštine Međunarodne vlasti za morsko dno ili na licu mjesta nije moguće postići dogovor, predmet se upućuje Vijeću ili njegovim pripremnim tijelima kako bi se u stajalištu Unije uzeli u obzir novi elementi.</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https://elaw.org/system/files/unep.EIA_.guidelines.and_.principles.pdf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1CCA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EE3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463B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D825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D4AC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1CA0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184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864C7F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3:23: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63EC30EF-8017-49F7-A898-68F139E9120E"/>
    <w:docVar w:name="LW_COVERPAGE_TYPE" w:val="1"/>
    <w:docVar w:name="LW_CROSSREFERENCE" w:val="&lt;UNUSED&gt;"/>
    <w:docVar w:name="LW_DocType" w:val="ANNEX"/>
    <w:docVar w:name="LW_EMISSION" w:val="5.1.2021."/>
    <w:docVar w:name="LW_EMISSION_ISODATE" w:val="2021-01-05"/>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_x000b_o stajali\u353?tu koje treba zauzeti u ime Europske unije na sastancima Vije\u263?a i Skup\u353?tine Me\u273?unarodne vlasti za morsko dno"/>
    <w:docVar w:name="LW_OBJETACTEPRINCIPAL.CP" w:val="_x000b_o stajali\u353?tu koje treba zauzeti u ime Europske unije na sastancima Vije\u263?a i Skup\u353?tine Me\u273?unarodne vlasti za morsko dno"/>
    <w:docVar w:name="LW_PART_NBR" w:val="&lt;UNUSED&gt;"/>
    <w:docVar w:name="LW_PART_NBR_TOTAL" w:val="&lt;UNUSED&gt;"/>
    <w:docVar w:name="LW_REF.INST.NEW" w:val="COM"/>
    <w:docVar w:name="LW_REF.INST.NEW_ADOPTED" w:val="final"/>
    <w:docVar w:name="LW_REF.INST.NEW_TEXT" w:val="(2021)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ZI"/>
    <w:docVar w:name="LW_TYPE.DOC.CP" w:val="PRILOZI"/>
    <w:docVar w:name="LW_TYPEACTEPRINCIPAL" w:val="Prijedlogu ODLUKE VIJE\u262?A_x000b_"/>
    <w:docVar w:name="LW_TYPEACTEPRINCIPAL.CP" w:val="Prijedlogu ODLUKE VIJE\u262?A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8A48CE-4FF8-4000-9195-A187E381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821</Words>
  <Characters>4661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HOUDART Marie (MARE)</dc:creator>
  <cp:keywords/>
  <dc:description/>
  <cp:lastModifiedBy>WES PDFC Administrator</cp:lastModifiedBy>
  <cp:revision>9</cp:revision>
  <dcterms:created xsi:type="dcterms:W3CDTF">2020-12-10T16:36:00Z</dcterms:created>
  <dcterms:modified xsi:type="dcterms:W3CDTF">2020-12-14T12:23:00Z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