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9AA" w:rsidRDefault="00A35F38" w:rsidP="00A35F38">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FA70F0AD-088B-4BA4-9AD6-75D161BD08A8" style="width:450.65pt;height:408.65pt">
            <v:imagedata r:id="rId7" o:title=""/>
          </v:shape>
        </w:pict>
      </w:r>
    </w:p>
    <w:bookmarkEnd w:id="0"/>
    <w:p w:rsidR="007549AA" w:rsidRDefault="007549AA">
      <w:pPr>
        <w:rPr>
          <w:noProof/>
        </w:rPr>
        <w:sectPr w:rsidR="007549AA" w:rsidSect="00A35F38">
          <w:headerReference w:type="even" r:id="rId8"/>
          <w:headerReference w:type="default" r:id="rId9"/>
          <w:footerReference w:type="even" r:id="rId10"/>
          <w:footerReference w:type="default" r:id="rId11"/>
          <w:headerReference w:type="first" r:id="rId12"/>
          <w:footerReference w:type="first" r:id="rId13"/>
          <w:pgSz w:w="11906" w:h="16838"/>
          <w:pgMar w:top="1134" w:right="1417" w:bottom="1134" w:left="1417" w:header="709" w:footer="709" w:gutter="0"/>
          <w:pgNumType w:start="0"/>
          <w:cols w:space="720"/>
          <w:docGrid w:linePitch="360"/>
        </w:sect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7549AA">
        <w:tc>
          <w:tcPr>
            <w:tcW w:w="10490" w:type="dxa"/>
            <w:tcBorders>
              <w:bottom w:val="single" w:sz="4" w:space="0" w:color="auto"/>
            </w:tcBorders>
            <w:shd w:val="clear" w:color="auto" w:fill="CCCCCC"/>
          </w:tcPr>
          <w:p w:rsidR="007549AA" w:rsidRDefault="00A35F38">
            <w:pPr>
              <w:rPr>
                <w:b/>
                <w:noProof/>
              </w:rPr>
            </w:pPr>
            <w:bookmarkStart w:id="1" w:name="_GoBack"/>
            <w:bookmarkEnd w:id="1"/>
            <w:r>
              <w:rPr>
                <w:b/>
                <w:noProof/>
              </w:rPr>
              <w:lastRenderedPageBreak/>
              <w:t xml:space="preserve">Δελτίο συνοπτικής παρουσίασης </w:t>
            </w:r>
          </w:p>
        </w:tc>
      </w:tr>
      <w:tr w:rsidR="007549AA">
        <w:tc>
          <w:tcPr>
            <w:tcW w:w="10490" w:type="dxa"/>
            <w:tcBorders>
              <w:top w:val="single" w:sz="4" w:space="0" w:color="auto"/>
              <w:left w:val="single" w:sz="4" w:space="0" w:color="auto"/>
              <w:bottom w:val="single" w:sz="4" w:space="0" w:color="auto"/>
              <w:right w:val="single" w:sz="4" w:space="0" w:color="auto"/>
            </w:tcBorders>
            <w:shd w:val="clear" w:color="auto" w:fill="4F81BD"/>
          </w:tcPr>
          <w:p w:rsidR="007549AA" w:rsidRDefault="00A35F38">
            <w:pPr>
              <w:rPr>
                <w:noProof/>
              </w:rPr>
            </w:pPr>
            <w:r>
              <w:rPr>
                <w:noProof/>
              </w:rPr>
              <w:t xml:space="preserve">Εκτίμηση των επιπτώσεων που θα έχουν οι αναθεωρήσεις των κατευθυντήριων γραμμών για τα διευρωπαϊκά δίκτυα στον τομέα της ενέργειας (κανονισμός ΔΕΔ-Ε) </w:t>
            </w:r>
          </w:p>
        </w:tc>
      </w:tr>
      <w:tr w:rsidR="007549AA">
        <w:tc>
          <w:tcPr>
            <w:tcW w:w="10490" w:type="dxa"/>
            <w:tcBorders>
              <w:bottom w:val="single" w:sz="4" w:space="0" w:color="auto"/>
            </w:tcBorders>
            <w:shd w:val="clear" w:color="auto" w:fill="CCCCCC"/>
          </w:tcPr>
          <w:p w:rsidR="007549AA" w:rsidRDefault="00A35F38">
            <w:pPr>
              <w:rPr>
                <w:b/>
                <w:noProof/>
              </w:rPr>
            </w:pPr>
            <w:r>
              <w:rPr>
                <w:b/>
                <w:noProof/>
              </w:rPr>
              <w:t>Α. Ανάγκη ανάληψης δράσης</w:t>
            </w:r>
          </w:p>
        </w:tc>
      </w:tr>
      <w:tr w:rsidR="007549AA">
        <w:tc>
          <w:tcPr>
            <w:tcW w:w="10490" w:type="dxa"/>
            <w:tcBorders>
              <w:bottom w:val="single" w:sz="4" w:space="0" w:color="auto"/>
            </w:tcBorders>
            <w:shd w:val="clear" w:color="auto" w:fill="E0E0E0"/>
          </w:tcPr>
          <w:p w:rsidR="007549AA" w:rsidRDefault="00A35F38">
            <w:pPr>
              <w:rPr>
                <w:noProof/>
              </w:rPr>
            </w:pPr>
            <w:r>
              <w:rPr>
                <w:b/>
                <w:noProof/>
              </w:rPr>
              <w:t xml:space="preserve">Ποιο είναι το πρόβλημα και γιατί είναι πρόβλημα σε επίπεδο ΕΕ; </w:t>
            </w:r>
          </w:p>
        </w:tc>
      </w:tr>
      <w:tr w:rsidR="007549AA">
        <w:tc>
          <w:tcPr>
            <w:tcW w:w="10490" w:type="dxa"/>
            <w:tcBorders>
              <w:bottom w:val="single" w:sz="4" w:space="0" w:color="auto"/>
            </w:tcBorders>
            <w:shd w:val="clear" w:color="auto" w:fill="auto"/>
          </w:tcPr>
          <w:p w:rsidR="007549AA" w:rsidRDefault="00A35F38">
            <w:pPr>
              <w:spacing w:after="0"/>
              <w:rPr>
                <w:noProof/>
              </w:rPr>
            </w:pPr>
            <w:r>
              <w:rPr>
                <w:noProof/>
              </w:rPr>
              <w:t>Ο ισχύων κανονισμός ΔΕΔ-Ε καθιέρωσε μια νέα προσέγγιση στον σχεδιασμό διασυνοριακών υποδομών με τη συμμετοχή των ενδιαφερόμενων μερών σε ένα πλαίσιο περιφερειακής συνεργασίας για τον προσδιορισμό και τη συμβολή στην υλοποίηση έργων κοινού ενδιαφέροντος (ΕΚ</w:t>
            </w:r>
            <w:r>
              <w:rPr>
                <w:noProof/>
              </w:rPr>
              <w:t>Ε) που συμβάλλουν τα μέγιστα στην εσωτερική αγορά ενέργειας, την ασφάλεια του εφοδιασμού και τη βιωσιμότητα. Απαιτεί επίσης από τα κράτη μέλη να εξορθολογίσουν τις διαδικασίες αδειοδότησης των ΕΚΕ και προβλέπει τους όρους πρόσβασης σε χρηματοδότηση από τον</w:t>
            </w:r>
            <w:r>
              <w:rPr>
                <w:noProof/>
              </w:rPr>
              <w:t xml:space="preserve"> μηχανισμό «Συνδέοντας την Ευρώπη» (ΜΣΕ). Η αξιολόγηση του ισχύοντος κανονισμού ΔΕΔ-Ε έδειξε ότι, ενώ οι στόχοι του ισχύοντος κανονισμού εξακολουθούν σε μεγάλο βαθμό να ισχύουν, η εστίασή τους στους στόχους για το 2020/30 πρέπει να αναβαθμιστεί ώστε να αντ</w:t>
            </w:r>
            <w:r>
              <w:rPr>
                <w:noProof/>
              </w:rPr>
              <w:t>ικατοπτρίζει το νέο πολιτικό πλαίσιο και τον στόχο της κλιματικής ουδετερότητας για το 2050 που προβλέπεται στην Ευρωπαϊκή Πράσινη Συμφωνία. Εκτός από το νέο πολιτικό πλαίσιο και τους νέους στόχους, κατά την τελευταία δεκαετία, ταχεία υπήρξε και η τεχνολογ</w:t>
            </w:r>
            <w:r>
              <w:rPr>
                <w:noProof/>
              </w:rPr>
              <w:t xml:space="preserve">ική ανάπτυξη. </w:t>
            </w:r>
          </w:p>
          <w:p w:rsidR="007549AA" w:rsidRDefault="007549AA">
            <w:pPr>
              <w:spacing w:after="0"/>
              <w:rPr>
                <w:noProof/>
              </w:rPr>
            </w:pPr>
          </w:p>
          <w:p w:rsidR="007549AA" w:rsidRDefault="00A35F38">
            <w:pPr>
              <w:rPr>
                <w:noProof/>
              </w:rPr>
            </w:pPr>
            <w:r>
              <w:rPr>
                <w:noProof/>
              </w:rPr>
              <w:t>Εντοπίστηκαν τα ακόλουθα δύο βασικά προβλήματα: 1) Το είδος και η κλίμακα των εξελίξεων στις διασυνοριακές υποδομές δεν ευθυγραμμίζονται πλήρως με τους στόχους της ενεργειακής πολιτικής της ΕΕ, ιδίως όσον αφορά την Ευρωπαϊκή Πράσινη Συμφωνί</w:t>
            </w:r>
            <w:r>
              <w:rPr>
                <w:noProof/>
              </w:rPr>
              <w:t>α και τον στόχο της κλιματικής ουδετερότητας, και 2) σημειώνονται καθυστερήσεις στην υλοποίηση των έργων. Ο ενισχυμένος κλιματικός στόχος για το 2030 και ο στόχος της κλιματικής ουδετερότητας που προβλέπεται στην Ευρωπαϊκή Πράσινη Συμφωνία και στη στρατηγι</w:t>
            </w:r>
            <w:r>
              <w:rPr>
                <w:noProof/>
              </w:rPr>
              <w:t>κή «Καθαρός πλανήτης για όλους» απαιτούν ριζικό μετασχηματισμό του ευρωπαϊκού ενεργειακού συστήματος, τόσο από την πλευρά της προσφοράς όσο και από την πλευρά της ζήτησης. Αυτό σημαίνει ότι πρέπει να δημιουργηθεί μια υποδομή για τη στήριξη αυτής της ευρωπα</w:t>
            </w:r>
            <w:r>
              <w:rPr>
                <w:noProof/>
              </w:rPr>
              <w:t>ϊκής ενεργειακής μετάβασης, συμπεριλαμβανομένων του γρήγορου εξηλεκτρισμού με διπλασιασμό του μεριδίου της παραγωγής ηλεκτρικής ενέργειας από ανανεώσιμες πηγές, της ραγδαίας αύξησης των ανανεώσιμων αερίων και των αερίων χαμηλών ανθρακούχων εκπομπών, της εν</w:t>
            </w:r>
            <w:r>
              <w:rPr>
                <w:noProof/>
              </w:rPr>
              <w:t>οποίησης του ενεργειακού συστήματος και της ευρύτερης υιοθέτησης καινοτόμων λύσεων. Επί του παρόντος, δεν είναι επιλέξιμες όλες οι κατηγορίες υποδομών που σχετίζονται με την ενεργειακή μετάβαση για το καθεστώς ΕΚΕ (π.χ. υδρογόνο) και ορισμένες δεν αντικατο</w:t>
            </w:r>
            <w:r>
              <w:rPr>
                <w:noProof/>
              </w:rPr>
              <w:t>πτρίζουν επαρκώς τις τεχνολογικές εξελίξεις (π.χ. έξυπνα δίκτυα). Καθυστερήσεις στην υλοποίηση έργων προτεραιότητας που έχουν κριθεί αναγκαία για την επίτευξη των στόχων πολιτικής της ΕΕ για το κλίμα και την ενέργεια θα έθεταν σε κίνδυνο την απαιτούμενη επ</w:t>
            </w:r>
            <w:r>
              <w:rPr>
                <w:noProof/>
              </w:rPr>
              <w:t>ιτάχυνση της αλλαγής του ενεργειακού συστήματος. Η υλοποίηση βασικών έργων υποδομής εξακολουθεί να είναι υπερβολικά χρονοβόρα. Το 2020, το 27 % των ΕΚΕ ηλεκτρικής ενέργειας καθυστέρησαν κατά μέσο όρο 17 μήνες σε σύγκριση με την αρχικά προγραμματισμένη ημερ</w:t>
            </w:r>
            <w:r>
              <w:rPr>
                <w:noProof/>
              </w:rPr>
              <w:t xml:space="preserve">ομηνία έναρξης λειτουργίας τους. </w:t>
            </w:r>
          </w:p>
        </w:tc>
      </w:tr>
      <w:tr w:rsidR="007549AA">
        <w:tc>
          <w:tcPr>
            <w:tcW w:w="10490" w:type="dxa"/>
            <w:tcBorders>
              <w:bottom w:val="single" w:sz="4" w:space="0" w:color="auto"/>
            </w:tcBorders>
            <w:shd w:val="clear" w:color="auto" w:fill="E6E6E6"/>
          </w:tcPr>
          <w:p w:rsidR="007549AA" w:rsidRDefault="00A35F38">
            <w:pPr>
              <w:rPr>
                <w:noProof/>
              </w:rPr>
            </w:pPr>
            <w:r>
              <w:rPr>
                <w:b/>
                <w:noProof/>
              </w:rPr>
              <w:t>Τι θα πρέπει να επιτευχθεί;</w:t>
            </w:r>
          </w:p>
        </w:tc>
      </w:tr>
      <w:tr w:rsidR="007549AA">
        <w:tc>
          <w:tcPr>
            <w:tcW w:w="10490" w:type="dxa"/>
            <w:tcBorders>
              <w:bottom w:val="single" w:sz="4" w:space="0" w:color="auto"/>
            </w:tcBorders>
            <w:shd w:val="clear" w:color="auto" w:fill="auto"/>
          </w:tcPr>
          <w:p w:rsidR="007549AA" w:rsidRDefault="00A35F38">
            <w:pPr>
              <w:rPr>
                <w:noProof/>
              </w:rPr>
            </w:pPr>
            <w:r>
              <w:rPr>
                <w:noProof/>
              </w:rPr>
              <w:t>Γενικός στόχος είναι να διευκολυνθεί η έγκαιρη ανάπτυξη επαρκών ενεργειακών υποδομών σε ολόκληρη την ΕΕ και στις γειτονικές της χώρες, ώστε να καταστεί δυνατή η επίτευξη των ενεργειακών και κλιματικών στόχων της ΕΕ σύμφωνα με την Ευρωπαϊκή Πράσινη Συμφωνία</w:t>
            </w:r>
            <w:r>
              <w:rPr>
                <w:noProof/>
              </w:rPr>
              <w:t>, ιδίως όσον αφορά τους στόχους 2030/50, συμπεριλαμβανομένου του στόχου της κλιματικής ουδετερότητας, καθώς και η ενοποίηση της αγοράς, η ανταγωνιστικότητα και η ασφάλεια του εφοδιασμού με το ελάχιστο κόστος για τους καταναλωτές και τις επιχειρήσεις. Οι ει</w:t>
            </w:r>
            <w:r>
              <w:rPr>
                <w:noProof/>
              </w:rPr>
              <w:t>δικοί στόχοι είναι οι εξής: 1) Να καταστεί δυνατός ο προσδιορισμός των διασυνοριακών έργων και επενδύσεων σε ολόκληρη την ΕΕ και με τις γειτονικές της χώρες, τα οποία είναι απαραίτητα για την επίτευξη των στόχων της ενεργειακής μετάβασης και των στόχων για</w:t>
            </w:r>
            <w:r>
              <w:rPr>
                <w:noProof/>
              </w:rPr>
              <w:t xml:space="preserve"> το κλίμα, 2) να βελτιωθεί ο σχεδιασμός των υποδομών για την ενοποίηση του ενεργειακού συστήματος και τα υπεράκτια δίκτυα, 3) να συντομευθούν οι διαδικασίες αδειοδότησης των ΕΚΕ ώστε να αποφεύγονται καθυστερήσεις σε έργα που διευκολύνουν την ενεργειακή μετ</w:t>
            </w:r>
            <w:r>
              <w:rPr>
                <w:noProof/>
              </w:rPr>
              <w:t xml:space="preserve">άβαση, και 4) να διασφαλιστεί η κατάλληλη χρήση των εργαλείων επιμερισμού του κόστους και των ρυθμιστικών κινήτρων. </w:t>
            </w:r>
          </w:p>
        </w:tc>
      </w:tr>
      <w:tr w:rsidR="007549AA">
        <w:tc>
          <w:tcPr>
            <w:tcW w:w="10490" w:type="dxa"/>
            <w:tcBorders>
              <w:bottom w:val="single" w:sz="4" w:space="0" w:color="auto"/>
            </w:tcBorders>
            <w:shd w:val="clear" w:color="auto" w:fill="E6E6E6"/>
          </w:tcPr>
          <w:p w:rsidR="007549AA" w:rsidRDefault="00A35F38">
            <w:pPr>
              <w:rPr>
                <w:noProof/>
              </w:rPr>
            </w:pPr>
            <w:r>
              <w:rPr>
                <w:b/>
                <w:noProof/>
              </w:rPr>
              <w:t>Ποια είναι η προστιθέμενη αξία της δράσης σε επίπεδο ΕΕ (επικουρικότητα);</w:t>
            </w:r>
            <w:r>
              <w:rPr>
                <w:noProof/>
              </w:rPr>
              <w:t xml:space="preserve"> </w:t>
            </w:r>
          </w:p>
        </w:tc>
      </w:tr>
      <w:tr w:rsidR="007549AA">
        <w:tc>
          <w:tcPr>
            <w:tcW w:w="10490" w:type="dxa"/>
            <w:tcBorders>
              <w:bottom w:val="single" w:sz="4" w:space="0" w:color="auto"/>
            </w:tcBorders>
            <w:shd w:val="clear" w:color="auto" w:fill="auto"/>
          </w:tcPr>
          <w:p w:rsidR="007549AA" w:rsidRDefault="00A35F38">
            <w:pPr>
              <w:rPr>
                <w:noProof/>
              </w:rPr>
            </w:pPr>
            <w:r>
              <w:rPr>
                <w:noProof/>
              </w:rPr>
              <w:t>Για την ανάπτυξη διασυνοριακών ενεργειακών υποδομών είναι απαρ</w:t>
            </w:r>
            <w:r>
              <w:rPr>
                <w:noProof/>
              </w:rPr>
              <w:t>αίτητο ένα πλαίσιο συνεργασίας σε επίπεδο ΕΕ μεταξύ των κρατών μελών. Οι επιμέρους κανονισμοί και οι ενέργειες των κρατών μελών δεν επαρκούν για την υλοποίηση αυτών των έργων υποδομών. Από οικονομική σκοπιά, η βέλτιστη εξέλιξη των ενεργειακών δικτύων επιτυ</w:t>
            </w:r>
            <w:r>
              <w:rPr>
                <w:noProof/>
              </w:rPr>
              <w:t>γχάνεται όταν ο σχεδιασμός πραγματοποιείται με ευρωπαϊκή προοπτική, συνδυάζοντας τη δράση της ΕΕ και των κρατών μελών, με σεβασμό παράλληλα στις αντίστοιχες αρμοδιότητές τους. Η αξιολόγηση του ισχύοντος κανονισμού ΔΕΔ-Ε επιβεβαίωσε ότι ο ΔΕΔ-Ε παρείχε πρόσ</w:t>
            </w:r>
            <w:r>
              <w:rPr>
                <w:noProof/>
              </w:rPr>
              <w:t xml:space="preserve">θετη αξία σε σύγκριση με αυτό που θα μπορούσε να επιτευχθεί μόνο σε εθνικό ή περιφερειακό επίπεδο. </w:t>
            </w:r>
          </w:p>
        </w:tc>
      </w:tr>
      <w:tr w:rsidR="007549AA">
        <w:tc>
          <w:tcPr>
            <w:tcW w:w="10490" w:type="dxa"/>
            <w:tcBorders>
              <w:bottom w:val="single" w:sz="4" w:space="0" w:color="auto"/>
            </w:tcBorders>
            <w:shd w:val="clear" w:color="auto" w:fill="CCCCCC"/>
          </w:tcPr>
          <w:p w:rsidR="007549AA" w:rsidRDefault="00A35F38">
            <w:pPr>
              <w:rPr>
                <w:b/>
                <w:noProof/>
              </w:rPr>
            </w:pPr>
            <w:r>
              <w:rPr>
                <w:b/>
                <w:noProof/>
              </w:rPr>
              <w:t>Β. Λύσεις</w:t>
            </w:r>
          </w:p>
        </w:tc>
      </w:tr>
      <w:tr w:rsidR="007549AA">
        <w:tc>
          <w:tcPr>
            <w:tcW w:w="10490" w:type="dxa"/>
            <w:tcBorders>
              <w:bottom w:val="single" w:sz="4" w:space="0" w:color="auto"/>
            </w:tcBorders>
            <w:shd w:val="clear" w:color="auto" w:fill="E6E6E6"/>
          </w:tcPr>
          <w:p w:rsidR="007549AA" w:rsidRDefault="00A35F38">
            <w:pPr>
              <w:rPr>
                <w:noProof/>
              </w:rPr>
            </w:pPr>
            <w:r>
              <w:rPr>
                <w:b/>
                <w:noProof/>
              </w:rPr>
              <w:t>Ποιες είναι οι διάφορες επιλογές για την επίτευξη των στόχων;</w:t>
            </w:r>
            <w:r>
              <w:rPr>
                <w:noProof/>
              </w:rPr>
              <w:t xml:space="preserve"> </w:t>
            </w:r>
            <w:r>
              <w:rPr>
                <w:b/>
                <w:noProof/>
              </w:rPr>
              <w:t>Υπάρχει προτιμώμενη επιλογή ή όχι; Αν όχι, γιατί;</w:t>
            </w:r>
          </w:p>
        </w:tc>
      </w:tr>
      <w:tr w:rsidR="007549AA">
        <w:tc>
          <w:tcPr>
            <w:tcW w:w="10490" w:type="dxa"/>
            <w:tcBorders>
              <w:bottom w:val="single" w:sz="4" w:space="0" w:color="auto"/>
            </w:tcBorders>
            <w:shd w:val="clear" w:color="auto" w:fill="auto"/>
          </w:tcPr>
          <w:p w:rsidR="007549AA" w:rsidRDefault="00A35F38">
            <w:pPr>
              <w:spacing w:after="0"/>
              <w:rPr>
                <w:noProof/>
              </w:rPr>
            </w:pPr>
            <w:r>
              <w:rPr>
                <w:noProof/>
              </w:rPr>
              <w:t xml:space="preserve">Εξετάστηκαν διάφορες επιλογές </w:t>
            </w:r>
            <w:r>
              <w:rPr>
                <w:noProof/>
              </w:rPr>
              <w:t>πολιτικής για τα ακόλουθα θέματα:</w:t>
            </w:r>
          </w:p>
          <w:p w:rsidR="007549AA" w:rsidRDefault="007549AA">
            <w:pPr>
              <w:spacing w:after="0"/>
              <w:rPr>
                <w:noProof/>
              </w:rPr>
            </w:pPr>
          </w:p>
          <w:p w:rsidR="007549AA" w:rsidRDefault="00A35F38">
            <w:pPr>
              <w:spacing w:after="0"/>
              <w:rPr>
                <w:noProof/>
              </w:rPr>
            </w:pPr>
            <w:r>
              <w:rPr>
                <w:noProof/>
              </w:rPr>
              <w:t>Α) ΠΕΔΙΟ ΕΦΑΡΜΟΓΗΣ</w:t>
            </w:r>
          </w:p>
          <w:p w:rsidR="007549AA" w:rsidRDefault="00A35F38">
            <w:pPr>
              <w:pStyle w:val="ListParagraph"/>
              <w:numPr>
                <w:ilvl w:val="0"/>
                <w:numId w:val="3"/>
              </w:numPr>
              <w:spacing w:after="0"/>
              <w:rPr>
                <w:noProof/>
              </w:rPr>
            </w:pPr>
            <w:r>
              <w:rPr>
                <w:noProof/>
              </w:rPr>
              <w:t>Έξυπνα δίκτυα ηλεκτρικής ενέργειας και αποθήκευση ηλεκτρικής ενέργειας</w:t>
            </w:r>
          </w:p>
          <w:p w:rsidR="007549AA" w:rsidRDefault="00A35F38">
            <w:pPr>
              <w:pStyle w:val="ListParagraph"/>
              <w:numPr>
                <w:ilvl w:val="0"/>
                <w:numId w:val="3"/>
              </w:numPr>
              <w:spacing w:after="0"/>
              <w:rPr>
                <w:noProof/>
              </w:rPr>
            </w:pPr>
            <w:r>
              <w:rPr>
                <w:noProof/>
              </w:rPr>
              <w:t>Υποδομές φυσικού αερίου, δίκτυα υδρογόνου και μετατροπή ενέργειας σε αέριο</w:t>
            </w:r>
          </w:p>
          <w:p w:rsidR="007549AA" w:rsidRDefault="00A35F38">
            <w:pPr>
              <w:pStyle w:val="ListParagraph"/>
              <w:numPr>
                <w:ilvl w:val="0"/>
                <w:numId w:val="3"/>
              </w:numPr>
              <w:spacing w:after="0"/>
              <w:rPr>
                <w:noProof/>
              </w:rPr>
            </w:pPr>
            <w:r>
              <w:rPr>
                <w:noProof/>
              </w:rPr>
              <w:t xml:space="preserve">Έργα σε συνεργασία με τρίτες χώρες (έργα αμοιβαίου </w:t>
            </w:r>
            <w:r>
              <w:rPr>
                <w:noProof/>
              </w:rPr>
              <w:t>ενδιαφέροντος)</w:t>
            </w:r>
          </w:p>
          <w:p w:rsidR="007549AA" w:rsidRDefault="00A35F38">
            <w:pPr>
              <w:spacing w:after="0"/>
              <w:rPr>
                <w:noProof/>
              </w:rPr>
            </w:pPr>
            <w:r>
              <w:rPr>
                <w:noProof/>
              </w:rPr>
              <w:t>Β) ΔΙΑΚΥΒΕΡΝΗΣΗ/ΣΧΕΔΙΑΣΜΟΣ ΥΠΟΔΟΜΩΝ</w:t>
            </w:r>
          </w:p>
          <w:p w:rsidR="007549AA" w:rsidRDefault="00A35F38">
            <w:pPr>
              <w:pStyle w:val="ListParagraph"/>
              <w:numPr>
                <w:ilvl w:val="0"/>
                <w:numId w:val="4"/>
              </w:numPr>
              <w:spacing w:after="0"/>
              <w:rPr>
                <w:noProof/>
              </w:rPr>
            </w:pPr>
            <w:r>
              <w:rPr>
                <w:noProof/>
              </w:rPr>
              <w:t>Υπεράκτια δίκτυα ενέργειας από ανανεώσιμες πηγές</w:t>
            </w:r>
          </w:p>
          <w:p w:rsidR="007549AA" w:rsidRDefault="00A35F38">
            <w:pPr>
              <w:pStyle w:val="ListParagraph"/>
              <w:numPr>
                <w:ilvl w:val="0"/>
                <w:numId w:val="4"/>
              </w:numPr>
              <w:spacing w:after="0"/>
              <w:rPr>
                <w:noProof/>
              </w:rPr>
            </w:pPr>
            <w:r>
              <w:rPr>
                <w:noProof/>
              </w:rPr>
              <w:t>Διατομεακός σχεδιασμός υποδομών</w:t>
            </w:r>
          </w:p>
          <w:p w:rsidR="007549AA" w:rsidRDefault="00A35F38">
            <w:pPr>
              <w:spacing w:after="0"/>
              <w:rPr>
                <w:noProof/>
              </w:rPr>
            </w:pPr>
            <w:r>
              <w:rPr>
                <w:noProof/>
              </w:rPr>
              <w:t xml:space="preserve">Γ) ΑΔΕΙΟΔΟΤΗΣΗ </w:t>
            </w:r>
          </w:p>
          <w:p w:rsidR="007549AA" w:rsidRDefault="00A35F38">
            <w:pPr>
              <w:pStyle w:val="ListParagraph"/>
              <w:numPr>
                <w:ilvl w:val="0"/>
                <w:numId w:val="5"/>
              </w:numPr>
              <w:spacing w:after="0"/>
              <w:rPr>
                <w:noProof/>
              </w:rPr>
            </w:pPr>
            <w:r>
              <w:rPr>
                <w:noProof/>
              </w:rPr>
              <w:t>Επιτάχυνση της ολοκλήρωσης των διαδικασιών αδειοδότησης</w:t>
            </w:r>
          </w:p>
          <w:p w:rsidR="007549AA" w:rsidRDefault="00A35F38">
            <w:pPr>
              <w:pStyle w:val="ListParagraph"/>
              <w:numPr>
                <w:ilvl w:val="0"/>
                <w:numId w:val="5"/>
              </w:numPr>
              <w:spacing w:after="0"/>
              <w:rPr>
                <w:noProof/>
              </w:rPr>
            </w:pPr>
            <w:r>
              <w:rPr>
                <w:noProof/>
              </w:rPr>
              <w:t>Μονοαπευθυντική θυρίδα για την ανάπτυξη υπεράκτιων δ</w:t>
            </w:r>
            <w:r>
              <w:rPr>
                <w:noProof/>
              </w:rPr>
              <w:t>ικτύων</w:t>
            </w:r>
          </w:p>
          <w:p w:rsidR="007549AA" w:rsidRDefault="00A35F38">
            <w:pPr>
              <w:spacing w:after="0"/>
              <w:rPr>
                <w:noProof/>
              </w:rPr>
            </w:pPr>
            <w:r>
              <w:rPr>
                <w:noProof/>
              </w:rPr>
              <w:t>Δ) ΡΥΘΜΙΣΤΙΚΗ ΜΕΤΑΧΕΙΡΙΣΗ</w:t>
            </w:r>
          </w:p>
          <w:p w:rsidR="007549AA" w:rsidRDefault="00A35F38">
            <w:pPr>
              <w:pStyle w:val="ListParagraph"/>
              <w:numPr>
                <w:ilvl w:val="0"/>
                <w:numId w:val="5"/>
              </w:numPr>
              <w:spacing w:after="0"/>
              <w:rPr>
                <w:noProof/>
              </w:rPr>
            </w:pPr>
            <w:r>
              <w:rPr>
                <w:noProof/>
              </w:rPr>
              <w:t>Συμπερίληψη του συνολικού επενδυτικού κόστους</w:t>
            </w:r>
          </w:p>
          <w:p w:rsidR="007549AA" w:rsidRDefault="007549AA">
            <w:pPr>
              <w:spacing w:after="0"/>
              <w:rPr>
                <w:noProof/>
              </w:rPr>
            </w:pPr>
          </w:p>
          <w:p w:rsidR="007549AA" w:rsidRDefault="00A35F38">
            <w:pPr>
              <w:spacing w:after="0"/>
              <w:rPr>
                <w:noProof/>
              </w:rPr>
            </w:pPr>
            <w:r>
              <w:rPr>
                <w:noProof/>
              </w:rPr>
              <w:t>Από τη σύγκριση των επιλογών προκύπτει ότι καμία μεμονωμένη επιλογή δεν επαρκεί για την επίτευξη των καθορισμένων στόχων. Μια δέσμη προτιμώμενων επιλογών πολιτικής φαίνεται ότι</w:t>
            </w:r>
            <w:r>
              <w:rPr>
                <w:noProof/>
              </w:rPr>
              <w:t xml:space="preserve"> είναι η πλέον κατάλληλη για την επίτευξη των στόχων με αναλογικό τρόπο, όπως περιγράφεται λεπτομερώς στην έκθεση εκτίμησης επιπτώσεων.</w:t>
            </w:r>
          </w:p>
        </w:tc>
      </w:tr>
      <w:tr w:rsidR="007549AA">
        <w:tc>
          <w:tcPr>
            <w:tcW w:w="10490" w:type="dxa"/>
            <w:shd w:val="clear" w:color="auto" w:fill="CCCCCC"/>
          </w:tcPr>
          <w:p w:rsidR="007549AA" w:rsidRDefault="00A35F38">
            <w:pPr>
              <w:rPr>
                <w:noProof/>
              </w:rPr>
            </w:pPr>
            <w:r>
              <w:rPr>
                <w:b/>
                <w:noProof/>
              </w:rPr>
              <w:t xml:space="preserve">Ποιες απόψεις διατύπωσαν οι διάφοροι ενδιαφερόμενοι φορείς; Ποιος υποστηρίζει την κάθε επιλογή; </w:t>
            </w:r>
          </w:p>
        </w:tc>
      </w:tr>
      <w:tr w:rsidR="007549AA">
        <w:tc>
          <w:tcPr>
            <w:tcW w:w="10490" w:type="dxa"/>
            <w:shd w:val="clear" w:color="auto" w:fill="auto"/>
          </w:tcPr>
          <w:p w:rsidR="007549AA" w:rsidRDefault="00A35F38">
            <w:pPr>
              <w:rPr>
                <w:rFonts w:eastAsia="Arial"/>
                <w:noProof/>
              </w:rPr>
            </w:pPr>
            <w:r>
              <w:rPr>
                <w:noProof/>
              </w:rPr>
              <w:t xml:space="preserve">Όσον αφορά το πεδίο </w:t>
            </w:r>
            <w:r>
              <w:rPr>
                <w:noProof/>
              </w:rPr>
              <w:t>εφαρμογής του ισχύοντος πλαισίου, πολλοί ενδιαφερόμενοι επισήμαναν την ανάγκη επικαιροποίησης των έξυπνων δικτύων ηλεκτρικής ενέργειας. Ενώ αρκετές ομάδες ενδιαφερομένων, οι οποίες εκπροσωπούσαν κυρίως τους ΔΣΜ και τις ενώσεις του κλάδου, θεώρησαν σημαντικ</w:t>
            </w:r>
            <w:r>
              <w:rPr>
                <w:noProof/>
              </w:rPr>
              <w:t>ή τη συμπερίληψη νέων υποδομών φυσικού αερίου, η στήριξη υπήρξε ανάμικτη, κυρίως από περιβαλλοντικές ΜΚΟ. Όσον αφορά τη διακυβέρνηση και τον σχεδιασμό των υποδομών, οι ενδιαφερόμενοι δεν εξέφρασαν συγκεκριμένες απόψεις σχετικά με το μελλοντικό καθεστώς σχε</w:t>
            </w:r>
            <w:r>
              <w:rPr>
                <w:noProof/>
              </w:rPr>
              <w:t>διασμού υπεράκτιων υποδομών, στηρίζοντας παράλληλα τις προσαρμογές στις αρμοδιότητες όσον αφορά τον σχεδιασμό υποδομών και ενισχύοντας την αξιολόγηση της βιωσιμότητας. Όσον αφορά την αδειοδότηση, οι ενδιαφερόμενοι επισήμαναν τις δυσκολίες που παρουσιάζει η</w:t>
            </w:r>
            <w:r>
              <w:rPr>
                <w:noProof/>
              </w:rPr>
              <w:t xml:space="preserve"> πολύπλοκη και χρονοβόρα διαδικασία αδειοδότησης των υπεράκτιων έργων που εκτείνονται σε πολλές δικαιοδοσίες και ζήτησαν απλούστευση της διαδικασίας αδειοδότησης.</w:t>
            </w:r>
          </w:p>
        </w:tc>
      </w:tr>
      <w:tr w:rsidR="007549AA">
        <w:tc>
          <w:tcPr>
            <w:tcW w:w="10490" w:type="dxa"/>
            <w:tcBorders>
              <w:bottom w:val="single" w:sz="4" w:space="0" w:color="auto"/>
            </w:tcBorders>
            <w:shd w:val="clear" w:color="auto" w:fill="CCCCCC"/>
          </w:tcPr>
          <w:p w:rsidR="007549AA" w:rsidRDefault="00A35F38">
            <w:pPr>
              <w:rPr>
                <w:b/>
                <w:noProof/>
              </w:rPr>
            </w:pPr>
            <w:r>
              <w:rPr>
                <w:b/>
                <w:noProof/>
              </w:rPr>
              <w:t>Γ. Επιπτώσεις της προτιμώμενης επιλογής</w:t>
            </w:r>
          </w:p>
        </w:tc>
      </w:tr>
      <w:tr w:rsidR="007549AA">
        <w:tc>
          <w:tcPr>
            <w:tcW w:w="10490" w:type="dxa"/>
            <w:tcBorders>
              <w:bottom w:val="single" w:sz="4" w:space="0" w:color="auto"/>
            </w:tcBorders>
            <w:shd w:val="clear" w:color="auto" w:fill="E6E6E6"/>
          </w:tcPr>
          <w:p w:rsidR="007549AA" w:rsidRDefault="00A35F38">
            <w:pPr>
              <w:rPr>
                <w:noProof/>
              </w:rPr>
            </w:pPr>
            <w:r>
              <w:rPr>
                <w:b/>
                <w:noProof/>
              </w:rPr>
              <w:t xml:space="preserve">Ποια είναι τα οφέλη της προτιμώμενης επιλογής </w:t>
            </w:r>
            <w:r>
              <w:rPr>
                <w:b/>
                <w:noProof/>
              </w:rPr>
              <w:t>(ειδάλλως, των κυριότερων επιλογών);</w:t>
            </w:r>
            <w:r>
              <w:rPr>
                <w:noProof/>
              </w:rPr>
              <w:t xml:space="preserve"> </w:t>
            </w:r>
          </w:p>
        </w:tc>
      </w:tr>
      <w:tr w:rsidR="007549AA">
        <w:tc>
          <w:tcPr>
            <w:tcW w:w="10490" w:type="dxa"/>
            <w:tcBorders>
              <w:bottom w:val="single" w:sz="4" w:space="0" w:color="auto"/>
            </w:tcBorders>
            <w:shd w:val="clear" w:color="auto" w:fill="auto"/>
          </w:tcPr>
          <w:p w:rsidR="007549AA" w:rsidRDefault="00A35F38">
            <w:pPr>
              <w:rPr>
                <w:noProof/>
              </w:rPr>
            </w:pPr>
            <w:r>
              <w:rPr>
                <w:noProof/>
              </w:rPr>
              <w:t xml:space="preserve">Η εκτίμηση επιπτώσεων βασίζεται σε μεγάλο βαθμό σε μια ποιοτική προσέγγιση. Δεν κατέστη δυνατός ο ποσοτικός προσδιορισμός των επιπτώσεων όλων των επιλογών, λόγω της έλλειψης ειδικών ανά έργο δεδομένων, ιδίως για νέες </w:t>
            </w:r>
            <w:r>
              <w:rPr>
                <w:noProof/>
              </w:rPr>
              <w:t>κατηγορίες υποδομών. Επιπλέον, οι προτεινόμενες αλλαγές είναι κυρίως σταδιακές βελτιώσεις του ισχύοντος πλαισίου, το οποίο θεωρείται ότι λειτουργεί σχετικά καλά.</w:t>
            </w:r>
          </w:p>
          <w:p w:rsidR="007549AA" w:rsidRDefault="00A35F38">
            <w:pPr>
              <w:rPr>
                <w:noProof/>
              </w:rPr>
            </w:pPr>
            <w:r>
              <w:rPr>
                <w:noProof/>
              </w:rPr>
              <w:t>Η προσαρμογή του πεδίου εφαρμογής του μέσου με τη διασφάλιση της συνέπειας των κατηγοριών υποδ</w:t>
            </w:r>
            <w:r>
              <w:rPr>
                <w:noProof/>
              </w:rPr>
              <w:t>ομών με τον στόχο της κλιματικής ουδετερότητας θα μειώσει τις εκπομπές αερίων του θερμοκηπίου με τη στήριξη ενός βέλτιστου και αποδοτικού ενοποιημένου σχεδιασμού υποδομών, ο οποίος ελαχιστοποιεί επίσης τις δυνητικές περιβαλλοντικές επιπτώσεις. Η επιτάχυνση</w:t>
            </w:r>
            <w:r>
              <w:rPr>
                <w:noProof/>
              </w:rPr>
              <w:t xml:space="preserve"> της διαδικασίας αδειοδότησης θα καταστήσει επίσης δυνατή την ταχύτερη υλοποίηση βασικών έργων και, ως εκ τούτου, θα αποφέρει περιβαλλοντικά και κοινωνικοοικονομικά οφέλη. </w:t>
            </w:r>
          </w:p>
        </w:tc>
      </w:tr>
      <w:tr w:rsidR="007549AA">
        <w:tc>
          <w:tcPr>
            <w:tcW w:w="10490" w:type="dxa"/>
            <w:tcBorders>
              <w:bottom w:val="single" w:sz="4" w:space="0" w:color="auto"/>
            </w:tcBorders>
            <w:shd w:val="clear" w:color="auto" w:fill="E6E6E6"/>
          </w:tcPr>
          <w:p w:rsidR="007549AA" w:rsidRDefault="00A35F38">
            <w:pPr>
              <w:rPr>
                <w:noProof/>
              </w:rPr>
            </w:pPr>
            <w:r>
              <w:rPr>
                <w:b/>
                <w:noProof/>
              </w:rPr>
              <w:t xml:space="preserve">Ποιο είναι το κόστος της προτιμώμενης επιλογής (ειδάλλως, των κυριότερων </w:t>
            </w:r>
            <w:r>
              <w:rPr>
                <w:b/>
                <w:noProof/>
              </w:rPr>
              <w:t>επιλογών);</w:t>
            </w:r>
            <w:r>
              <w:rPr>
                <w:noProof/>
              </w:rPr>
              <w:t xml:space="preserve"> </w:t>
            </w:r>
          </w:p>
        </w:tc>
      </w:tr>
      <w:tr w:rsidR="007549AA">
        <w:tc>
          <w:tcPr>
            <w:tcW w:w="10490" w:type="dxa"/>
            <w:tcBorders>
              <w:bottom w:val="single" w:sz="4" w:space="0" w:color="auto"/>
            </w:tcBorders>
            <w:shd w:val="clear" w:color="auto" w:fill="auto"/>
          </w:tcPr>
          <w:p w:rsidR="007549AA" w:rsidRDefault="00A35F38">
            <w:pPr>
              <w:rPr>
                <w:noProof/>
              </w:rPr>
            </w:pPr>
            <w:r>
              <w:rPr>
                <w:noProof/>
              </w:rPr>
              <w:t>Ο κανονισμός ΔΕΔ-Ε θεσπίζει ευνοϊκό πλαίσιο για τις διευρωπαϊκές ενεργειακές υποδομές, προβλέποντας διαδικασία επιλογής έργων κοινού ενδιαφέροντος, τα οποία στη συνέχεια μπορούν να επωφεληθούν από διατάξεις που διευκολύνουν την υλοποίησή τους.</w:t>
            </w:r>
            <w:r>
              <w:rPr>
                <w:noProof/>
              </w:rPr>
              <w:t xml:space="preserve"> Ως εκ τούτου, ο κανονισμός ΔΕΔ-Ε δεν επιβάλλει υποχρεώσεις ή κόστος στους οικονομικούς φορείς, αλλά θέτει απαιτήσεις για τους φορείς υλοποίησης ΕΚΕ, κυρίως τους ΔΣΜ και τους ΔΣΔ, οι οποίοι αποφασίζουν να υποβάλουν αίτηση για καθεστώς ΕΚΕ και στη συνέχεια </w:t>
            </w:r>
            <w:r>
              <w:rPr>
                <w:noProof/>
              </w:rPr>
              <w:t>να υπόκεινται σε ορισμένες υποχρεώσεις, κυρίως με τη μορφή υποχρεώσεων παρακολούθησης και υποβολής εκθέσεων. Επιπλέον, ο κανονισμός ΔΕΔ-Ε θεσπίζει υποχρεώσεις για τις αρμόδιες εθνικές αρχές και τις ρυθμιστικές αρχές όσον αφορά την αδειοδότηση, τα ρυθμιστικ</w:t>
            </w:r>
            <w:r>
              <w:rPr>
                <w:noProof/>
              </w:rPr>
              <w:t>ά κίνητρα και τη δημόσια συμμετοχή, καθώς και για τους φορείς εκμετάλλευσης δικτύων όσον αφορά τον μακροπρόθεσμο σχεδιασμό του δικτύου. Οι καταναλωτές επηρεάζονται κυρίως από τα τιμολόγια δικτύου για τη χρηματοδότηση επενδύσεων στην βάση στοιχείων ενεργητι</w:t>
            </w:r>
            <w:r>
              <w:rPr>
                <w:noProof/>
              </w:rPr>
              <w:t>κού για ρυθμιστικούς σκοπούς (RAB). Η στοχευμένη χρήση του μέσου ΔΕΔ-Ε σε συνδυασμό με επιλεκτική στήριξη από τον μηχανισμό «Συνδέοντας την Ευρώπη» μπορεί να συμβάλει στην ελάφρυνση αυτού του κόστους για τους καταναλωτές, ελαχιστοποιώντας παράλληλα τον κίν</w:t>
            </w:r>
            <w:r>
              <w:rPr>
                <w:noProof/>
              </w:rPr>
              <w:t>δυνο μη αξιοποιήσιμων στοιχείων ενεργητικού.</w:t>
            </w:r>
          </w:p>
        </w:tc>
      </w:tr>
      <w:tr w:rsidR="007549AA">
        <w:tc>
          <w:tcPr>
            <w:tcW w:w="10490" w:type="dxa"/>
            <w:tcBorders>
              <w:bottom w:val="single" w:sz="4" w:space="0" w:color="auto"/>
            </w:tcBorders>
            <w:shd w:val="clear" w:color="auto" w:fill="E6E6E6"/>
          </w:tcPr>
          <w:p w:rsidR="007549AA" w:rsidRDefault="00A35F38">
            <w:pPr>
              <w:rPr>
                <w:noProof/>
              </w:rPr>
            </w:pPr>
            <w:r>
              <w:rPr>
                <w:b/>
                <w:noProof/>
              </w:rPr>
              <w:t xml:space="preserve">Ποιες είναι οι επιπτώσεις στις ΜΜΕ και στην ανταγωνιστικότητα; </w:t>
            </w:r>
          </w:p>
        </w:tc>
      </w:tr>
      <w:tr w:rsidR="007549AA">
        <w:tc>
          <w:tcPr>
            <w:tcW w:w="10490" w:type="dxa"/>
            <w:tcBorders>
              <w:bottom w:val="single" w:sz="4" w:space="0" w:color="auto"/>
            </w:tcBorders>
            <w:shd w:val="clear" w:color="auto" w:fill="auto"/>
          </w:tcPr>
          <w:p w:rsidR="007549AA" w:rsidRDefault="00A35F38">
            <w:pPr>
              <w:rPr>
                <w:i/>
                <w:noProof/>
              </w:rPr>
            </w:pPr>
            <w:r>
              <w:rPr>
                <w:noProof/>
              </w:rPr>
              <w:t>Δεν προσδιορίζονται άμεσες επιπτώσεις για τις ΜΜΕ όσον αφορά τη συμμόρφωση ή το διοικητικό κόστος. Οι ΜΜΕ θα μπορούσαν να επωφεληθούν από την αύξ</w:t>
            </w:r>
            <w:r>
              <w:rPr>
                <w:noProof/>
              </w:rPr>
              <w:t>ηση της ανταγωνιστικότητας στους τεχνολογικούς τομείς που περιλαμβάνονται ή ενισχύονται στο μελλοντικό πλαίσιο ΔΕΔ-Ε (π.χ. υπεράκτια βιομηχανία ανανεώσιμων πηγών ενέργειας, ψηφιακές υπηρεσίες ή υδρογόνο).</w:t>
            </w:r>
          </w:p>
        </w:tc>
      </w:tr>
      <w:tr w:rsidR="007549AA">
        <w:tc>
          <w:tcPr>
            <w:tcW w:w="10490" w:type="dxa"/>
            <w:tcBorders>
              <w:bottom w:val="single" w:sz="4" w:space="0" w:color="auto"/>
            </w:tcBorders>
            <w:shd w:val="clear" w:color="auto" w:fill="E6E6E6"/>
          </w:tcPr>
          <w:p w:rsidR="007549AA" w:rsidRDefault="00A35F38">
            <w:pPr>
              <w:rPr>
                <w:b/>
                <w:i/>
                <w:noProof/>
              </w:rPr>
            </w:pPr>
            <w:r>
              <w:rPr>
                <w:b/>
                <w:noProof/>
              </w:rPr>
              <w:t>Θα υπάρξουν σημαντικές επιπτώσεις στους εθνικούς π</w:t>
            </w:r>
            <w:r>
              <w:rPr>
                <w:b/>
                <w:noProof/>
              </w:rPr>
              <w:t>ροϋπολογισμούς και στις εθνικές διοικήσεις;</w:t>
            </w:r>
            <w:r>
              <w:rPr>
                <w:noProof/>
              </w:rPr>
              <w:t xml:space="preserve"> </w:t>
            </w:r>
          </w:p>
        </w:tc>
      </w:tr>
      <w:tr w:rsidR="007549AA">
        <w:tc>
          <w:tcPr>
            <w:tcW w:w="10490" w:type="dxa"/>
            <w:shd w:val="clear" w:color="auto" w:fill="auto"/>
          </w:tcPr>
          <w:p w:rsidR="007549AA" w:rsidRDefault="00A35F38">
            <w:pPr>
              <w:rPr>
                <w:noProof/>
              </w:rPr>
            </w:pPr>
            <w:r>
              <w:rPr>
                <w:noProof/>
              </w:rPr>
              <w:t xml:space="preserve">Ο αυξημένος συντονισμός και ο εξορθολογισμός των υφιστάμενων δομών εντός των αρμόδιων αρχών των κρατών μελών που είναι επιφορτισμένες με την επιλογή και την υλοποίηση των ΕΚΕ θα οδηγήσουν σε περαιτέρω βελτίωση της αποτελεσματικότητας. </w:t>
            </w:r>
          </w:p>
        </w:tc>
      </w:tr>
      <w:tr w:rsidR="007549AA">
        <w:tc>
          <w:tcPr>
            <w:tcW w:w="10490" w:type="dxa"/>
            <w:tcBorders>
              <w:bottom w:val="single" w:sz="4" w:space="0" w:color="auto"/>
            </w:tcBorders>
            <w:shd w:val="clear" w:color="auto" w:fill="E6E6E6"/>
          </w:tcPr>
          <w:p w:rsidR="007549AA" w:rsidRDefault="00A35F38">
            <w:pPr>
              <w:rPr>
                <w:noProof/>
              </w:rPr>
            </w:pPr>
            <w:r>
              <w:rPr>
                <w:b/>
                <w:noProof/>
              </w:rPr>
              <w:t>Θα υπάρξουν άλλες σ</w:t>
            </w:r>
            <w:r>
              <w:rPr>
                <w:b/>
                <w:noProof/>
              </w:rPr>
              <w:t>ημαντικές επιπτώσεις;</w:t>
            </w:r>
            <w:r>
              <w:rPr>
                <w:noProof/>
              </w:rPr>
              <w:t xml:space="preserve"> </w:t>
            </w:r>
          </w:p>
        </w:tc>
      </w:tr>
      <w:tr w:rsidR="007549AA">
        <w:tc>
          <w:tcPr>
            <w:tcW w:w="10490" w:type="dxa"/>
            <w:tcBorders>
              <w:bottom w:val="single" w:sz="4" w:space="0" w:color="auto"/>
            </w:tcBorders>
            <w:shd w:val="clear" w:color="auto" w:fill="auto"/>
          </w:tcPr>
          <w:p w:rsidR="007549AA" w:rsidRDefault="00A35F38">
            <w:pPr>
              <w:rPr>
                <w:noProof/>
              </w:rPr>
            </w:pPr>
            <w:r>
              <w:rPr>
                <w:noProof/>
              </w:rPr>
              <w:t>Το κόστος συμμόρφωσης θα μειωθεί ως αποτέλεσμα των προτεινόμενων μέτρων REFIT, όπως ο εξορθολογισμός των υποχρεώσεων υποβολής εκθέσεων, η αποτελεσματικότερη παρακολούθηση και η εξαίρεση από τις απαιτήσεις πριν από τη διαβούλευση, εά</w:t>
            </w:r>
            <w:r>
              <w:rPr>
                <w:noProof/>
              </w:rPr>
              <w:t>ν καλύπτονται ήδη από τους εθνικούς κανόνες στο πλαίσιο των ίδιων ή υψηλότερων προτύπων που προβλέπονται στον κανονισμό ΔΕΔ-Ε.</w:t>
            </w:r>
          </w:p>
        </w:tc>
      </w:tr>
      <w:tr w:rsidR="007549AA">
        <w:tc>
          <w:tcPr>
            <w:tcW w:w="10490" w:type="dxa"/>
            <w:tcBorders>
              <w:bottom w:val="single" w:sz="4" w:space="0" w:color="auto"/>
            </w:tcBorders>
            <w:shd w:val="clear" w:color="auto" w:fill="D9D9D9"/>
          </w:tcPr>
          <w:p w:rsidR="007549AA" w:rsidRDefault="00A35F38">
            <w:pPr>
              <w:rPr>
                <w:i/>
                <w:noProof/>
              </w:rPr>
            </w:pPr>
            <w:r>
              <w:rPr>
                <w:b/>
                <w:noProof/>
              </w:rPr>
              <w:t>Αναλογικότητα;</w:t>
            </w:r>
            <w:r>
              <w:rPr>
                <w:noProof/>
              </w:rPr>
              <w:t xml:space="preserve"> </w:t>
            </w:r>
          </w:p>
        </w:tc>
      </w:tr>
      <w:tr w:rsidR="007549AA">
        <w:tc>
          <w:tcPr>
            <w:tcW w:w="10490" w:type="dxa"/>
            <w:tcBorders>
              <w:bottom w:val="single" w:sz="4" w:space="0" w:color="auto"/>
            </w:tcBorders>
            <w:shd w:val="clear" w:color="auto" w:fill="auto"/>
          </w:tcPr>
          <w:p w:rsidR="007549AA" w:rsidRDefault="00A35F38">
            <w:pPr>
              <w:rPr>
                <w:i/>
                <w:noProof/>
              </w:rPr>
            </w:pPr>
            <w:r>
              <w:rPr>
                <w:noProof/>
              </w:rPr>
              <w:t>Η δέσμη των προτιμώμενων επιλογών πολιτικής θεωρείται ανάλογη των επιδιωκόμενων σκοπών.</w:t>
            </w:r>
          </w:p>
        </w:tc>
      </w:tr>
      <w:tr w:rsidR="007549AA">
        <w:tc>
          <w:tcPr>
            <w:tcW w:w="10490" w:type="dxa"/>
            <w:tcBorders>
              <w:bottom w:val="single" w:sz="4" w:space="0" w:color="auto"/>
            </w:tcBorders>
            <w:shd w:val="clear" w:color="auto" w:fill="C0C0C0"/>
          </w:tcPr>
          <w:p w:rsidR="007549AA" w:rsidRDefault="00A35F38">
            <w:pPr>
              <w:rPr>
                <w:b/>
                <w:noProof/>
              </w:rPr>
            </w:pPr>
            <w:r>
              <w:rPr>
                <w:b/>
                <w:noProof/>
              </w:rPr>
              <w:t>Δ. Παρακολούθηση</w:t>
            </w:r>
          </w:p>
        </w:tc>
      </w:tr>
      <w:tr w:rsidR="007549AA">
        <w:tc>
          <w:tcPr>
            <w:tcW w:w="10490" w:type="dxa"/>
            <w:tcBorders>
              <w:bottom w:val="single" w:sz="4" w:space="0" w:color="auto"/>
            </w:tcBorders>
            <w:shd w:val="clear" w:color="auto" w:fill="E6E6E6"/>
          </w:tcPr>
          <w:p w:rsidR="007549AA" w:rsidRDefault="00A35F38">
            <w:pPr>
              <w:rPr>
                <w:noProof/>
              </w:rPr>
            </w:pPr>
            <w:r>
              <w:rPr>
                <w:b/>
                <w:noProof/>
              </w:rPr>
              <w:t xml:space="preserve">Πότε θα επανεξεταστεί η πολιτική; </w:t>
            </w:r>
          </w:p>
        </w:tc>
      </w:tr>
      <w:tr w:rsidR="007549AA">
        <w:tc>
          <w:tcPr>
            <w:tcW w:w="10490" w:type="dxa"/>
            <w:tcBorders>
              <w:bottom w:val="single" w:sz="4" w:space="0" w:color="auto"/>
            </w:tcBorders>
            <w:shd w:val="clear" w:color="auto" w:fill="auto"/>
          </w:tcPr>
          <w:p w:rsidR="007549AA" w:rsidRDefault="00A35F38">
            <w:pPr>
              <w:rPr>
                <w:b/>
                <w:noProof/>
              </w:rPr>
            </w:pPr>
            <w:r>
              <w:rPr>
                <w:noProof/>
              </w:rPr>
              <w:t>Το 2026, θα μπορούσε να πραγματοποιηθεί επανεξέταση της αποτελεσματικότητας της νέας νομοθεσίας όταν η δεύτερη διαδικασία επιλογής ΕΚΕ θα πρέπει να έχει ολοκληρωθεί βάσει του νέου πλαισίου.</w:t>
            </w:r>
          </w:p>
        </w:tc>
      </w:tr>
    </w:tbl>
    <w:p w:rsidR="007549AA" w:rsidRDefault="007549AA">
      <w:pPr>
        <w:rPr>
          <w:noProof/>
        </w:rPr>
      </w:pPr>
    </w:p>
    <w:sectPr w:rsidR="007549AA">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9AA" w:rsidRDefault="00A35F38">
      <w:pPr>
        <w:spacing w:after="0"/>
      </w:pPr>
      <w:r>
        <w:separator/>
      </w:r>
    </w:p>
  </w:endnote>
  <w:endnote w:type="continuationSeparator" w:id="0">
    <w:p w:rsidR="007549AA" w:rsidRDefault="00A35F3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F38" w:rsidRPr="00A35F38" w:rsidRDefault="00A35F38" w:rsidP="00A35F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F38" w:rsidRPr="00A35F38" w:rsidRDefault="00A35F38" w:rsidP="00A35F38">
    <w:pPr>
      <w:pStyle w:val="FooterCoverPage"/>
      <w:rPr>
        <w:rFonts w:ascii="Arial" w:hAnsi="Arial" w:cs="Arial"/>
        <w:b/>
        <w:sz w:val="48"/>
      </w:rPr>
    </w:pPr>
    <w:r w:rsidRPr="00A35F38">
      <w:rPr>
        <w:rFonts w:ascii="Arial" w:hAnsi="Arial" w:cs="Arial"/>
        <w:b/>
        <w:sz w:val="48"/>
      </w:rPr>
      <w:t>EL</w:t>
    </w:r>
    <w:r w:rsidRPr="00A35F38">
      <w:rPr>
        <w:rFonts w:ascii="Arial" w:hAnsi="Arial" w:cs="Arial"/>
        <w:b/>
        <w:sz w:val="48"/>
      </w:rPr>
      <w:tab/>
    </w:r>
    <w:r w:rsidRPr="00A35F38">
      <w:rPr>
        <w:rFonts w:ascii="Arial" w:hAnsi="Arial" w:cs="Arial"/>
        <w:b/>
        <w:sz w:val="48"/>
      </w:rPr>
      <w:tab/>
    </w:r>
    <w:r w:rsidRPr="00A35F38">
      <w:tab/>
    </w:r>
    <w:proofErr w:type="spellStart"/>
    <w:r w:rsidRPr="00A35F38">
      <w:rPr>
        <w:rFonts w:ascii="Arial" w:hAnsi="Arial" w:cs="Arial"/>
        <w:b/>
        <w:sz w:val="48"/>
      </w:rPr>
      <w:t>EL</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F38" w:rsidRPr="00A35F38" w:rsidRDefault="00A35F38" w:rsidP="00A35F38">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9AA" w:rsidRDefault="007549A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9AA" w:rsidRDefault="007549A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9AA" w:rsidRDefault="007549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9AA" w:rsidRDefault="00A35F38">
      <w:pPr>
        <w:spacing w:after="0"/>
      </w:pPr>
      <w:r>
        <w:separator/>
      </w:r>
    </w:p>
  </w:footnote>
  <w:footnote w:type="continuationSeparator" w:id="0">
    <w:p w:rsidR="007549AA" w:rsidRDefault="00A35F3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F38" w:rsidRPr="00A35F38" w:rsidRDefault="00A35F38" w:rsidP="00A35F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F38" w:rsidRPr="00A35F38" w:rsidRDefault="00A35F38" w:rsidP="00A35F38">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F38" w:rsidRPr="00A35F38" w:rsidRDefault="00A35F38" w:rsidP="00A35F38">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9AA" w:rsidRDefault="007549A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9AA" w:rsidRDefault="007549A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9AA" w:rsidRDefault="007549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615F72"/>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821"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40511A86"/>
    <w:multiLevelType w:val="hybridMultilevel"/>
    <w:tmpl w:val="5750F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6811E9"/>
    <w:multiLevelType w:val="hybridMultilevel"/>
    <w:tmpl w:val="8DE64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D22868"/>
    <w:multiLevelType w:val="hybridMultilevel"/>
    <w:tmpl w:val="A9DAA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AE4441"/>
    <w:multiLevelType w:val="hybridMultilevel"/>
    <w:tmpl w:val="78327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proofState w:spelling="clean" w:grammar="clean"/>
  <w:revisionView w:markup="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u960?\u959?\u965? \u963?\u965?\u957?\u959?\u948?\u949?\u973?\u949?\u953? \u964?\u959? \u941?\u947?\u947?\u961?\u945?\u966?\u959?"/>
    <w:docVar w:name="LW_CORRIGENDUM" w:val="&lt;UNUSED&gt;"/>
    <w:docVar w:name="LW_COVERPAGE_EXISTS" w:val="True"/>
    <w:docVar w:name="LW_COVERPAGE_GUID" w:val="FA70F0AD-088B-4BA4-9AD6-75D161BD08A8"/>
    <w:docVar w:name="LW_COVERPAGE_TYPE" w:val="1"/>
    <w:docVar w:name="LW_CROSSREFERENCE" w:val="{COM(2020) 824 final} - {SEC(2020) 431 final} - {SWD(2020) 346 final}"/>
    <w:docVar w:name="LW_DocType" w:val="NORMAL"/>
    <w:docVar w:name="LW_EMISSION" w:val="15.12.2020"/>
    <w:docVar w:name="LW_EMISSION_ISODATE" w:val="2020-12-15"/>
    <w:docVar w:name="LW_EMISSION_LOCATION" w:val="BRX"/>
    <w:docVar w:name="LW_EMISSION_PREFIX" w:val="\u914?\u961?\u965?\u958?\u941?\u955?\u955?\u949?\u962?, "/>
    <w:docVar w:name="LW_EMISSION_SUFFIX" w:val=" "/>
    <w:docVar w:name="LW_ID_DOCTYPE_NONLW" w:val="CP-027"/>
    <w:docVar w:name="LW_LANGUE" w:val="EL"/>
    <w:docVar w:name="LW_LEVEL_OF_SENSITIVITY" w:val="Standard treatment"/>
    <w:docVar w:name="LW_NOM.INST" w:val="\u917?\u933?\u929?\u937?\u928?\u913?\u938?\u922?\u919? \u917?\u928?\u921?\u932?\u929?\u927?\u928?\u919?"/>
    <w:docVar w:name="LW_NOM.INST_JOINTDOC" w:val="&lt;EMPTY&gt;"/>
    <w:docVar w:name="LW_OBJETACTEPRINCIPAL.CP" w:val=" "/>
    <w:docVar w:name="LW_PART_NBR" w:val="1"/>
    <w:docVar w:name="LW_PART_NBR_TOTAL" w:val="1"/>
    <w:docVar w:name="LW_REF.INST.NEW" w:val="SWD"/>
    <w:docVar w:name="LW_REF.INST.NEW_ADOPTED" w:val="final"/>
    <w:docVar w:name="LW_REF.INST.NEW_TEXT" w:val="(2020) 34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UNUSED&gt;"/>
    <w:docVar w:name="LW_TYPE.DOC.CP" w:val="\u917?\u915?\u915?\u929?\u913?\u934?\u927? \u917?\u929?\u915?\u913?\u931?\u921?\u913?\u931? \u932?\u937?\u925? \u933?\u928?\u919?\u929?\u917?\u931?\u921?\u937?\u925? \u932?\u919?\u931? \u917?\u928?\u921?\u932?\u929?\u927?\u928?\u919?\u931?_x000b__x000b_\u931?\u933?\u925?\u927?\u928?\u932?\u921?\u922?\u919? \u928?\u913?\u929?\u927?\u933?\u931?\u921?\u913?\u931?\u919? \u932?\u919?\u931? \u917?\u922?\u920?\u917?\u931?\u919?\u931? \u917?\u922?\u932?\u921?\u924?\u919?\u931?\u919?\u931? \u917?\u928?\u921?\u928?\u932?\u937?\u931?\u917?\u937?\u925?_x000b_"/>
    <w:docVar w:name="LW_TYPEACTEPRINCIPAL.CP" w:val="[\u928?\u961?\u972?\u964?\u945?\u963?\u951? \u954?\u945?\u957?\u959?\u957?\u953?\u963?\u956?\u959?\u973? \u964?\u959?\u965? \u917?\u965?\u961?\u969?\u960?\u945?\u970?\u954?\u959?\u973? \u954?\u959?\u953?\u957?\u959?\u946?\u959?\u965?\u955?\u943?\u959?\u965? \u954?\u945?\u953? \u964?\u959?\u965? \u931?\u965?\u956?\u946?\u959?\u965?\u955?\u943?\u959?\u965? \u963?\u967?\u949?\u964?\u953?\u954?\u940? \u956?\u949? \u954?\u945?\u964?\u949?\u965?\u952?\u965?\u957?\u964?\u942?\u961?\u953?\u949?\u962? \u947?\u961?\u945?\u956?\u956?\u941?\u962? \u947?\u953?\u945? \u964?\u953?\u962? \u948?\u953?\u949?\u965?\u961?\u969?\u960?\u945?\u970?\u954?\u941?\u962? \u949?\u957?\u949?\u961?\u947?\u949?\u953?\u945?\u954?\u941?\u962? \u965?\u960?\u959?\u948?\u959?\u956?\u941?\u962? \u954?\u945?\u953? \u956?\u949? \u964?\u951?\u957? \u954?\u945?\u964?\u940?\u961?\u947?\u951?\u963?\u951? \u964?\u959?\u965? \u954?\u945?\u957?\u959?\u957?\u953?\u963?\u956?\u959?\u973? (\u917?\u917?) \u945?\u961?\u953?\u952?. 347/2013]"/>
  </w:docVars>
  <w:rsids>
    <w:rsidRoot w:val="007549AA"/>
    <w:rsid w:val="007549AA"/>
    <w:rsid w:val="00A35F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18DF2469-F2B5-4F6B-93DE-0085886D6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line="240" w:lineRule="auto"/>
      <w:jc w:val="both"/>
    </w:pPr>
    <w:rPr>
      <w:rFonts w:ascii="Times New Roman" w:eastAsia="Times New Roman" w:hAnsi="Times New Roman" w:cs="Times New Roman"/>
      <w:sz w:val="24"/>
      <w:szCs w:val="20"/>
    </w:rPr>
  </w:style>
  <w:style w:type="paragraph" w:styleId="Heading1">
    <w:name w:val="heading 1"/>
    <w:basedOn w:val="Normal"/>
    <w:next w:val="Normal"/>
    <w:link w:val="Heading1Char"/>
    <w:qFormat/>
    <w:pPr>
      <w:keepNext/>
      <w:numPr>
        <w:numId w:val="1"/>
      </w:numPr>
      <w:tabs>
        <w:tab w:val="left" w:pos="2302"/>
      </w:tabs>
      <w:spacing w:before="240"/>
      <w:outlineLvl w:val="0"/>
    </w:pPr>
    <w:rPr>
      <w:b/>
      <w:smallCaps/>
    </w:rPr>
  </w:style>
  <w:style w:type="paragraph" w:styleId="Heading2">
    <w:name w:val="heading 2"/>
    <w:basedOn w:val="Normal"/>
    <w:next w:val="Normal"/>
    <w:link w:val="Heading2Char"/>
    <w:qFormat/>
    <w:pPr>
      <w:keepNext/>
      <w:numPr>
        <w:ilvl w:val="1"/>
        <w:numId w:val="1"/>
      </w:numPr>
      <w:tabs>
        <w:tab w:val="left" w:pos="2302"/>
      </w:tabs>
      <w:jc w:val="left"/>
      <w:outlineLvl w:val="1"/>
    </w:pPr>
    <w:rPr>
      <w:b/>
    </w:rPr>
  </w:style>
  <w:style w:type="paragraph" w:styleId="Heading3">
    <w:name w:val="heading 3"/>
    <w:basedOn w:val="Normal"/>
    <w:next w:val="Normal"/>
    <w:link w:val="Heading3Char"/>
    <w:qFormat/>
    <w:pPr>
      <w:keepNext/>
      <w:numPr>
        <w:ilvl w:val="2"/>
        <w:numId w:val="1"/>
      </w:numPr>
      <w:outlineLvl w:val="2"/>
    </w:pPr>
    <w:rPr>
      <w:i/>
    </w:rPr>
  </w:style>
  <w:style w:type="paragraph" w:styleId="Heading4">
    <w:name w:val="heading 4"/>
    <w:basedOn w:val="Normal"/>
    <w:next w:val="Normal"/>
    <w:link w:val="Heading4Char"/>
    <w:qFormat/>
    <w:pPr>
      <w:keepNext/>
      <w:numPr>
        <w:ilvl w:val="3"/>
        <w:numId w:val="1"/>
      </w:numPr>
      <w:tabs>
        <w:tab w:val="left" w:pos="2302"/>
      </w:tabs>
      <w:outlineLvl w:val="3"/>
    </w:pPr>
  </w:style>
  <w:style w:type="paragraph" w:styleId="Heading5">
    <w:name w:val="heading 5"/>
    <w:basedOn w:val="Normal"/>
    <w:next w:val="Normal"/>
    <w:link w:val="Heading5Char"/>
    <w:uiPriority w:val="9"/>
    <w:semiHidden/>
    <w:unhideWhenUsed/>
    <w:qFormat/>
    <w:pPr>
      <w:keepNext/>
      <w:keepLines/>
      <w:numPr>
        <w:ilvl w:val="4"/>
        <w:numId w:val="1"/>
      </w:numPr>
      <w:tabs>
        <w:tab w:val="left" w:pos="2302"/>
      </w:tab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pPr>
      <w:keepNext/>
      <w:keepLines/>
      <w:numPr>
        <w:ilvl w:val="5"/>
        <w:numId w:val="1"/>
      </w:numPr>
      <w:tabs>
        <w:tab w:val="left" w:pos="2302"/>
      </w:tab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pPr>
      <w:keepNext/>
      <w:keepLines/>
      <w:numPr>
        <w:ilvl w:val="6"/>
        <w:numId w:val="1"/>
      </w:numPr>
      <w:tabs>
        <w:tab w:val="left" w:pos="2302"/>
      </w:tab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pPr>
      <w:keepNext/>
      <w:keepLines/>
      <w:numPr>
        <w:ilvl w:val="7"/>
        <w:numId w:val="1"/>
      </w:numPr>
      <w:tabs>
        <w:tab w:val="left" w:pos="2302"/>
      </w:tab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pPr>
      <w:keepNext/>
      <w:keepLines/>
      <w:numPr>
        <w:ilvl w:val="8"/>
        <w:numId w:val="1"/>
      </w:numPr>
      <w:tabs>
        <w:tab w:val="left" w:pos="2302"/>
      </w:tab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w:eastAsia="Times New Roman" w:hAnsi="Times New Roman" w:cs="Times New Roman"/>
      <w:b/>
      <w:smallCaps/>
      <w:sz w:val="24"/>
      <w:szCs w:val="20"/>
    </w:rPr>
  </w:style>
  <w:style w:type="character" w:customStyle="1" w:styleId="Heading2Char">
    <w:name w:val="Heading 2 Char"/>
    <w:basedOn w:val="DefaultParagraphFont"/>
    <w:link w:val="Heading2"/>
    <w:rPr>
      <w:rFonts w:ascii="Times New Roman" w:eastAsia="Times New Roman" w:hAnsi="Times New Roman" w:cs="Times New Roman"/>
      <w:b/>
      <w:sz w:val="24"/>
      <w:szCs w:val="20"/>
    </w:rPr>
  </w:style>
  <w:style w:type="character" w:customStyle="1" w:styleId="Heading3Char">
    <w:name w:val="Heading 3 Char"/>
    <w:basedOn w:val="DefaultParagraphFont"/>
    <w:link w:val="Heading3"/>
    <w:rPr>
      <w:rFonts w:ascii="Times New Roman" w:eastAsia="Times New Roman" w:hAnsi="Times New Roman" w:cs="Times New Roman"/>
      <w:i/>
      <w:sz w:val="24"/>
      <w:szCs w:val="20"/>
    </w:rPr>
  </w:style>
  <w:style w:type="character" w:customStyle="1" w:styleId="Heading4Char">
    <w:name w:val="Heading 4 Char"/>
    <w:basedOn w:val="DefaultParagraphFont"/>
    <w:link w:val="Heading4"/>
    <w:rPr>
      <w:rFonts w:ascii="Times New Roman" w:eastAsia="Times New Roman" w:hAnsi="Times New Roman" w:cs="Times New Roman"/>
      <w:sz w:val="24"/>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4D78" w:themeColor="accent1" w:themeShade="7F"/>
      <w:sz w:val="24"/>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1F4D78" w:themeColor="accent1" w:themeShade="7F"/>
      <w:sz w:val="24"/>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tabs>
        <w:tab w:val="left" w:pos="2302"/>
      </w:tabs>
    </w:pPr>
    <w:rPr>
      <w:sz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character" w:styleId="Hyperlink">
    <w:name w:val="Hyperlink"/>
    <w:basedOn w:val="DefaultParagraphFont"/>
    <w:uiPriority w:val="99"/>
    <w:unhideWhenUsed/>
    <w:rPr>
      <w:color w:val="0563C1" w:themeColor="hyperlink"/>
      <w:u w:val="single"/>
    </w:rPr>
  </w:style>
  <w:style w:type="paragraph" w:styleId="FootnoteText">
    <w:name w:val="footnote text"/>
    <w:aliases w:val="Testo nota a piè di pagina_Rientro,stile 1,Footnote1,Footnote2,Footnote3,Footnote4,Footnote5,Footnote6,Footnote7,Footnote8,Footnote9,Footnote10,Footnote11,Footnote21,Footnote31,Footnote41,Footnote51,ft,Footnote61,Schriftart: 9 pt, Ch,fn"/>
    <w:basedOn w:val="Normal"/>
    <w:link w:val="FootnoteTextChar"/>
    <w:uiPriority w:val="99"/>
    <w:unhideWhenUsed/>
    <w:qFormat/>
    <w:pPr>
      <w:tabs>
        <w:tab w:val="left" w:pos="2302"/>
      </w:tabs>
      <w:spacing w:after="0"/>
    </w:pPr>
    <w:rPr>
      <w:sz w:val="20"/>
    </w:rPr>
  </w:style>
  <w:style w:type="character" w:customStyle="1" w:styleId="FootnoteTextChar">
    <w:name w:val="Footnote Text Char"/>
    <w:aliases w:val="Testo nota a piè di pagina_Rientro Char,stile 1 Char,Footnote1 Char,Footnote2 Char,Footnote3 Char,Footnote4 Char,Footnote5 Char,Footnote6 Char,Footnote7 Char,Footnote8 Char,Footnote9 Char,Footnote10 Char,Footnote11 Char,ft Char"/>
    <w:basedOn w:val="DefaultParagraphFont"/>
    <w:link w:val="FootnoteText"/>
    <w:uiPriority w:val="99"/>
    <w:qFormat/>
    <w:rPr>
      <w:rFonts w:ascii="Times New Roman" w:eastAsia="Times New Roman" w:hAnsi="Times New Roman" w:cs="Times New Roman"/>
      <w:sz w:val="20"/>
      <w:szCs w:val="20"/>
    </w:rPr>
  </w:style>
  <w:style w:type="character" w:styleId="FootnoteReference">
    <w:name w:val="footnote reference"/>
    <w:aliases w:val="number,SUPERS,Footnote Reference Superscript,-E Fuﬂnotenzeichen,-E Fuûnotenzeichen,-E Fußnotenzeichen,EN Footnote Reference,Footnote text,Odwołanie przypisu,Times 10 Point,Exposant 3 Point,Footnote symbol,Ref,Footnote reference number"/>
    <w:basedOn w:val="DefaultParagraphFont"/>
    <w:link w:val="FootnotesymbolCharCharChar"/>
    <w:uiPriority w:val="99"/>
    <w:qFormat/>
    <w:rPr>
      <w:rFonts w:cs="Times New Roman"/>
      <w:vertAlign w:val="superscript"/>
    </w:rPr>
  </w:style>
  <w:style w:type="paragraph" w:customStyle="1" w:styleId="FootnotesymbolCharCharChar">
    <w:name w:val="Footnote symbol Char Char Char"/>
    <w:aliases w:val="Voetnootverwijzing Char Char Char,Times 10 Point Char Char Char,Exposant 3 Point Char Char Char,Footnote Reference Superscript Char Char Char,Footnote symbol Char,FR Char, Exposant 3 Point Char Char Char"/>
    <w:basedOn w:val="Normal"/>
    <w:link w:val="FootnoteReference"/>
    <w:uiPriority w:val="99"/>
    <w:pPr>
      <w:tabs>
        <w:tab w:val="left" w:pos="2302"/>
      </w:tabs>
      <w:spacing w:after="160" w:line="240" w:lineRule="exact"/>
      <w:jc w:val="left"/>
    </w:pPr>
    <w:rPr>
      <w:rFonts w:asciiTheme="minorHAnsi" w:eastAsiaTheme="minorHAnsi" w:hAnsiTheme="minorHAnsi"/>
      <w:sz w:val="22"/>
      <w:szCs w:val="22"/>
      <w:vertAlign w:val="superscript"/>
    </w:rPr>
  </w:style>
  <w:style w:type="paragraph" w:styleId="ListParagraph">
    <w:name w:val="List Paragraph"/>
    <w:aliases w:val="1st elvel bullet green,List Paragraph compact,Normal bullet 2,Paragraphe de liste 2,Reference list,Bullet list,Numbered List,List Paragraph1,1st level - Bullet List Paragraph,Lettre d'introduction,Paragraph,Bullet EY,List Paragraph11"/>
    <w:basedOn w:val="Normal"/>
    <w:link w:val="ListParagraphChar"/>
    <w:uiPriority w:val="34"/>
    <w:qFormat/>
    <w:pPr>
      <w:tabs>
        <w:tab w:val="left" w:pos="2302"/>
      </w:tabs>
      <w:ind w:left="720"/>
      <w:contextualSpacing/>
    </w:pPr>
  </w:style>
  <w:style w:type="character" w:customStyle="1" w:styleId="ListParagraphChar">
    <w:name w:val="List Paragraph Char"/>
    <w:aliases w:val="1st elvel bullet green Char,List Paragraph compact Char,Normal bullet 2 Char,Paragraphe de liste 2 Char,Reference list Char,Bullet list Char,Numbered List Char,List Paragraph1 Char,1st level - Bullet List Paragraph Char"/>
    <w:basedOn w:val="DefaultParagraphFont"/>
    <w:link w:val="ListParagraph"/>
    <w:uiPriority w:val="34"/>
    <w:qFormat/>
    <w:rPr>
      <w:rFonts w:ascii="Times New Roman" w:eastAsia="Times New Roman" w:hAnsi="Times New Roman" w:cs="Times New Roman"/>
      <w:sz w:val="24"/>
      <w:szCs w:val="20"/>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0"/>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0"/>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0"/>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rFonts w:ascii="Times New Roman" w:eastAsia="Times New Roman" w:hAnsi="Times New Roman" w:cs="Times New Roman"/>
      <w:b/>
      <w:sz w:val="32"/>
      <w:szCs w:val="20"/>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0"/>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rFonts w:ascii="Times New Roman" w:eastAsia="Times New Roman" w:hAnsi="Times New Roman" w:cs="Times New Roman"/>
      <w:b/>
      <w:sz w:val="32"/>
      <w:szCs w:val="20"/>
    </w:rPr>
  </w:style>
  <w:style w:type="paragraph" w:customStyle="1" w:styleId="HeaderSensitivityRight">
    <w:name w:val="Header Sensitivity Right"/>
    <w:basedOn w:val="Normal"/>
    <w:link w:val="HeaderSensitivityRightChar"/>
    <w:pPr>
      <w:spacing w:after="120"/>
      <w:jc w:val="right"/>
    </w:pPr>
    <w:rPr>
      <w:sz w:val="28"/>
    </w:rPr>
  </w:style>
  <w:style w:type="character" w:customStyle="1" w:styleId="HeaderSensitivityRightChar">
    <w:name w:val="Header Sensitivity Right Char"/>
    <w:basedOn w:val="DefaultParagraphFont"/>
    <w:link w:val="HeaderSensitivityRight"/>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1535</Words>
  <Characters>9553</Characters>
  <Application>Microsoft Office Word</Application>
  <DocSecurity>0</DocSecurity>
  <Lines>146</Lines>
  <Paragraphs>52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KOUTZIAVASILI Dimitra (SG)</cp:lastModifiedBy>
  <cp:revision>17</cp:revision>
  <dcterms:created xsi:type="dcterms:W3CDTF">2020-12-09T08:15:00Z</dcterms:created>
  <dcterms:modified xsi:type="dcterms:W3CDTF">2021-01-08T14:26:00Z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CP-027</vt:lpwstr>
  </property>
  <property fmtid="{D5CDD505-2E9C-101B-9397-08002B2CF9AE}" pid="7" name="Last edited using">
    <vt:lpwstr>LW 7.0.1, Build 20190916</vt:lpwstr>
  </property>
  <property fmtid="{D5CDD505-2E9C-101B-9397-08002B2CF9AE}" pid="8" name="Created using">
    <vt:lpwstr>LW 7.0.1, Build 20190916</vt:lpwstr>
  </property>
</Properties>
</file>