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AC" w:rsidRDefault="00CA3B39" w:rsidP="00CA3B39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0549375C-B45E-454E-909C-32D55D38B6C7" style="width:450.6pt;height:408.6pt">
            <v:imagedata r:id="rId7" o:title=""/>
          </v:shape>
        </w:pict>
      </w:r>
    </w:p>
    <w:bookmarkEnd w:id="0"/>
    <w:p w:rsidR="00DB61AC" w:rsidRDefault="00DB61AC">
      <w:pPr>
        <w:rPr>
          <w:noProof/>
        </w:rPr>
        <w:sectPr w:rsidR="00DB61AC" w:rsidSect="00CA3B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CCCCCC"/>
          </w:tcPr>
          <w:p w:rsidR="00DB61AC" w:rsidRDefault="00CA3B39">
            <w:pPr>
              <w:rPr>
                <w:b/>
                <w:noProof/>
              </w:rPr>
            </w:pPr>
            <w:bookmarkStart w:id="1" w:name="_GoBack"/>
            <w:bookmarkEnd w:id="1"/>
            <w:r>
              <w:rPr>
                <w:b/>
                <w:noProof/>
              </w:rPr>
              <w:lastRenderedPageBreak/>
              <w:t xml:space="preserve">Skeda tas-Sommarju Eżekuttiv </w:t>
            </w:r>
          </w:p>
        </w:tc>
      </w:tr>
      <w:tr w:rsidR="00DB61A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DB61AC" w:rsidRDefault="00CA3B39">
            <w:pPr>
              <w:rPr>
                <w:noProof/>
              </w:rPr>
            </w:pPr>
            <w:r>
              <w:rPr>
                <w:noProof/>
              </w:rPr>
              <w:t xml:space="preserve">Valutazzjoni tal-impatt dwar ir-reviżjonijiet tal-Linji Gwida għan-networks trans-Ewropej tal-enerġija (ir-Regolament TEN-E) 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CCCCCC"/>
          </w:tcPr>
          <w:p w:rsidR="00DB61AC" w:rsidRDefault="00CA3B39">
            <w:pPr>
              <w:rPr>
                <w:b/>
                <w:noProof/>
              </w:rPr>
            </w:pPr>
            <w:r>
              <w:rPr>
                <w:b/>
                <w:noProof/>
              </w:rPr>
              <w:t>A. Ħtieġa li tittieħed azzjoni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E0E0E0"/>
          </w:tcPr>
          <w:p w:rsidR="00DB61AC" w:rsidRDefault="00CA3B39">
            <w:pPr>
              <w:rPr>
                <w:noProof/>
              </w:rPr>
            </w:pPr>
            <w:r>
              <w:rPr>
                <w:b/>
                <w:noProof/>
              </w:rPr>
              <w:t xml:space="preserve">X’inhi l-problema u għaliex hi problema fil-livell tal-UE? 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DB61AC" w:rsidRDefault="00CA3B39">
            <w:pPr>
              <w:spacing w:after="0"/>
              <w:rPr>
                <w:noProof/>
              </w:rPr>
            </w:pPr>
            <w:r>
              <w:rPr>
                <w:noProof/>
              </w:rPr>
              <w:t>Ir-Regolament TEN-E attwali stabbilixxa approċċ ġdid għall-ippjanar transfruntier tal-infrastruttura li jlaqqa’ flimkien lill-partijiet ikkonċernati f’kuntest ta’ kooperazzjoni reġjonali biex jidentifikaw u jgħinu fl-implimentazzjoni tal-proġetti ta’ inter</w:t>
            </w:r>
            <w:r>
              <w:rPr>
                <w:noProof/>
              </w:rPr>
              <w:t>ess komuni (PCIs) li jikkontribwixxu l-aktar għas-suq intern tal-enerġija, għas-sigurtà tal-provvista u għas-sostenibbiltà. Dan jirrikjedi wkoll li l-Istati Membri jissimplifikaw il-proċeduri tal-għoti tal-permessi għall-PCIs u jipprevedi l-kundizzjonijiet</w:t>
            </w:r>
            <w:r>
              <w:rPr>
                <w:noProof/>
              </w:rPr>
              <w:t xml:space="preserve"> għall-aċċess għall-finanzjament mill-Faċilità Nikkollegaw l-Ewropa (CEF). L-evalwazzjoni tar-Regolament TEN-E attwali wriet li filwaqt li l-objettivi tar-Regolament attwali jibqgħu fil-biċċa l-kbira validi, l-enfasi tagħhom fuq il-miri 2020/30 trid tiġi a</w:t>
            </w:r>
            <w:r>
              <w:rPr>
                <w:noProof/>
              </w:rPr>
              <w:t xml:space="preserve">ġġornata biex tirrifletti l-kuntest politiku l-ġdid u l-objettiv tan-newtralità klimatika għall-2050 skont il-Patt Ekoloġiku Ewropew. Minbarra l-kuntest u l-objettivi politiċi l-ġodda, l-iżvilupp teknoloġiku kien rapidu f’dawn l-aħħar għaxar snin. </w:t>
            </w:r>
          </w:p>
          <w:p w:rsidR="00DB61AC" w:rsidRDefault="00DB61AC">
            <w:pPr>
              <w:spacing w:after="0"/>
              <w:rPr>
                <w:noProof/>
              </w:rPr>
            </w:pPr>
          </w:p>
          <w:p w:rsidR="00DB61AC" w:rsidRDefault="00CA3B39">
            <w:pPr>
              <w:rPr>
                <w:noProof/>
              </w:rPr>
            </w:pPr>
            <w:r>
              <w:rPr>
                <w:noProof/>
              </w:rPr>
              <w:t>Ġew id</w:t>
            </w:r>
            <w:r>
              <w:rPr>
                <w:noProof/>
              </w:rPr>
              <w:t>entifikati dawn iż-żewġ problemi ewlenin li ġejjin: 1) It-tip u l-iskala tal-iżviluppi infrastrutturali transfruntiera mhumiex allinjati bis-sħiħ mal-objettivi tal-politika tal-enerġija tal-UE b’mod partikolari fir-rigward tal-Patt Ekoloġiku Ewropew u l-ob</w:t>
            </w:r>
            <w:r>
              <w:rPr>
                <w:noProof/>
              </w:rPr>
              <w:t>jettiv tan-newtralità klimatika, u 2) Id-dewmien fl-implimentazzjoni tal-proġetti. Il-mira klimatika miżjuda għall-2030 u l-objettiv tan-newtralità klimatika tal-Patt Ekoloġiku Ewropew u Pjaneta Nadifa għal Kulħadd jeħtieġu tranżizzjoni profonda tas-sistem</w:t>
            </w:r>
            <w:r>
              <w:rPr>
                <w:noProof/>
              </w:rPr>
              <w:t>a tal-enerġija Ewropea, kemm min-naħa tal-provvista kif ukoll tad-domanda. Dan ifisser li jeħtieġ li jkun hemm infrastruttura li tappoġġja din it-tranżizzjoni tal-enerġija Ewropea, inkluża l-elettrifikazzjoni rapida bi  rduppjar tas-sehem tal-produzzjoni t</w:t>
            </w:r>
            <w:r>
              <w:rPr>
                <w:noProof/>
              </w:rPr>
              <w:t>al-elettriku rinnovabbli, żieda qawwija ta’ gassijiet rinnovabbli u b’emissjonijiet baxxi ta’ karbonju, integrazzjoni tas-sistema tal-enerġija u adozzjoni akbar ta’ soluzzjonijiet innovattivi. Mhux il-kategoriji tal-infrastruttura kollha rilevanti għat-tra</w:t>
            </w:r>
            <w:r>
              <w:rPr>
                <w:noProof/>
              </w:rPr>
              <w:t>nżizzjoni tal-enerġija bħalissa huma eliġibbli għall-istatus tal-PCI (eż. l-idroġenu) u xi wħud ma jirriflettux biżżejjed l-iżviluppi teknoloġiċi (eż. grilji intelliġenti). Dewmien fl-implimentazzjoni ta’ proġetti prijoritarji li ġew identifikati bħala meħ</w:t>
            </w:r>
            <w:r>
              <w:rPr>
                <w:noProof/>
              </w:rPr>
              <w:t>tieġa biex jintlaħqu l-objettivi tal-politika tal-UE dwar il-klima u l-enerġija jipperikola l-bidla aċċellerata meħtieġa fis-sistema tal-enerġija. L-implimentazzjoni ta’ proġetti infrastrutturali ewlenin għadha tieħu wisq fit-tul. Fl-2020, 27 % tal-PCIs ta</w:t>
            </w:r>
            <w:r>
              <w:rPr>
                <w:noProof/>
              </w:rPr>
              <w:t xml:space="preserve">l-elettriku ġew ittardjati b’medja ta’ 17-il xahar kontra d-data tal-ikkummissjonar ippjanata inizjalment tagħhom. 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 w:rsidR="00DB61AC" w:rsidRDefault="00CA3B39">
            <w:pPr>
              <w:rPr>
                <w:noProof/>
              </w:rPr>
            </w:pPr>
            <w:r>
              <w:rPr>
                <w:b/>
                <w:noProof/>
              </w:rPr>
              <w:t>X’għandu jinkiseb?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DB61AC" w:rsidRDefault="00CA3B39">
            <w:pPr>
              <w:rPr>
                <w:noProof/>
              </w:rPr>
            </w:pPr>
            <w:r>
              <w:rPr>
                <w:noProof/>
              </w:rPr>
              <w:t>L-objettiv ġenerali huwa li jiġi ffaċilitat l-iżvilupp f’waqtu ta’ infrastruttura tal-enerġija adegwata madwar l-UE u fil-viċinat tagħha biex ikunu jistgħu jintlaħqu l-objettivi tal-UE dwar l-enerġija u l-klima f’konformità mal-Patt Ekoloġiku Ewropew, b’mo</w:t>
            </w:r>
            <w:r>
              <w:rPr>
                <w:noProof/>
              </w:rPr>
              <w:t>d partikolari dwar il-miri 2030/50 inkluż l-objettiv tan-newtralità klimatika, kif ukoll l-integrazzjoni tas-suq, il-kompetittività, u s-sigurtà tal-provvista bl-inqas spiża għall-konsumaturi u n-negozji. L-objettivi speċifiċi huma: 1) Il-possibbiltà tal-i</w:t>
            </w:r>
            <w:r>
              <w:rPr>
                <w:noProof/>
              </w:rPr>
              <w:t>dentifikazzjoni tal-proġetti u l-investimenti transfruntiera madwar l-UE u mal-pajjiżi ġirien tagħha li huma meħtieġa għat-tranżizzjoni tal-enerġija u l-miri tal-klima, 2) Titjib fl-ippjanar tal-infrastruttura għall-integrazzjoni tas-sistema tal-enerġija u</w:t>
            </w:r>
            <w:r>
              <w:rPr>
                <w:noProof/>
              </w:rPr>
              <w:t xml:space="preserve"> l-grilji lil hinn mill-kosta, 3) Proċeduri qosra għall-għoti ta’ permessi għall-PCIs biex jiġi evitat dewmien fi proġetti li jiffaċilitaw it-tranżizzjoni tal-enerġija, u 4) Jiġi żgurat l-użu xieraq ta’ għodod għall-kondiviżjoni tal-ispejjeż u inċentivi re</w:t>
            </w:r>
            <w:r>
              <w:rPr>
                <w:noProof/>
              </w:rPr>
              <w:t xml:space="preserve">golatorji. 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 w:rsidR="00DB61AC" w:rsidRDefault="00CA3B39">
            <w:pPr>
              <w:rPr>
                <w:noProof/>
              </w:rPr>
            </w:pPr>
            <w:r>
              <w:rPr>
                <w:b/>
                <w:noProof/>
              </w:rPr>
              <w:t>X’inhu l-valur miżjud ta’ azzjoni fil-livell tal-UE (sussidjarjetà)?</w:t>
            </w:r>
            <w:r>
              <w:rPr>
                <w:noProof/>
              </w:rPr>
              <w:t xml:space="preserve"> 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DB61AC" w:rsidRDefault="00CA3B39">
            <w:pPr>
              <w:rPr>
                <w:noProof/>
              </w:rPr>
            </w:pPr>
            <w:r>
              <w:rPr>
                <w:noProof/>
              </w:rPr>
              <w:t>Qafas fil-livell tal-UE għall-kooperazzjoni fost l-Istati Membri huwa meħtieġ biex tiġi żviluppata infrastruttura transfruntiera tal-enerġija. Ir-regolamenti u l-azzjonijie</w:t>
            </w:r>
            <w:r>
              <w:rPr>
                <w:noProof/>
              </w:rPr>
              <w:t>t tal-Istati Membri individwali mhumiex biżżejjed biex jitwettqu dawn il-proġetti ta’ infrastruttura. Minn perspettiva ekonomika, l-aħjar mod biex isiru żviluppi fin-network tal-enerġija huwa billi jiġu ppjanati b’perspettiva Ewropea, li tkopri kemm l-azzj</w:t>
            </w:r>
            <w:r>
              <w:rPr>
                <w:noProof/>
              </w:rPr>
              <w:t>oni tal-UE u kif ukoll dik tal-Istati Membri filwaqt li jiġu rrispettati l-kompetenzi rispettivi tagħhom. L-evalwazzjoni tar-Regolament TEN-E attwali kkonfermat li t-TEN-E pprovda b’mod ċar valur miżjud meta mqabbel ma’ dak li seta’ jinkiseb fil-livell naz</w:t>
            </w:r>
            <w:r>
              <w:rPr>
                <w:noProof/>
              </w:rPr>
              <w:t xml:space="preserve">zjonali jew reġjonali waħdu. 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CCCCCC"/>
          </w:tcPr>
          <w:p w:rsidR="00DB61AC" w:rsidRDefault="00CA3B39">
            <w:pPr>
              <w:rPr>
                <w:b/>
                <w:noProof/>
              </w:rPr>
            </w:pPr>
            <w:r>
              <w:rPr>
                <w:b/>
                <w:noProof/>
              </w:rPr>
              <w:t>B. Soluzzjonijiet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 w:rsidR="00DB61AC" w:rsidRDefault="00CA3B39">
            <w:pPr>
              <w:rPr>
                <w:noProof/>
              </w:rPr>
            </w:pPr>
            <w:r>
              <w:rPr>
                <w:b/>
                <w:noProof/>
              </w:rPr>
              <w:t>X’inhuma l-għażliet differenti biex jinkisbu l-objettivi?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</w:rPr>
              <w:t>Hemm għażla ppreferuta jew le? Jekk le, għaliex?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DB61AC" w:rsidRDefault="00CA3B39">
            <w:pPr>
              <w:spacing w:after="0"/>
              <w:rPr>
                <w:noProof/>
              </w:rPr>
            </w:pPr>
            <w:r>
              <w:rPr>
                <w:noProof/>
              </w:rPr>
              <w:t>Ġew ikkunsidrati diversi għażliet ta’ politika għall-kwistjonijiet li ġejjin:</w:t>
            </w:r>
          </w:p>
          <w:p w:rsidR="00DB61AC" w:rsidRDefault="00DB61AC">
            <w:pPr>
              <w:spacing w:after="0"/>
              <w:rPr>
                <w:noProof/>
              </w:rPr>
            </w:pPr>
          </w:p>
          <w:p w:rsidR="00DB61AC" w:rsidRDefault="00CA3B39"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A) KAMP TA’ </w:t>
            </w:r>
            <w:r>
              <w:rPr>
                <w:noProof/>
              </w:rPr>
              <w:t>APPLIKAZZJONI</w:t>
            </w:r>
          </w:p>
          <w:p w:rsidR="00DB61AC" w:rsidRDefault="00CA3B39">
            <w:pPr>
              <w:pStyle w:val="ListParagraph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Grilji tal-elettriku intelliġenti u ħżin tal-elettriku</w:t>
            </w:r>
          </w:p>
          <w:p w:rsidR="00DB61AC" w:rsidRDefault="00CA3B39">
            <w:pPr>
              <w:pStyle w:val="ListParagraph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Infrastruttura tal-gass, networks tal-idroġenu u gass bl-elettriku</w:t>
            </w:r>
          </w:p>
          <w:p w:rsidR="00DB61AC" w:rsidRDefault="00CA3B39">
            <w:pPr>
              <w:pStyle w:val="ListParagraph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Proġetti ma’ pajjiżi terzi (proġetti ta’ interess reċiproku)</w:t>
            </w:r>
          </w:p>
          <w:p w:rsidR="00DB61AC" w:rsidRDefault="00CA3B39">
            <w:pPr>
              <w:spacing w:after="0"/>
              <w:rPr>
                <w:noProof/>
              </w:rPr>
            </w:pPr>
            <w:r>
              <w:rPr>
                <w:noProof/>
              </w:rPr>
              <w:t>B) IPPJANAR TA’ GOVERNANZA/INFRASTRUTTURA</w:t>
            </w:r>
          </w:p>
          <w:p w:rsidR="00DB61AC" w:rsidRDefault="00CA3B39">
            <w:pPr>
              <w:pStyle w:val="ListParagraph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Grilji lil hinn </w:t>
            </w:r>
            <w:r>
              <w:rPr>
                <w:noProof/>
              </w:rPr>
              <w:t>mill-kosta għall-enerġija rinnovabbli</w:t>
            </w:r>
          </w:p>
          <w:p w:rsidR="00DB61AC" w:rsidRDefault="00CA3B39">
            <w:pPr>
              <w:pStyle w:val="ListParagraph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Ippjanar tal-infrastruttura transsettorjali</w:t>
            </w:r>
          </w:p>
          <w:p w:rsidR="00DB61AC" w:rsidRDefault="00CA3B39"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C) PERMESSI </w:t>
            </w:r>
          </w:p>
          <w:p w:rsidR="00DB61AC" w:rsidRDefault="00CA3B39">
            <w:pPr>
              <w:pStyle w:val="ListParagraph"/>
              <w:numPr>
                <w:ilvl w:val="0"/>
                <w:numId w:val="5"/>
              </w:numPr>
              <w:spacing w:after="0"/>
              <w:rPr>
                <w:noProof/>
              </w:rPr>
            </w:pPr>
            <w:r>
              <w:rPr>
                <w:noProof/>
              </w:rPr>
              <w:t>L-aċċellerazzjoni tat-tlestija tal-proċeduri tal-għoti tal-permessi</w:t>
            </w:r>
          </w:p>
          <w:p w:rsidR="00DB61AC" w:rsidRDefault="00CA3B39">
            <w:pPr>
              <w:pStyle w:val="ListParagraph"/>
              <w:numPr>
                <w:ilvl w:val="0"/>
                <w:numId w:val="5"/>
              </w:numPr>
              <w:spacing w:after="0"/>
              <w:rPr>
                <w:noProof/>
              </w:rPr>
            </w:pPr>
            <w:r>
              <w:rPr>
                <w:noProof/>
              </w:rPr>
              <w:t>Punt uniku ta’ servizz għall-iżvilupp tal-grilja lil hinn mill-kosta</w:t>
            </w:r>
          </w:p>
          <w:p w:rsidR="00DB61AC" w:rsidRDefault="00CA3B39"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D) TRATTAMENT </w:t>
            </w:r>
            <w:r>
              <w:rPr>
                <w:noProof/>
              </w:rPr>
              <w:t>REGOLATORJU</w:t>
            </w:r>
          </w:p>
          <w:p w:rsidR="00DB61AC" w:rsidRDefault="00CA3B39">
            <w:pPr>
              <w:pStyle w:val="ListParagraph"/>
              <w:numPr>
                <w:ilvl w:val="0"/>
                <w:numId w:val="5"/>
              </w:numPr>
              <w:spacing w:after="0"/>
              <w:rPr>
                <w:noProof/>
              </w:rPr>
            </w:pPr>
            <w:r>
              <w:rPr>
                <w:noProof/>
              </w:rPr>
              <w:t>Inklużjoni ta’ spejjeż sħaħ ta’ investiment</w:t>
            </w:r>
          </w:p>
          <w:p w:rsidR="00DB61AC" w:rsidRDefault="00DB61AC">
            <w:pPr>
              <w:spacing w:after="0"/>
              <w:rPr>
                <w:noProof/>
              </w:rPr>
            </w:pPr>
          </w:p>
          <w:p w:rsidR="00DB61AC" w:rsidRDefault="00CA3B39">
            <w:pPr>
              <w:spacing w:after="0"/>
              <w:rPr>
                <w:noProof/>
              </w:rPr>
            </w:pPr>
            <w:r>
              <w:rPr>
                <w:noProof/>
              </w:rPr>
              <w:t>It-tqabbil tal-għażliet juri li l-ebda għażla waħda mhi biżżejjed biex jintlaħqu l-għanijiet identifikati. Pakkett ta’ għażliet ta’ politika ppreferuti jidher li huwa l-aktar adattat biex jintlaħqu l</w:t>
            </w:r>
            <w:r>
              <w:rPr>
                <w:noProof/>
              </w:rPr>
              <w:t>-għanijiet b’mod proporzjonali, kif deskritt fid-dettall fir-rapport tal-valutazzjoni tal-impatt.</w:t>
            </w:r>
          </w:p>
        </w:tc>
      </w:tr>
      <w:tr w:rsidR="00DB61AC">
        <w:tc>
          <w:tcPr>
            <w:tcW w:w="10490" w:type="dxa"/>
            <w:shd w:val="clear" w:color="auto" w:fill="CCCCCC"/>
          </w:tcPr>
          <w:p w:rsidR="00DB61AC" w:rsidRDefault="00CA3B39">
            <w:pPr>
              <w:rPr>
                <w:noProof/>
              </w:rPr>
            </w:pPr>
            <w:r>
              <w:rPr>
                <w:b/>
                <w:noProof/>
              </w:rPr>
              <w:t xml:space="preserve">X’inhi l-opinjoni tal-partijiet ikkonċernati differenti? Min jappoġġa liema għażla? </w:t>
            </w:r>
          </w:p>
        </w:tc>
      </w:tr>
      <w:tr w:rsidR="00DB61AC">
        <w:tc>
          <w:tcPr>
            <w:tcW w:w="10490" w:type="dxa"/>
            <w:shd w:val="clear" w:color="auto" w:fill="auto"/>
          </w:tcPr>
          <w:p w:rsidR="00DB61AC" w:rsidRDefault="00CA3B39">
            <w:pPr>
              <w:rPr>
                <w:rFonts w:eastAsia="Arial"/>
                <w:noProof/>
              </w:rPr>
            </w:pPr>
            <w:r>
              <w:rPr>
                <w:noProof/>
              </w:rPr>
              <w:t xml:space="preserve">Fir-rigward tal-kamp ta’ applikazzjoni tal-qafas attwali, ħafna </w:t>
            </w:r>
            <w:r>
              <w:rPr>
                <w:noProof/>
              </w:rPr>
              <w:t>partijiet ikkonċernati indikaw aġġornament meħtieġ tal-grilji intelliġenti tal-elettriku. Filwaqt li bosta gruppi ta’ partijiet ikkonċernati, li jirrappreżentaw prinċipalment it-TSOs u l-assoċjazzjonijiet tal-industrija, qiesu li l-inklużjoni ta’ infrastru</w:t>
            </w:r>
            <w:r>
              <w:rPr>
                <w:noProof/>
              </w:rPr>
              <w:t>tturi tal-gass ġodda hija importanti, kien hemm appoġġ imħallat b’mod partikolari minn NGOs ambjentali. Fir-rigward tal-governanza u l-ippjanar tal-infrastruttura, il-partijiet ikkonċernati ma esprimewx fehmiet speċifiċi dwar ir-reġim futur tal-ippjanar ta</w:t>
            </w:r>
            <w:r>
              <w:rPr>
                <w:noProof/>
              </w:rPr>
              <w:t>l-infrastruttura offshore, filwaqt li appoġġaw l-aġġustamenti għar-responsabbiltajiet fl-ippjanar tal-infrastruttura u t-tisħiħ tal-valutazzjoni tas-sostenibbiltà. Rigward l-għoti ta’ permessi, il-partijiet ikkonċernati indikaw id-diffikultajiet permezz ta</w:t>
            </w:r>
            <w:r>
              <w:rPr>
                <w:noProof/>
              </w:rPr>
              <w:t>’ proċess ta’ permessi kumpless u twil għal proġetti offshore li jaqsmu diversi ġuriżdizzjonijiet u appellaw għal proċess ta’ ħruġ ta’ permessi simplifikat.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CCCCCC"/>
          </w:tcPr>
          <w:p w:rsidR="00DB61AC" w:rsidRDefault="00CA3B39">
            <w:pPr>
              <w:rPr>
                <w:b/>
                <w:noProof/>
              </w:rPr>
            </w:pPr>
            <w:r>
              <w:rPr>
                <w:b/>
                <w:noProof/>
              </w:rPr>
              <w:t>C. L-Impatti tal-għażla ppreferuta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 w:rsidR="00DB61AC" w:rsidRDefault="00CA3B39">
            <w:pPr>
              <w:rPr>
                <w:noProof/>
              </w:rPr>
            </w:pPr>
            <w:r>
              <w:rPr>
                <w:b/>
                <w:noProof/>
              </w:rPr>
              <w:t xml:space="preserve">X’inhuma l-benefiċċji tal-għażla ppreferuta (jekk hemm, </w:t>
            </w:r>
            <w:r>
              <w:rPr>
                <w:b/>
                <w:noProof/>
              </w:rPr>
              <w:t>inkella x’inhuma dawk ewlenin)?</w:t>
            </w:r>
            <w:r>
              <w:rPr>
                <w:noProof/>
              </w:rPr>
              <w:t xml:space="preserve"> 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DB61AC" w:rsidRDefault="00CA3B39">
            <w:pPr>
              <w:rPr>
                <w:noProof/>
              </w:rPr>
            </w:pPr>
            <w:r>
              <w:rPr>
                <w:noProof/>
              </w:rPr>
              <w:t xml:space="preserve">Il-valutazzjoni tal-impatti tiddependi fil-biċċa l-kbira fuq approċċ kwalitattiv. Ma kienx possibbli li jiġu kkwantifikati l-impatti għall-għażliet kollha minħabba n-nuqqas ta’ </w:t>
            </w:r>
            <w:r>
              <w:rPr>
                <w:i/>
                <w:iCs/>
                <w:noProof/>
              </w:rPr>
              <w:t>data</w:t>
            </w:r>
            <w:r>
              <w:rPr>
                <w:noProof/>
              </w:rPr>
              <w:t xml:space="preserve"> speċifika għall-proġett b’mod partikolar</w:t>
            </w:r>
            <w:r>
              <w:rPr>
                <w:noProof/>
              </w:rPr>
              <w:t>i għal kategoriji ġodda tal-infrastruttura. Barra minn hekk, il-bidliet proposti huma prinċipalment titjib gradwali fil-qafas attwali, li tqies li jaħdem relattivament tajjeb.</w:t>
            </w:r>
          </w:p>
          <w:p w:rsidR="00DB61AC" w:rsidRDefault="00CA3B39">
            <w:pPr>
              <w:rPr>
                <w:noProof/>
              </w:rPr>
            </w:pPr>
            <w:r>
              <w:rPr>
                <w:noProof/>
              </w:rPr>
              <w:t>L-adattament tal-kamp ta’ applikazzjoni tal-istrument billi tiġi żgurata l-konsi</w:t>
            </w:r>
            <w:r>
              <w:rPr>
                <w:noProof/>
              </w:rPr>
              <w:t>stenza tal-kategoriji tal-infrastruttura mal-objettiv tan-newtralità klimatika se jnaqqas l-emissjonijiet tal-gassijiet b’effett ta’ serra appoġġati minn ippjanar infrastrutturali integrat ottimali u effiċjenti li jimminimizza wkoll l-impatti ambjentali po</w:t>
            </w:r>
            <w:r>
              <w:rPr>
                <w:noProof/>
              </w:rPr>
              <w:t xml:space="preserve">tenzjali. Proċess aċċellerat tal-għoti tal-permessi se jippermetti wkoll implimentazzjoni aktar mgħaġġla ta’ proġetti ewlenin u b’hekk iwassal għal benefiċċji ambjentali u soċjoekonomiċi. 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 w:rsidR="00DB61AC" w:rsidRDefault="00CA3B39">
            <w:pPr>
              <w:rPr>
                <w:noProof/>
              </w:rPr>
            </w:pPr>
            <w:r>
              <w:rPr>
                <w:b/>
                <w:noProof/>
              </w:rPr>
              <w:t xml:space="preserve">X’inhuma l-kostijiet tal-alternattiva ppreferuta (jekk hemm, </w:t>
            </w:r>
            <w:r>
              <w:rPr>
                <w:b/>
                <w:noProof/>
              </w:rPr>
              <w:t>inkella ta’ dawk ewlenin)?</w:t>
            </w:r>
            <w:r>
              <w:rPr>
                <w:noProof/>
              </w:rPr>
              <w:t xml:space="preserve"> 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DB61AC" w:rsidRDefault="00CA3B39">
            <w:pPr>
              <w:rPr>
                <w:noProof/>
              </w:rPr>
            </w:pPr>
            <w:r>
              <w:rPr>
                <w:noProof/>
              </w:rPr>
              <w:t>Ir-Regolament TEN-E jistabbilixxi qafas ta’ abilitazzjoni għall-infrastruttura tal-enerġija Trans-Ewropea billi jipprevedi proċess għall-għażla ta’ proġetti ta’ interess komuni li mbagħad ikunu jistgħu jibbenefikaw minn dispożi</w:t>
            </w:r>
            <w:r>
              <w:rPr>
                <w:noProof/>
              </w:rPr>
              <w:t>zzjonijiet biex tiġi ffaċilitata l-implimentazzjoni tagħhom. Bħala tali, ir-Regolament TEN-E ma jimponix obbligi jew spejjeż fuq l-operaturi ekonomiċi, iżda jistabbilixxi rekwiżiti fuq il-promoturi tal-PCIs, prinċipalment it-TSOs u d-DSOs, li jiddeċiedu li</w:t>
            </w:r>
            <w:r>
              <w:rPr>
                <w:noProof/>
              </w:rPr>
              <w:t xml:space="preserve"> japplikaw għall-istatus ta’ PCI u sussegwentement isiru soġġetti għal ċerti obbligi, prinċipalment fil-forma ta’ obbligi ta’ monitoraġġ u rappurtar. Barra minn hekk, ir-Regolament TEN-E jistabbilixxi obbligi fuq l-awtoritajiet nazzjonali kompetenti u r-re</w:t>
            </w:r>
            <w:r>
              <w:rPr>
                <w:noProof/>
              </w:rPr>
              <w:t>golaturi fir-rigward tal-permessi, l-inċentivi regolatorji, u l-parteċipazzjoni pubblika kif ukoll fuq l-operaturi tan-networks fir-rigward tal-ippjanar fit-tul tan-networks. Il-konsumaturi huma prinċipalment affettwati mit-tariffi tan-network biex jiffina</w:t>
            </w:r>
            <w:r>
              <w:rPr>
                <w:noProof/>
              </w:rPr>
              <w:t xml:space="preserve">nzjaw l-investimenti fil-bażi tal-assi regolatorji (RAB). Użu mmirat tal-istrument TEN-E flimkien ma’ appoġġ selettiv mill-Faċilità Nikkollegaw l-Ewropa jista’ jgħin biex itaffi dawn l-ispejjeż għall-konsumaturi filwaqt li jimminimizza wkoll ir-riskju ta’ </w:t>
            </w:r>
            <w:r>
              <w:rPr>
                <w:noProof/>
              </w:rPr>
              <w:t>assi mitlufa.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 w:rsidR="00DB61AC" w:rsidRDefault="00CA3B39">
            <w:pPr>
              <w:rPr>
                <w:noProof/>
              </w:rPr>
            </w:pPr>
            <w:r>
              <w:rPr>
                <w:b/>
                <w:noProof/>
              </w:rPr>
              <w:t xml:space="preserve">X’inhuma l-impatti fuq l-SMEs u fuq il-kompetittività? 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DB61AC" w:rsidRDefault="00CA3B39">
            <w:pPr>
              <w:rPr>
                <w:i/>
                <w:noProof/>
              </w:rPr>
            </w:pPr>
            <w:r>
              <w:rPr>
                <w:noProof/>
              </w:rPr>
              <w:t>Ma jiġi identifikat l-ebda impatt dirett f’termini ta’ konformità jew spejjeż amministrattivi għall-SMEs. L-SMEs jistgħu jibbenefikaw minn żieda fil-kompetittività f’dawk l-oqsma tat-t</w:t>
            </w:r>
            <w:r>
              <w:rPr>
                <w:noProof/>
              </w:rPr>
              <w:t>eknoloġija li huma inklużi jew imsaħħa fil-qafas futur tat-TEN-E (eż. l-industrija tal-enerġija rinnovabbli offshore, is-servizzi diġitali, jew l-idroġenu).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 w:rsidR="00DB61AC" w:rsidRDefault="00CA3B39">
            <w:pPr>
              <w:rPr>
                <w:b/>
                <w:i/>
                <w:noProof/>
              </w:rPr>
            </w:pPr>
            <w:r>
              <w:rPr>
                <w:b/>
                <w:noProof/>
              </w:rPr>
              <w:t>Se jkun hemm impatti sinifikanti fuq il-baġits u l-amministrazzjonijiet nazzjonali?</w:t>
            </w:r>
            <w:r>
              <w:rPr>
                <w:noProof/>
              </w:rPr>
              <w:t xml:space="preserve"> </w:t>
            </w:r>
          </w:p>
        </w:tc>
      </w:tr>
      <w:tr w:rsidR="00DB61AC">
        <w:tc>
          <w:tcPr>
            <w:tcW w:w="10490" w:type="dxa"/>
            <w:shd w:val="clear" w:color="auto" w:fill="auto"/>
          </w:tcPr>
          <w:p w:rsidR="00DB61AC" w:rsidRDefault="00CA3B39">
            <w:pPr>
              <w:rPr>
                <w:noProof/>
              </w:rPr>
            </w:pPr>
            <w:r>
              <w:rPr>
                <w:noProof/>
              </w:rPr>
              <w:t xml:space="preserve">Aktar koordinazzjoni u simplifikazzjoni tal-istrutturi eżistenti fi ħdan l-awtoritajiet kompetenti tal-Istati Membri inkarigati mill-għażla u l-implimentazzjoni tal-PCI se jġibu magħhom aktar effiċjenzi. 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 w:rsidR="00DB61AC" w:rsidRDefault="00CA3B39">
            <w:pPr>
              <w:rPr>
                <w:noProof/>
              </w:rPr>
            </w:pPr>
            <w:r>
              <w:rPr>
                <w:b/>
                <w:noProof/>
              </w:rPr>
              <w:t>Se jkun hemm impatti sinifikanti oħra?</w:t>
            </w:r>
            <w:r>
              <w:rPr>
                <w:noProof/>
              </w:rPr>
              <w:t xml:space="preserve"> 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DB61AC" w:rsidRDefault="00CA3B39">
            <w:pPr>
              <w:rPr>
                <w:noProof/>
              </w:rPr>
            </w:pPr>
            <w:r>
              <w:rPr>
                <w:noProof/>
              </w:rPr>
              <w:t>L-ispejje</w:t>
            </w:r>
            <w:r>
              <w:rPr>
                <w:noProof/>
              </w:rPr>
              <w:t>ż ta’ konformità se jonqsu bħala riżultat tal-miżuri REFIT proposti bħas-simplifikazzjoni tal-obbligi ta’ rapportar, monitoraġġ aktar effiċjenti u esklużjoni fakultattiva mir-rekwiżiti ta’ qabel il-konsultazzjoni jekk ikunu diġà koperti mir-regoli nazzjona</w:t>
            </w:r>
            <w:r>
              <w:rPr>
                <w:noProof/>
              </w:rPr>
              <w:t>li skont l-istess standards jew standards ogħla bħal fir-Regolament TEN-E.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:rsidR="00DB61AC" w:rsidRDefault="00CA3B39">
            <w:pPr>
              <w:rPr>
                <w:i/>
                <w:noProof/>
              </w:rPr>
            </w:pPr>
            <w:r>
              <w:rPr>
                <w:b/>
                <w:noProof/>
              </w:rPr>
              <w:t>Il-proporzjonalità?</w:t>
            </w:r>
            <w:r>
              <w:rPr>
                <w:noProof/>
              </w:rPr>
              <w:t xml:space="preserve"> 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DB61AC" w:rsidRDefault="00CA3B39">
            <w:pPr>
              <w:rPr>
                <w:i/>
                <w:noProof/>
              </w:rPr>
            </w:pPr>
            <w:r>
              <w:rPr>
                <w:noProof/>
              </w:rPr>
              <w:t>Il-pakkett ta’ għażliet ta’ politika ppreferuti huwa kkunsidrat proporzjonat.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C0C0C0"/>
          </w:tcPr>
          <w:p w:rsidR="00DB61AC" w:rsidRDefault="00CA3B39">
            <w:pPr>
              <w:rPr>
                <w:b/>
                <w:noProof/>
              </w:rPr>
            </w:pPr>
            <w:r>
              <w:rPr>
                <w:b/>
                <w:noProof/>
              </w:rPr>
              <w:t>D. Segwitu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 w:rsidR="00DB61AC" w:rsidRDefault="00CA3B39">
            <w:pPr>
              <w:rPr>
                <w:noProof/>
              </w:rPr>
            </w:pPr>
            <w:r>
              <w:rPr>
                <w:b/>
                <w:noProof/>
              </w:rPr>
              <w:t xml:space="preserve">Meta se tiġi rieżaminata l-politika? </w:t>
            </w:r>
          </w:p>
        </w:tc>
      </w:tr>
      <w:tr w:rsidR="00DB61AC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DB61AC" w:rsidRDefault="00CA3B39">
            <w:pPr>
              <w:rPr>
                <w:b/>
                <w:noProof/>
              </w:rPr>
            </w:pPr>
            <w:r>
              <w:rPr>
                <w:noProof/>
              </w:rPr>
              <w:t xml:space="preserve">Rieżami tal-effettività </w:t>
            </w:r>
            <w:r>
              <w:rPr>
                <w:noProof/>
              </w:rPr>
              <w:t>tal-leġiżlazzjoni l-ġdida tista’ ssir fl-2026, meta għandu jitlesta t-tieni proċess tal-għażla tal-PCIs taħt il-qafas il-ġdid.</w:t>
            </w:r>
          </w:p>
        </w:tc>
      </w:tr>
    </w:tbl>
    <w:p w:rsidR="00DB61AC" w:rsidRDefault="00DB61AC">
      <w:pPr>
        <w:rPr>
          <w:noProof/>
        </w:rPr>
      </w:pPr>
    </w:p>
    <w:sectPr w:rsidR="00DB61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AC" w:rsidRDefault="00CA3B39">
      <w:pPr>
        <w:spacing w:after="0"/>
      </w:pPr>
      <w:r>
        <w:separator/>
      </w:r>
    </w:p>
  </w:endnote>
  <w:endnote w:type="continuationSeparator" w:id="0">
    <w:p w:rsidR="00DB61AC" w:rsidRDefault="00CA3B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39" w:rsidRPr="00CA3B39" w:rsidRDefault="00CA3B39" w:rsidP="00CA3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39" w:rsidRPr="00CA3B39" w:rsidRDefault="00CA3B39" w:rsidP="00CA3B39">
    <w:pPr>
      <w:pStyle w:val="FooterCoverPage"/>
      <w:rPr>
        <w:rFonts w:ascii="Arial" w:hAnsi="Arial" w:cs="Arial"/>
        <w:b/>
        <w:sz w:val="48"/>
      </w:rPr>
    </w:pPr>
    <w:r w:rsidRPr="00CA3B39">
      <w:rPr>
        <w:rFonts w:ascii="Arial" w:hAnsi="Arial" w:cs="Arial"/>
        <w:b/>
        <w:sz w:val="48"/>
      </w:rPr>
      <w:t>MT</w:t>
    </w:r>
    <w:r w:rsidRPr="00CA3B39">
      <w:rPr>
        <w:rFonts w:ascii="Arial" w:hAnsi="Arial" w:cs="Arial"/>
        <w:b/>
        <w:sz w:val="48"/>
      </w:rPr>
      <w:tab/>
    </w:r>
    <w:r w:rsidRPr="00CA3B39">
      <w:rPr>
        <w:rFonts w:ascii="Arial" w:hAnsi="Arial" w:cs="Arial"/>
        <w:b/>
        <w:sz w:val="48"/>
      </w:rPr>
      <w:tab/>
    </w:r>
    <w:r w:rsidRPr="00CA3B39">
      <w:tab/>
    </w:r>
    <w:proofErr w:type="spellStart"/>
    <w:r w:rsidRPr="00CA3B39">
      <w:rPr>
        <w:rFonts w:ascii="Arial" w:hAnsi="Arial" w:cs="Arial"/>
        <w:b/>
        <w:sz w:val="48"/>
      </w:rPr>
      <w:t>MT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39" w:rsidRPr="00CA3B39" w:rsidRDefault="00CA3B39" w:rsidP="00CA3B39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AC" w:rsidRDefault="00DB61A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AC" w:rsidRDefault="00DB61A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AC" w:rsidRDefault="00DB6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AC" w:rsidRDefault="00CA3B39">
      <w:pPr>
        <w:spacing w:after="0"/>
      </w:pPr>
      <w:r>
        <w:separator/>
      </w:r>
    </w:p>
  </w:footnote>
  <w:footnote w:type="continuationSeparator" w:id="0">
    <w:p w:rsidR="00DB61AC" w:rsidRDefault="00CA3B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39" w:rsidRPr="00CA3B39" w:rsidRDefault="00CA3B39" w:rsidP="00CA3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39" w:rsidRPr="00CA3B39" w:rsidRDefault="00CA3B39" w:rsidP="00CA3B39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39" w:rsidRPr="00CA3B39" w:rsidRDefault="00CA3B39" w:rsidP="00CA3B39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AC" w:rsidRDefault="00DB61A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AC" w:rsidRDefault="00DB61A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AC" w:rsidRDefault="00DB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5F7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821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0511A86"/>
    <w:multiLevelType w:val="hybridMultilevel"/>
    <w:tmpl w:val="5750F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811E9"/>
    <w:multiLevelType w:val="hybridMultilevel"/>
    <w:tmpl w:val="8DE6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22868"/>
    <w:multiLevelType w:val="hybridMultilevel"/>
    <w:tmpl w:val="A9DAA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E4441"/>
    <w:multiLevelType w:val="hybridMultilevel"/>
    <w:tmpl w:val="7832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Li jakkumpanja d-dokument"/>
    <w:docVar w:name="LW_CORRIGENDUM" w:val="&lt;UNUSED&gt;"/>
    <w:docVar w:name="LW_COVERPAGE_EXISTS" w:val="True"/>
    <w:docVar w:name="LW_COVERPAGE_GUID" w:val="0549375C-B45E-454E-909C-32D55D38B6C7"/>
    <w:docVar w:name="LW_COVERPAGE_TYPE" w:val="1"/>
    <w:docVar w:name="LW_CROSSREFERENCE" w:val="{COM(2020) 824 final} - {SEC(2020) 431 final} - {SWD(2020) 346 final}"/>
    <w:docVar w:name="LW_DocType" w:val="NORMAL"/>
    <w:docVar w:name="LW_EMISSION" w:val="15.12.2020"/>
    <w:docVar w:name="LW_EMISSION_ISODATE" w:val="2020-12-15"/>
    <w:docVar w:name="LW_EMISSION_LOCATION" w:val="BRX"/>
    <w:docVar w:name="LW_EMISSION_PREFIX" w:val="Brussell, "/>
    <w:docVar w:name="LW_EMISSION_SUFFIX" w:val=" "/>
    <w:docVar w:name="LW_ID_DOCTYPE_NONLW" w:val="CP-02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 "/>
    <w:docVar w:name="LW_PART_NBR" w:val="1"/>
    <w:docVar w:name="LW_PART_NBR_TOTAL" w:val="1"/>
    <w:docVar w:name="LW_REF.INST.NEW" w:val="SWD"/>
    <w:docVar w:name="LW_REF.INST.NEW_ADOPTED" w:val="final"/>
    <w:docVar w:name="LW_REF.INST.NEW_TEXT" w:val="(2020) 34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DOKUMENT TA\u8217? \u294?IDMA TAL-PERSUNAL TAL-KUMMISSJONI_x000b__x000b_SOMMARJU E\u379?EKUTTIV TAR-RAPPORT TAL-VALUTAZZJONI TAL-IMPATT _x000b_"/>
    <w:docVar w:name="LW_TYPEACTEPRINCIPAL.CP" w:val="[Proposta g\u295?al Regolament tal-Parlament Ewropew u tal-Kunsill dwar linji gwida g\u295?all-infrastruttura tal-ener\u289?ija trans-Ewropea u li jirrevoka r-Regolament (UE) Nru 347/2013]"/>
  </w:docVars>
  <w:rsids>
    <w:rsidRoot w:val="00DB61AC"/>
    <w:rsid w:val="00CA3B39"/>
    <w:rsid w:val="00DB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1D70F7C-91B3-496B-A531-EB4C7047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tabs>
        <w:tab w:val="left" w:pos="2302"/>
      </w:tabs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tabs>
        <w:tab w:val="left" w:pos="2302"/>
      </w:tabs>
      <w:jc w:val="lef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tabs>
        <w:tab w:val="left" w:pos="2302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tabs>
        <w:tab w:val="left" w:pos="2302"/>
      </w:tabs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tabs>
        <w:tab w:val="left" w:pos="2302"/>
      </w:tabs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tabs>
        <w:tab w:val="left" w:pos="2302"/>
      </w:tabs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tabs>
        <w:tab w:val="left" w:pos="2302"/>
      </w:tabs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tabs>
        <w:tab w:val="left" w:pos="2302"/>
      </w:tabs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tabs>
        <w:tab w:val="left" w:pos="2302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aliases w:val="Testo nota a piè di pagina_Rientro,stile 1,Footnote1,Footnote2,Footnote3,Footnote4,Footnote5,Footnote6,Footnote7,Footnote8,Footnote9,Footnote10,Footnote11,Footnote21,Footnote31,Footnote41,Footnote51,ft,Footnote61,Schriftart: 9 pt, Ch,fn"/>
    <w:basedOn w:val="Normal"/>
    <w:link w:val="FootnoteTextChar"/>
    <w:uiPriority w:val="99"/>
    <w:unhideWhenUsed/>
    <w:qFormat/>
    <w:pPr>
      <w:tabs>
        <w:tab w:val="left" w:pos="2302"/>
      </w:tabs>
      <w:spacing w:after="0"/>
    </w:pPr>
    <w:rPr>
      <w:sz w:val="20"/>
    </w:rPr>
  </w:style>
  <w:style w:type="character" w:customStyle="1" w:styleId="FootnoteTextChar">
    <w:name w:val="Footnote Text Char"/>
    <w:aliases w:val="Testo nota a piè di pagina_Rientro Char,stile 1 Char,Footnote1 Char,Footnote2 Char,Footnote3 Char,Footnote4 Char,Footnote5 Char,Footnote6 Char,Footnote7 Char,Footnote8 Char,Footnote9 Char,Footnote10 Char,Footnote11 Char,ft Char"/>
    <w:basedOn w:val="DefaultParagraphFont"/>
    <w:link w:val="FootnoteText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number,SUPERS,Footnote Reference Superscript,-E Fuﬂnotenzeichen,-E Fuûnotenzeichen,-E Fußnotenzeichen,EN Footnote Reference,Footnote text,Odwołanie przypisu,Times 10 Point,Exposant 3 Point,Footnote symbol,Ref,Footnote reference number"/>
    <w:basedOn w:val="DefaultParagraphFont"/>
    <w:link w:val="FootnotesymbolCharCharChar"/>
    <w:uiPriority w:val="99"/>
    <w:qFormat/>
    <w:rPr>
      <w:rFonts w:cs="Times New Roman"/>
      <w:vertAlign w:val="superscript"/>
    </w:rPr>
  </w:style>
  <w:style w:type="paragraph" w:customStyle="1" w:styleId="FootnotesymbolCharCharChar">
    <w:name w:val="Footnote symbol Char Char Char"/>
    <w:aliases w:val="Voetnootverwijzing Char Char Char,Times 10 Point Char Char Char,Exposant 3 Point Char Char Char,Footnote Reference Superscript Char Char Char,Footnote symbol Char,FR Char, Exposant 3 Point Char Char Char"/>
    <w:basedOn w:val="Normal"/>
    <w:link w:val="FootnoteReference"/>
    <w:uiPriority w:val="99"/>
    <w:pPr>
      <w:tabs>
        <w:tab w:val="left" w:pos="2302"/>
      </w:tabs>
      <w:spacing w:after="160" w:line="240" w:lineRule="exact"/>
      <w:jc w:val="left"/>
    </w:pPr>
    <w:rPr>
      <w:rFonts w:asciiTheme="minorHAnsi" w:eastAsiaTheme="minorHAnsi" w:hAnsiTheme="minorHAnsi"/>
      <w:sz w:val="22"/>
      <w:szCs w:val="22"/>
      <w:vertAlign w:val="superscript"/>
    </w:rPr>
  </w:style>
  <w:style w:type="paragraph" w:styleId="ListParagraph">
    <w:name w:val="List Paragraph"/>
    <w:aliases w:val="1st elvel bullet green,List Paragraph compact,Normal bullet 2,Paragraphe de liste 2,Reference list,Bullet list,Numbered List,List Paragraph1,1st level - Bullet List Paragraph,Lettre d'introduction,Paragraph,Bullet EY,List Paragraph11"/>
    <w:basedOn w:val="Normal"/>
    <w:link w:val="ListParagraphChar"/>
    <w:uiPriority w:val="34"/>
    <w:qFormat/>
    <w:pPr>
      <w:tabs>
        <w:tab w:val="left" w:pos="2302"/>
      </w:tabs>
      <w:ind w:left="720"/>
      <w:contextualSpacing/>
    </w:pPr>
  </w:style>
  <w:style w:type="character" w:customStyle="1" w:styleId="ListParagraphChar">
    <w:name w:val="List Paragraph Char"/>
    <w:aliases w:val="1st elvel bullet green Char,List Paragraph compact Char,Normal bullet 2 Char,Paragraphe de liste 2 Char,Reference list Char,Bullet list Char,Numbered List Char,List Paragraph1 Char,1st level - Bullet List Paragraph Char"/>
    <w:basedOn w:val="DefaultParagraphFont"/>
    <w:link w:val="ListParagraph"/>
    <w:uiPriority w:val="34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0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1205</Words>
  <Characters>9503</Characters>
  <Application>Microsoft Office Word</Application>
  <DocSecurity>0</DocSecurity>
  <Lines>130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LAGES CARVALHO Patrick (SG)</cp:lastModifiedBy>
  <cp:revision>19</cp:revision>
  <dcterms:created xsi:type="dcterms:W3CDTF">2020-12-09T08:15:00Z</dcterms:created>
  <dcterms:modified xsi:type="dcterms:W3CDTF">2021-01-08T14:35:00Z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CP-027</vt:lpwstr>
  </property>
  <property fmtid="{D5CDD505-2E9C-101B-9397-08002B2CF9AE}" pid="7" name="Last edited using">
    <vt:lpwstr>LW 7.0, Build 20190717</vt:lpwstr>
  </property>
  <property fmtid="{D5CDD505-2E9C-101B-9397-08002B2CF9AE}" pid="8" name="Created using">
    <vt:lpwstr>LW 7.0.1, Build 20190916</vt:lpwstr>
  </property>
</Properties>
</file>