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776D9CE-05CD-487A-BBE1-E169F5CBDC2C" style="width:450.95pt;height:4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sz w:val="28"/>
        </w:rPr>
      </w:pPr>
      <w:bookmarkStart w:id="1" w:name="_GoBack"/>
      <w:bookmarkEnd w:id="1"/>
      <w:r>
        <w:rPr>
          <w:b/>
          <w:noProof/>
          <w:sz w:val="28"/>
        </w:rPr>
        <w:lastRenderedPageBreak/>
        <w:t>Subsidiaritetstabell</w:t>
      </w:r>
    </w:p>
    <w:tbl>
      <w:tblPr>
        <w:tblStyle w:val="TableGrid"/>
        <w:tblW w:w="0" w:type="auto"/>
        <w:tblCellMar>
          <w:top w:w="100" w:type="dxa"/>
          <w:bottom w:w="100" w:type="dxa"/>
        </w:tblCellMar>
        <w:tblLook w:val="04A0" w:firstRow="1" w:lastRow="0" w:firstColumn="1" w:lastColumn="0" w:noHBand="0" w:noVBand="1"/>
      </w:tblPr>
      <w:tblGrid>
        <w:gridCol w:w="9288"/>
      </w:tblGrid>
      <w:tr>
        <w:tc>
          <w:tcPr>
            <w:tcW w:w="9288" w:type="dxa"/>
            <w:shd w:val="clear" w:color="auto" w:fill="808080" w:themeFill="background1" w:themeFillShade="80"/>
          </w:tcPr>
          <w:p>
            <w:pPr>
              <w:pStyle w:val="ListParagraph"/>
              <w:numPr>
                <w:ilvl w:val="0"/>
                <w:numId w:val="1"/>
              </w:numPr>
              <w:rPr>
                <w:b/>
                <w:noProof/>
              </w:rPr>
            </w:pPr>
            <w:r>
              <w:rPr>
                <w:b/>
                <w:noProof/>
                <w:color w:val="FFFFFF" w:themeColor="background1"/>
              </w:rPr>
              <w:t>Kan EU vidta åtgärder? Vilken rättslig grund och vilka befogenheter gäller för EU:s planerade åtgärder?</w:t>
            </w:r>
          </w:p>
        </w:tc>
      </w:tr>
      <w:tr>
        <w:tc>
          <w:tcPr>
            <w:tcW w:w="9288" w:type="dxa"/>
          </w:tcPr>
          <w:p>
            <w:pPr>
              <w:rPr>
                <w:b/>
                <w:noProof/>
              </w:rPr>
            </w:pPr>
            <w:r>
              <w:rPr>
                <w:b/>
                <w:noProof/>
              </w:rPr>
              <w:t>1.1 Vilka artiklar i fördraget åberopas till stöd för lagstiftningsförslaget eller det politiska initiativet?</w:t>
            </w:r>
          </w:p>
        </w:tc>
      </w:tr>
      <w:tr>
        <w:tc>
          <w:tcPr>
            <w:tcW w:w="9288" w:type="dxa"/>
          </w:tcPr>
          <w:p>
            <w:pPr>
              <w:rPr>
                <w:noProof/>
              </w:rPr>
            </w:pPr>
            <w:r>
              <w:rPr>
                <w:noProof/>
                <w:color w:val="4F81BD" w:themeColor="accent1"/>
              </w:rPr>
              <w:t>Enligt artikel 170 i fördraget om Europeiska unionens funktionssätt ska unionen bidra till att upprätta och utveckla transeuropeiska nät, även för infrastrukturerna inom energisektorerna. Unionen ska främja de nationella nätens samtrafikförmåga. Förordningen om transeuropeiska energinät (TEN-E-förordningen) grundar sig på artikel 172 i fördraget om Europeiska unionens funktionssätt, som ger den rättsliga grunden för antagande av riktlinjer som omfattar mål, prioriteringar och huvudlinjer för de åtgärder som förutses när det gäller de transeuropeiska näten i enlighet med artikel 171.</w:t>
            </w:r>
          </w:p>
        </w:tc>
      </w:tr>
      <w:tr>
        <w:tc>
          <w:tcPr>
            <w:tcW w:w="9288" w:type="dxa"/>
          </w:tcPr>
          <w:p>
            <w:pPr>
              <w:rPr>
                <w:b/>
                <w:noProof/>
              </w:rPr>
            </w:pPr>
            <w:r>
              <w:rPr>
                <w:b/>
                <w:noProof/>
              </w:rPr>
              <w:t>1.2 Har EU enligt dessa artiklar i fördraget exklusiv, delad eller stödjande befogenhet?</w:t>
            </w:r>
          </w:p>
        </w:tc>
      </w:tr>
      <w:tr>
        <w:tc>
          <w:tcPr>
            <w:tcW w:w="9288" w:type="dxa"/>
          </w:tcPr>
          <w:p>
            <w:pPr>
              <w:rPr>
                <w:noProof/>
              </w:rPr>
            </w:pPr>
            <w:r>
              <w:rPr>
                <w:noProof/>
                <w:color w:val="4F81BD" w:themeColor="accent1"/>
              </w:rPr>
              <w:t>När det gäller transeuropeiska nät är unionens befogenhet delad. I artikel 172 anges att riktlinjer och projekt av gemensamt intresse som angår en medlemsstats territorium kräver den berörda medlemsstatens godkännande.</w:t>
            </w:r>
          </w:p>
        </w:tc>
      </w:tr>
      <w:tr>
        <w:tc>
          <w:tcPr>
            <w:tcW w:w="9288" w:type="dxa"/>
          </w:tcPr>
          <w:p>
            <w:pPr>
              <w:rPr>
                <w:i/>
                <w:noProof/>
              </w:rPr>
            </w:pPr>
            <w:r>
              <w:rPr>
                <w:i/>
                <w:noProof/>
              </w:rPr>
              <w:t xml:space="preserve">Subsidiariteten gäller inte på politikområden där unionen har </w:t>
            </w:r>
            <w:r>
              <w:rPr>
                <w:b/>
                <w:i/>
                <w:noProof/>
              </w:rPr>
              <w:t>exklusiv</w:t>
            </w:r>
            <w:r>
              <w:rPr>
                <w:i/>
                <w:noProof/>
              </w:rPr>
              <w:t xml:space="preserve"> befogenhet enligt artikel 3 i EUF-fördraget</w:t>
            </w:r>
            <w:r>
              <w:rPr>
                <w:rStyle w:val="FootnoteReference"/>
                <w:i/>
                <w:noProof/>
              </w:rPr>
              <w:footnoteReference w:id="1"/>
            </w:r>
            <w:r>
              <w:rPr>
                <w:i/>
                <w:noProof/>
              </w:rPr>
              <w:t>. Det är den specifika rättsliga grunden som avgör om förslaget omfattas av kontrollmekanismen för subsidiaritet. I artikel 4 i EUF-fördraget</w:t>
            </w:r>
            <w:r>
              <w:rPr>
                <w:rStyle w:val="FootnoteReference"/>
                <w:i/>
                <w:noProof/>
              </w:rPr>
              <w:footnoteReference w:id="2"/>
            </w:r>
            <w:r>
              <w:rPr>
                <w:i/>
                <w:noProof/>
              </w:rPr>
              <w:t xml:space="preserve"> anges de områden där befogenheten delas mellan unionen och medlemsstaterna. I artikel 6 i EUF-fördraget</w:t>
            </w:r>
            <w:r>
              <w:rPr>
                <w:rStyle w:val="FootnoteReference"/>
                <w:i/>
                <w:noProof/>
              </w:rPr>
              <w:footnoteReference w:id="3"/>
            </w:r>
            <w:r>
              <w:rPr>
                <w:i/>
                <w:noProof/>
              </w:rPr>
              <w:t xml:space="preserve"> anges de områden där unionen endast har befogenhet att stödja medlemsstaternas åtgärder.</w:t>
            </w:r>
          </w:p>
        </w:tc>
      </w:tr>
      <w:tr>
        <w:tc>
          <w:tcPr>
            <w:tcW w:w="9288" w:type="dxa"/>
            <w:shd w:val="clear" w:color="auto" w:fill="808080" w:themeFill="background1" w:themeFillShade="80"/>
          </w:tcPr>
          <w:p>
            <w:pPr>
              <w:pStyle w:val="ListParagraph"/>
              <w:numPr>
                <w:ilvl w:val="0"/>
                <w:numId w:val="1"/>
              </w:numPr>
              <w:rPr>
                <w:b/>
                <w:noProof/>
                <w:color w:val="FFFFFF" w:themeColor="background1"/>
              </w:rPr>
            </w:pPr>
            <w:r>
              <w:rPr>
                <w:b/>
                <w:noProof/>
                <w:color w:val="FFFFFF" w:themeColor="background1"/>
              </w:rPr>
              <w:t>Subsidiaritetsprincipen: Varför bör EU vidta åtgärder?</w:t>
            </w:r>
          </w:p>
        </w:tc>
      </w:tr>
      <w:tr>
        <w:tc>
          <w:tcPr>
            <w:tcW w:w="9288" w:type="dxa"/>
          </w:tcPr>
          <w:p>
            <w:pPr>
              <w:pStyle w:val="ListParagraph"/>
              <w:numPr>
                <w:ilvl w:val="1"/>
                <w:numId w:val="1"/>
              </w:numPr>
              <w:rPr>
                <w:b/>
                <w:noProof/>
              </w:rPr>
            </w:pPr>
            <w:r>
              <w:rPr>
                <w:b/>
                <w:noProof/>
              </w:rPr>
              <w:t>Uppfyller förslaget formföreskrifterna i protokoll nr 2</w:t>
            </w:r>
            <w:r>
              <w:rPr>
                <w:rStyle w:val="FootnoteReference"/>
                <w:b/>
                <w:noProof/>
              </w:rPr>
              <w:footnoteReference w:id="4"/>
            </w:r>
            <w:r>
              <w:rPr>
                <w:b/>
                <w:noProof/>
              </w:rPr>
              <w:t>?</w:t>
            </w:r>
          </w:p>
          <w:p>
            <w:pPr>
              <w:pStyle w:val="ListParagraph"/>
              <w:numPr>
                <w:ilvl w:val="0"/>
                <w:numId w:val="2"/>
              </w:numPr>
              <w:rPr>
                <w:noProof/>
              </w:rPr>
            </w:pPr>
            <w:r>
              <w:rPr>
                <w:noProof/>
              </w:rPr>
              <w:t>Har det hållits något omfattande samråd innan akten lades fram?</w:t>
            </w:r>
          </w:p>
          <w:p>
            <w:pPr>
              <w:pStyle w:val="ListParagraph"/>
              <w:numPr>
                <w:ilvl w:val="0"/>
                <w:numId w:val="2"/>
              </w:numPr>
              <w:rPr>
                <w:noProof/>
              </w:rPr>
            </w:pPr>
            <w:r>
              <w:rPr>
                <w:noProof/>
              </w:rPr>
              <w:t>Finns det något formulär med närmare uppgifter som innehåller kvalitativa och, om möjligt, kvantitativa indikatorer som gör det möjligt att bedöma om åtgärdens mål bäst kan uppnås på EU-nivå?</w:t>
            </w:r>
          </w:p>
        </w:tc>
      </w:tr>
      <w:tr>
        <w:tc>
          <w:tcPr>
            <w:tcW w:w="9288" w:type="dxa"/>
          </w:tcPr>
          <w:p>
            <w:pPr>
              <w:pStyle w:val="ListParagraph"/>
              <w:numPr>
                <w:ilvl w:val="0"/>
                <w:numId w:val="2"/>
              </w:numPr>
              <w:rPr>
                <w:noProof/>
                <w:color w:val="4F81BD" w:themeColor="accent1"/>
              </w:rPr>
            </w:pPr>
            <w:r>
              <w:rPr>
                <w:noProof/>
                <w:color w:val="4F81BD" w:themeColor="accent1"/>
              </w:rPr>
              <w:t>I enlighet med riktlinjerna för bättre lagstiftning genomförde kommissionen ett omfattande samråd baserat på en samrådsstrategi som innefattade en rad samrådsmetoder och verktyg. Strategin utformades i enlighet med interventionslogiken, med fokus på TEN-E-förordningens relevans, ändamålsenlighet, effektivitet, samstämmighet och EU-mervärde. Syftet med samrådsstrategin var att se till att alla relevanta bevis beaktades, inbegripet uppgifter om kostnader, samhällseffekter och initiativets potentiella fördelar.</w:t>
            </w:r>
          </w:p>
          <w:p>
            <w:pPr>
              <w:pStyle w:val="ListParagraph"/>
              <w:rPr>
                <w:noProof/>
                <w:color w:val="4F81BD" w:themeColor="accent1"/>
              </w:rPr>
            </w:pPr>
          </w:p>
          <w:p>
            <w:pPr>
              <w:pStyle w:val="ListParagraph"/>
              <w:numPr>
                <w:ilvl w:val="0"/>
                <w:numId w:val="2"/>
              </w:numPr>
              <w:rPr>
                <w:noProof/>
                <w:color w:val="4F81BD" w:themeColor="accent1"/>
              </w:rPr>
            </w:pPr>
            <w:r>
              <w:rPr>
                <w:noProof/>
                <w:color w:val="4F81BD" w:themeColor="accent1"/>
              </w:rPr>
              <w:t xml:space="preserve">Ett offentligt samråd på nätet mellan den 18 maj och den 13 juli 2020 gav alla som var intresserade av utvärderingen och översynen av TEN-E-förordningen möjlighet att bidra. EUSurvey användes för att hantera det offentliga samrådet på nätet. Enkäten fanns tillgänglig på 23 av EU:s officiella språk. Den riktade sig framför allt till medborgare och organisationer (t.ex. icke-statliga organisationer, lokala myndigheter, lokalsamhällen, företag och </w:t>
            </w:r>
            <w:r>
              <w:rPr>
                <w:noProof/>
                <w:color w:val="4F81BD" w:themeColor="accent1"/>
              </w:rPr>
              <w:lastRenderedPageBreak/>
              <w:t>branschorganisationer) som inte har specialkunskaper om TEN-E-förordningen. Detta återspeglades i enkätens antal, utformning och formuleringar. Frågorna i det öppna offentliga samrådet syftade till att fastställa TEN-E-förordningens relevans när det gäller dess mål, infrastrukturkategorier och de delar av projekt av gemensamt intresse som allmänheten anser vara viktigast.  Personer med specialkunskaper om TEN-E-förordningen (t.ex. från nationell behörig myndighet eller tillsynsmyndighet, systemansvarig för överföringssystem, systemansvarig för distributionssystem, projektansvarig inom företag, energiproducent, icke-statlig organisation med särskild ämneskunskap) uppmanades att fylla i en riktad enkät. Det offentliga samrådet var tillgängligt på kommissionens webbplats Kom med synpunkter, med länkar till bakgrundsdokument och relevanta webbsidor, t.ex. sidorna om politiken för det transeuropeiska energinätet och den europeiska gröna given.</w:t>
            </w:r>
          </w:p>
          <w:p>
            <w:pPr>
              <w:pStyle w:val="ListParagraph"/>
              <w:rPr>
                <w:noProof/>
                <w:color w:val="4F81BD" w:themeColor="accent1"/>
              </w:rPr>
            </w:pPr>
          </w:p>
          <w:p>
            <w:pPr>
              <w:pStyle w:val="ListParagraph"/>
              <w:numPr>
                <w:ilvl w:val="0"/>
                <w:numId w:val="2"/>
              </w:numPr>
              <w:rPr>
                <w:noProof/>
                <w:color w:val="4F81BD" w:themeColor="accent1"/>
              </w:rPr>
            </w:pPr>
            <w:r>
              <w:rPr>
                <w:noProof/>
                <w:color w:val="4F81BD" w:themeColor="accent1"/>
              </w:rPr>
              <w:t xml:space="preserve">Fyra webbinarier för berörda intressenter ägde rum för att nå ut ytterligare till intressenter och skapa möjligheter till strukturerad återkoppling. </w:t>
            </w:r>
          </w:p>
          <w:p>
            <w:pPr>
              <w:rPr>
                <w:noProof/>
                <w:color w:val="4F81BD" w:themeColor="accent1"/>
              </w:rPr>
            </w:pPr>
          </w:p>
          <w:p>
            <w:pPr>
              <w:pStyle w:val="ListParagraph"/>
              <w:numPr>
                <w:ilvl w:val="0"/>
                <w:numId w:val="2"/>
              </w:numPr>
              <w:rPr>
                <w:noProof/>
              </w:rPr>
            </w:pPr>
            <w:r>
              <w:rPr>
                <w:noProof/>
                <w:color w:val="4F81BD" w:themeColor="accent1"/>
              </w:rPr>
              <w:t>Motiveringen och konsekvensbedömningen innehåller ett avsnitt om subsidiaritetsprincipen. Mer information finns i fråga 2.2 nedan.</w:t>
            </w:r>
          </w:p>
        </w:tc>
      </w:tr>
      <w:tr>
        <w:tc>
          <w:tcPr>
            <w:tcW w:w="9288" w:type="dxa"/>
          </w:tcPr>
          <w:p>
            <w:pPr>
              <w:pStyle w:val="ListParagraph"/>
              <w:numPr>
                <w:ilvl w:val="1"/>
                <w:numId w:val="1"/>
              </w:numPr>
              <w:rPr>
                <w:b/>
                <w:noProof/>
              </w:rPr>
            </w:pPr>
            <w:r>
              <w:rPr>
                <w:b/>
                <w:noProof/>
              </w:rPr>
              <w:lastRenderedPageBreak/>
              <w:t>Anger kommissionen i den motivering (och den eventuella konsekvensbedömning) som åtföljer dess förslag tillräckliga skäl som visar att förslaget är förenligt med subsidiaritetsprincipen?</w:t>
            </w:r>
          </w:p>
        </w:tc>
      </w:tr>
      <w:tr>
        <w:tc>
          <w:tcPr>
            <w:tcW w:w="9288" w:type="dxa"/>
          </w:tcPr>
          <w:p>
            <w:pPr>
              <w:jc w:val="both"/>
              <w:rPr>
                <w:noProof/>
                <w:color w:val="4F81BD" w:themeColor="accent1"/>
              </w:rPr>
            </w:pPr>
            <w:r>
              <w:rPr>
                <w:noProof/>
                <w:color w:val="4F81BD" w:themeColor="accent1"/>
              </w:rPr>
              <w:t>Kommissionen anger både i den motivering och i den konsekvensbedömning som åtföljer dess förslag tillräckliga skäl som visar att förslaget är förenligt med subsidiaritetsprincipen.</w:t>
            </w:r>
          </w:p>
          <w:p>
            <w:pPr>
              <w:jc w:val="both"/>
              <w:rPr>
                <w:noProof/>
                <w:color w:val="4F81BD" w:themeColor="accent1"/>
              </w:rPr>
            </w:pPr>
          </w:p>
          <w:p>
            <w:pPr>
              <w:jc w:val="both"/>
              <w:rPr>
                <w:noProof/>
                <w:color w:val="4F81BD" w:themeColor="accent1"/>
              </w:rPr>
            </w:pPr>
            <w:r>
              <w:rPr>
                <w:noProof/>
                <w:color w:val="4F81BD" w:themeColor="accent1"/>
              </w:rPr>
              <w:t>Infrastruktur för energiöverföring (däribland ett sammanlänkat havsbaserat nät och infrastruktur för smarta nät) har ett europeiskt mervärde på grund av sina gränsöverskridande effekter och är avgörande för att uppnå ett klimatneutralt energisystem. TEN-E-förordningen har tillfört värde och bidragit till att resultat har uppnåtts när det gäller integrering, konkurrens och försörjningstrygghet på unionens energimarknad. Det behövs en ram för regionalt samarbete mellan medlemsstaterna för att utveckla gränsöverskridande energiinfrastruktur. Det räcker inte med enskilda medlemsstaters lagstiftning och åtgärder för att dessa infrastrukturprojekt ska genomföras i sin helhet.</w:t>
            </w:r>
          </w:p>
          <w:p>
            <w:pPr>
              <w:jc w:val="both"/>
              <w:rPr>
                <w:noProof/>
                <w:color w:val="4F81BD" w:themeColor="accent1"/>
              </w:rPr>
            </w:pPr>
          </w:p>
          <w:p>
            <w:pPr>
              <w:jc w:val="both"/>
              <w:rPr>
                <w:noProof/>
                <w:color w:val="4F81BD" w:themeColor="accent1"/>
              </w:rPr>
            </w:pPr>
            <w:r>
              <w:rPr>
                <w:noProof/>
                <w:color w:val="4F81BD" w:themeColor="accent1"/>
              </w:rPr>
              <w:t xml:space="preserve">Den inre energimarknaden kräver gränsöverskridande infrastruktur, vars utveckling kräver samarbete mellan två eller flera medlemsstater, som alla har sina egna regelverk. </w:t>
            </w:r>
          </w:p>
          <w:p>
            <w:pPr>
              <w:jc w:val="both"/>
              <w:rPr>
                <w:noProof/>
                <w:color w:val="4F81BD" w:themeColor="accent1"/>
              </w:rPr>
            </w:pPr>
          </w:p>
          <w:p>
            <w:pPr>
              <w:jc w:val="both"/>
              <w:rPr>
                <w:noProof/>
                <w:color w:val="4F81BD" w:themeColor="accent1"/>
              </w:rPr>
            </w:pPr>
            <w:r>
              <w:rPr>
                <w:noProof/>
                <w:color w:val="4F81BD" w:themeColor="accent1"/>
              </w:rPr>
              <w:t>TEN-E-förordningen har gett ett mervärde jämfört med vad som skulle ha kunnat uppnås enbart på nationell eller regional nivå. Tack vare genomförandet av över 40 viktiga energiinfrastrukturprojekt sedan förordningens ikraftträdande kunde de flesta medlemsstater nå sammanlänkningsmålet på 10 % för 2020 och åstadkomma ett väl sammanlänkat gasnät som är motståndskraftigt mot chocker. Unionens energimarknad är mer integrerad och konkurrensutsatt än den var 2013, och unionens energitrygghet har förbättrats. Tillgång till riktad finansiering inom ramen för Fonden för ett sammanlänkat Europa (FSE) gjorde det möjligt att genomföra 95 projekt av gemensamt intresse som annars haft svårt att få tillgång till finansiering enligt marknadsreglerna.</w:t>
            </w:r>
          </w:p>
          <w:p>
            <w:pPr>
              <w:jc w:val="both"/>
              <w:rPr>
                <w:noProof/>
                <w:color w:val="4F81BD" w:themeColor="accent1"/>
              </w:rPr>
            </w:pPr>
          </w:p>
          <w:p>
            <w:pPr>
              <w:jc w:val="both"/>
              <w:rPr>
                <w:noProof/>
              </w:rPr>
            </w:pPr>
            <w:r>
              <w:rPr>
                <w:noProof/>
                <w:color w:val="4F81BD" w:themeColor="accent1"/>
              </w:rPr>
              <w:t>De ovannämnda framstegen kunde inte ha uppnåtts enbart genom åtgärder från medlemsstaternas sida. Flera berörda intressenter bekräftade mervärdet av TEN-E-förordningen och framhöll vikten av regionalt samarbete vid genomförandet av gränsöverskridande projekt, öppenhet, rättssäkerhet och tillgång till finansiering.</w:t>
            </w:r>
          </w:p>
        </w:tc>
      </w:tr>
      <w:tr>
        <w:tc>
          <w:tcPr>
            <w:tcW w:w="9288" w:type="dxa"/>
          </w:tcPr>
          <w:p>
            <w:pPr>
              <w:pStyle w:val="ListParagraph"/>
              <w:numPr>
                <w:ilvl w:val="1"/>
                <w:numId w:val="1"/>
              </w:numPr>
              <w:rPr>
                <w:b/>
                <w:noProof/>
              </w:rPr>
            </w:pPr>
            <w:r>
              <w:rPr>
                <w:b/>
                <w:noProof/>
              </w:rPr>
              <w:t>Kan medlemsstaterna, baserat på svaren på nedanstående frågor, i tillräcklig utsträckning uppnå målen med den föreslagna åtgärden på egen hand (dvs. är EU:s åtgärder nödvändiga)?</w:t>
            </w:r>
          </w:p>
        </w:tc>
      </w:tr>
      <w:tr>
        <w:tc>
          <w:tcPr>
            <w:tcW w:w="9288" w:type="dxa"/>
          </w:tcPr>
          <w:p>
            <w:pPr>
              <w:jc w:val="both"/>
              <w:rPr>
                <w:noProof/>
                <w:color w:val="4F81BD" w:themeColor="accent1"/>
              </w:rPr>
            </w:pPr>
            <w:r>
              <w:rPr>
                <w:noProof/>
                <w:color w:val="4F81BD" w:themeColor="accent1"/>
              </w:rPr>
              <w:t>Det räcker inte med enskilda medlemsstaters lagstiftning och åtgärder för att genomföra de prioriterade energiinfrastrukturprojekt som behövs för att uppnå målen för det föreslagna initiativet. I avsaknad av EU-åtgärder kan de mål som fastställs i fördraget när det gäller att främja de nationella nätens sammanlänkningar och driftskompatibilitet inte uppnås.</w:t>
            </w:r>
          </w:p>
        </w:tc>
      </w:tr>
      <w:tr>
        <w:tc>
          <w:tcPr>
            <w:tcW w:w="9288" w:type="dxa"/>
          </w:tcPr>
          <w:p>
            <w:pPr>
              <w:pStyle w:val="ListParagraph"/>
              <w:numPr>
                <w:ilvl w:val="0"/>
                <w:numId w:val="3"/>
              </w:numPr>
              <w:rPr>
                <w:noProof/>
              </w:rPr>
            </w:pPr>
            <w:r>
              <w:rPr>
                <w:noProof/>
              </w:rPr>
              <w:t>Finns det betydande/väsentliga transnationella/gränsöverskridande aspekter på de problem som ska hanteras? Har dessa kvantifierats?</w:t>
            </w:r>
          </w:p>
        </w:tc>
      </w:tr>
      <w:tr>
        <w:tc>
          <w:tcPr>
            <w:tcW w:w="9288" w:type="dxa"/>
          </w:tcPr>
          <w:p>
            <w:pPr>
              <w:jc w:val="both"/>
              <w:rPr>
                <w:noProof/>
              </w:rPr>
            </w:pPr>
            <w:r>
              <w:rPr>
                <w:noProof/>
                <w:color w:val="4F81BD" w:themeColor="accent1"/>
              </w:rPr>
              <w:t>I den rättsliga grunden för transeuropeiska nät (se punkt 1.1 ovan) fastställs att frågan är av gränsöverskridande karaktär. Detta återspeglas även i initiativets mål, som är att underlätta utvecklingen av lämplig energiinfrastruktur i hela EU och i dess grannskap för att göra det möjligt att uppnå EU:s energi- och klimatmål, särskilt målen för 2030 och 2050, och marknadsintegration, konkurrenskraft och försörjningstrygghet. Mer specifikt ska den föreslagna åtgärden göra det möjligt att identifiera de gränsöverskridande projekt och investeringar i EU och med dess grannländer som är nödvändiga för energiomställningen och klimatmålen. Dessutom syftar den till att förbättra den gränsöverskridande infrastrukturplaneringen för integrering av energisystem och havsbaserade nät.</w:t>
            </w:r>
          </w:p>
        </w:tc>
      </w:tr>
      <w:tr>
        <w:tc>
          <w:tcPr>
            <w:tcW w:w="9288" w:type="dxa"/>
          </w:tcPr>
          <w:p>
            <w:pPr>
              <w:pStyle w:val="ListParagraph"/>
              <w:numPr>
                <w:ilvl w:val="0"/>
                <w:numId w:val="3"/>
              </w:numPr>
              <w:rPr>
                <w:noProof/>
              </w:rPr>
            </w:pPr>
            <w:r>
              <w:rPr>
                <w:noProof/>
              </w:rPr>
              <w:t>Skulle nationella åtgärder eller frånvaron av EU-åtgärder strida mot fördragets centrala mål</w:t>
            </w:r>
            <w:r>
              <w:rPr>
                <w:rStyle w:val="FootnoteReference"/>
                <w:noProof/>
              </w:rPr>
              <w:footnoteReference w:id="5"/>
            </w:r>
            <w:r>
              <w:rPr>
                <w:noProof/>
              </w:rPr>
              <w:t xml:space="preserve"> eller i väsentlig utsträckning skada andra medlemsstaters intressen?</w:t>
            </w:r>
          </w:p>
        </w:tc>
      </w:tr>
      <w:tr>
        <w:tc>
          <w:tcPr>
            <w:tcW w:w="9288" w:type="dxa"/>
          </w:tcPr>
          <w:p>
            <w:pPr>
              <w:jc w:val="both"/>
              <w:rPr>
                <w:noProof/>
                <w:color w:val="4F81BD" w:themeColor="accent1"/>
              </w:rPr>
            </w:pPr>
            <w:r>
              <w:rPr>
                <w:noProof/>
                <w:color w:val="4F81BD" w:themeColor="accent1"/>
              </w:rPr>
              <w:t>I avsaknad av EU-åtgärder kunde de mål som anges i artikel 170, dvs. att upprätta och utveckla transeuropeiska nät för infrastrukturerna inom transport-, telekommunikations- och energisektorerna, inte uppnås. Syftet är att främja de nationella nätens samtrafikförmåga och driftskompatibilitet samt tillträdet till sådana nät. I detta sammanhang måste hänsyn tas till behovet av att förbinda öar, inlandsområden och randområden med unionens centrala regioner.</w:t>
            </w:r>
          </w:p>
        </w:tc>
      </w:tr>
      <w:tr>
        <w:tc>
          <w:tcPr>
            <w:tcW w:w="9288" w:type="dxa"/>
          </w:tcPr>
          <w:p>
            <w:pPr>
              <w:pStyle w:val="ListParagraph"/>
              <w:numPr>
                <w:ilvl w:val="0"/>
                <w:numId w:val="3"/>
              </w:numPr>
              <w:rPr>
                <w:noProof/>
              </w:rPr>
            </w:pPr>
            <w:r>
              <w:rPr>
                <w:noProof/>
              </w:rPr>
              <w:t>I vilken utsträckning har medlemsstaterna förmågan eller möjligheten att vidta lämpliga åtgärder?</w:t>
            </w:r>
          </w:p>
        </w:tc>
      </w:tr>
      <w:tr>
        <w:tc>
          <w:tcPr>
            <w:tcW w:w="9288" w:type="dxa"/>
          </w:tcPr>
          <w:p>
            <w:pPr>
              <w:jc w:val="both"/>
              <w:rPr>
                <w:noProof/>
              </w:rPr>
            </w:pPr>
            <w:r>
              <w:rPr>
                <w:noProof/>
                <w:color w:val="4F81BD" w:themeColor="accent1"/>
              </w:rPr>
              <w:t>Genom nationella insatser kan lämpliga åtgärder vidtas för att komplettera EU-åtgärderna och göra det möjligt att uppnå målen på detta politikområde. Åtgärderna kan bland annat avse nationella nät som är kopplade till de gränsöverskridande näten och det nationella genomförandet av åtgärder, inbegripet tillstånd för infrastrukturprojekt. I avsaknad av EU-åtgärder för en samordnad strategi för transeuropeiska energinät kan dock de sammanlänkningar som krävs för utfasningen av fossila bränslen i energisystemet, bättre marknadsintegration, konkurrens och försörjningstrygghet inte identifieras och genomföras.</w:t>
            </w:r>
          </w:p>
        </w:tc>
      </w:tr>
      <w:tr>
        <w:tc>
          <w:tcPr>
            <w:tcW w:w="9288" w:type="dxa"/>
          </w:tcPr>
          <w:p>
            <w:pPr>
              <w:pStyle w:val="ListParagraph"/>
              <w:numPr>
                <w:ilvl w:val="0"/>
                <w:numId w:val="3"/>
              </w:numPr>
              <w:rPr>
                <w:noProof/>
              </w:rPr>
            </w:pPr>
            <w:r>
              <w:rPr>
                <w:noProof/>
              </w:rPr>
              <w:t>Hur varierar problemen och dess orsaker (t.ex. negativa externa effekter och spridningseffekter) mellan nationell, regional och lokal nivå i EU?</w:t>
            </w:r>
          </w:p>
        </w:tc>
      </w:tr>
      <w:tr>
        <w:tc>
          <w:tcPr>
            <w:tcW w:w="9288" w:type="dxa"/>
          </w:tcPr>
          <w:p>
            <w:pPr>
              <w:jc w:val="both"/>
              <w:rPr>
                <w:noProof/>
              </w:rPr>
            </w:pPr>
            <w:r>
              <w:rPr>
                <w:noProof/>
                <w:color w:val="4F81BD" w:themeColor="accent1"/>
              </w:rPr>
              <w:t>De två huvudproblem som tas upp i den föreslagna åtgärden rör den nationella, regionala och lokala nivån: För det första är den gränsöverskridande infrastrukturutvecklingens typ och omfattning inte helt anpassad till EU:s energipolitiska mål, särskilt när det gäller den europeiska gröna given och målet om klimatneutralitet; för det andra påverkar förseningar i genomförandet av viktiga infrastrukturprojekt alla EU-nivåer genom en lägre grad av marknadsintegration, konkurrens och försörjningstrygghet.</w:t>
            </w:r>
          </w:p>
        </w:tc>
      </w:tr>
      <w:tr>
        <w:tc>
          <w:tcPr>
            <w:tcW w:w="9288" w:type="dxa"/>
          </w:tcPr>
          <w:p>
            <w:pPr>
              <w:pStyle w:val="ListParagraph"/>
              <w:numPr>
                <w:ilvl w:val="0"/>
                <w:numId w:val="3"/>
              </w:numPr>
              <w:rPr>
                <w:noProof/>
              </w:rPr>
            </w:pPr>
            <w:r>
              <w:rPr>
                <w:noProof/>
              </w:rPr>
              <w:t>Är problemet utbrett inom EU eller begränsat till ett fåtal medlemsstater?</w:t>
            </w:r>
          </w:p>
        </w:tc>
      </w:tr>
      <w:tr>
        <w:tc>
          <w:tcPr>
            <w:tcW w:w="9288" w:type="dxa"/>
          </w:tcPr>
          <w:p>
            <w:pPr>
              <w:jc w:val="both"/>
              <w:rPr>
                <w:noProof/>
                <w:color w:val="4F81BD" w:themeColor="accent1"/>
              </w:rPr>
            </w:pPr>
            <w:r>
              <w:rPr>
                <w:noProof/>
                <w:color w:val="4F81BD" w:themeColor="accent1"/>
              </w:rPr>
              <w:t>De problem som beskrivs i föregående underavsnitt berör alla medlemsstater och är utbredda i hela EU. Alla medlemsstater måste fortsätta att fasa ut fossila bränslen från sina energisystem och bidra till uppnåendet av klimatneutralitet senast 2050, och de kommer att gynnas av en högre grad av marknadsintegration, konkurrens och försörjningstrygghet.</w:t>
            </w:r>
          </w:p>
        </w:tc>
      </w:tr>
      <w:tr>
        <w:tc>
          <w:tcPr>
            <w:tcW w:w="9288" w:type="dxa"/>
          </w:tcPr>
          <w:p>
            <w:pPr>
              <w:pStyle w:val="ListParagraph"/>
              <w:numPr>
                <w:ilvl w:val="0"/>
                <w:numId w:val="3"/>
              </w:numPr>
              <w:rPr>
                <w:noProof/>
              </w:rPr>
            </w:pPr>
            <w:r>
              <w:rPr>
                <w:noProof/>
              </w:rPr>
              <w:t>Har medlemsstaterna svårt att uppnå målen med den planerade åtgärden?</w:t>
            </w:r>
          </w:p>
        </w:tc>
      </w:tr>
      <w:tr>
        <w:tc>
          <w:tcPr>
            <w:tcW w:w="9288" w:type="dxa"/>
          </w:tcPr>
          <w:p>
            <w:pPr>
              <w:jc w:val="both"/>
              <w:rPr>
                <w:noProof/>
              </w:rPr>
            </w:pPr>
            <w:r>
              <w:rPr>
                <w:noProof/>
                <w:color w:val="4F81BD" w:themeColor="accent1"/>
              </w:rPr>
              <w:t>Målen för det föreslagna initiativet kan inte uppnås med åtgärder enbart på medlemsstatsnivå. En samordnad strategi på EU-nivå för gränsöverskridande infrastrukturplanering och identifiering av prioriterade infrastrukturprojekt, som grundar sig på regionalt samarbete, kommer att bidra till att öka effektiviteten.</w:t>
            </w:r>
          </w:p>
        </w:tc>
      </w:tr>
      <w:tr>
        <w:tc>
          <w:tcPr>
            <w:tcW w:w="9288" w:type="dxa"/>
          </w:tcPr>
          <w:p>
            <w:pPr>
              <w:pStyle w:val="ListParagraph"/>
              <w:numPr>
                <w:ilvl w:val="0"/>
                <w:numId w:val="3"/>
              </w:numPr>
              <w:rPr>
                <w:noProof/>
              </w:rPr>
            </w:pPr>
            <w:r>
              <w:rPr>
                <w:noProof/>
              </w:rPr>
              <w:t>Hur skiljer sig synen/de valda tillvägagångssätten åt mellan nationella, regionala och lokala myndigheter i EU?</w:t>
            </w:r>
          </w:p>
        </w:tc>
      </w:tr>
      <w:tr>
        <w:tc>
          <w:tcPr>
            <w:tcW w:w="9288" w:type="dxa"/>
          </w:tcPr>
          <w:p>
            <w:pPr>
              <w:jc w:val="both"/>
              <w:rPr>
                <w:noProof/>
              </w:rPr>
            </w:pPr>
            <w:r>
              <w:rPr>
                <w:noProof/>
                <w:color w:val="4F81BD" w:themeColor="accent1"/>
              </w:rPr>
              <w:t>Nationella, regionala och lokala myndigheter gav sitt stöd till EU-åtgärder under samrådet med berörda intressenter.</w:t>
            </w:r>
            <w:r>
              <w:rPr>
                <w:noProof/>
              </w:rPr>
              <w:t xml:space="preserve"> </w:t>
            </w:r>
          </w:p>
        </w:tc>
      </w:tr>
      <w:tr>
        <w:tc>
          <w:tcPr>
            <w:tcW w:w="9288" w:type="dxa"/>
          </w:tcPr>
          <w:p>
            <w:pPr>
              <w:pStyle w:val="ListParagraph"/>
              <w:numPr>
                <w:ilvl w:val="1"/>
                <w:numId w:val="1"/>
              </w:numPr>
              <w:rPr>
                <w:b/>
                <w:noProof/>
              </w:rPr>
            </w:pPr>
            <w:r>
              <w:rPr>
                <w:b/>
                <w:noProof/>
              </w:rPr>
              <w:t>Kan målen med den föreslagna åtgärden, baserat på svaren på nedanstående frågor, bättre uppnås på EU-nivå på grund av åtgärdens omfattning eller verkningar (dvs. europeiskt mervärde)?</w:t>
            </w:r>
          </w:p>
        </w:tc>
      </w:tr>
      <w:tr>
        <w:tc>
          <w:tcPr>
            <w:tcW w:w="9288" w:type="dxa"/>
          </w:tcPr>
          <w:p>
            <w:pPr>
              <w:jc w:val="both"/>
              <w:rPr>
                <w:noProof/>
                <w:color w:val="4F81BD" w:themeColor="accent1"/>
              </w:rPr>
            </w:pPr>
            <w:r>
              <w:rPr>
                <w:noProof/>
                <w:color w:val="4F81BD" w:themeColor="accent1"/>
              </w:rPr>
              <w:t>Åtgärder på EU-nivå ger ett tydligt mervärde jämfört med nationell politik, vilket framgår av den befintliga TEN-E-förordningen och de fördelar som hittills uppnåtts. En effektiv sammankoppling av medlemsstaternas nät och undanröjandet av flaskhalsar har förbättrat marknadsintegrationen mellan medlemsstaterna och konkurrenskraften, vilket återspeglas i framstegen mot sammanlänkningsmålen och energipriskonvergensen i hela EU.</w:t>
            </w:r>
          </w:p>
        </w:tc>
      </w:tr>
      <w:tr>
        <w:tc>
          <w:tcPr>
            <w:tcW w:w="9288" w:type="dxa"/>
          </w:tcPr>
          <w:p>
            <w:pPr>
              <w:pStyle w:val="ListParagraph"/>
              <w:numPr>
                <w:ilvl w:val="0"/>
                <w:numId w:val="5"/>
              </w:numPr>
              <w:rPr>
                <w:noProof/>
              </w:rPr>
            </w:pPr>
            <w:r>
              <w:rPr>
                <w:noProof/>
              </w:rPr>
              <w:t xml:space="preserve">Finns det tydliga fördelar med att vidta åtgärder på EU-nivå? </w:t>
            </w:r>
          </w:p>
        </w:tc>
      </w:tr>
      <w:tr>
        <w:tc>
          <w:tcPr>
            <w:tcW w:w="9288" w:type="dxa"/>
          </w:tcPr>
          <w:p>
            <w:pPr>
              <w:jc w:val="both"/>
              <w:rPr>
                <w:noProof/>
                <w:color w:val="4F81BD" w:themeColor="accent1"/>
              </w:rPr>
            </w:pPr>
            <w:r>
              <w:rPr>
                <w:noProof/>
                <w:color w:val="4F81BD" w:themeColor="accent1"/>
              </w:rPr>
              <w:t xml:space="preserve">I TEN-E-förordningen fastställs en ny strategi för gränsöverskridande planering av energiinfrastruktur. Den sammanför berörda intressenter i regionala grupper för att identifiera och hjälpa till att genomföra projekt av gemensamt intresse som bidrar till utvecklingen av prioriterade korridorer och temaområden för energiinfrastruktur. </w:t>
            </w:r>
          </w:p>
          <w:p>
            <w:pPr>
              <w:jc w:val="both"/>
              <w:rPr>
                <w:noProof/>
                <w:color w:val="4F81BD" w:themeColor="accent1"/>
              </w:rPr>
            </w:pPr>
          </w:p>
          <w:p>
            <w:pPr>
              <w:jc w:val="both"/>
              <w:rPr>
                <w:noProof/>
                <w:color w:val="4F81BD" w:themeColor="accent1"/>
              </w:rPr>
            </w:pPr>
            <w:r>
              <w:rPr>
                <w:noProof/>
                <w:color w:val="4F81BD" w:themeColor="accent1"/>
              </w:rPr>
              <w:t>Utöver en ändamålsenlig och kostnadseffektiv strategi för infrastrukturplanering har förordningen förbättrat tillståndsförfarandena. Enligt förordningen ska medlemsstaterna säkerställa en effektiviserad tillståndsprocess för projekt av gemensamt intresse inom en tidsram på tre och ett halvt år för ett tillståndsbeslut. De ska få högsta nationella prioritet och ingå i de nationella nätutvecklingsplanerna. Förordningen föreskriver också juridiskt stöd, regler och vägledning för gränsöverskridande fördelning av kostnader och riskrelaterade incitament, och ger tillgång till finansieringsmöjligheter från Fonden för ett sammanlänkat Europa (FSE).</w:t>
            </w:r>
          </w:p>
          <w:p>
            <w:pPr>
              <w:jc w:val="both"/>
              <w:rPr>
                <w:noProof/>
                <w:color w:val="4F81BD" w:themeColor="accent1"/>
              </w:rPr>
            </w:pPr>
          </w:p>
          <w:p>
            <w:pPr>
              <w:jc w:val="both"/>
              <w:rPr>
                <w:noProof/>
                <w:color w:val="4F81BD" w:themeColor="accent1"/>
              </w:rPr>
            </w:pPr>
            <w:r>
              <w:rPr>
                <w:noProof/>
                <w:color w:val="4F81BD" w:themeColor="accent1"/>
              </w:rPr>
              <w:t>Sedan TEN-E-förordningen antogs 2013 har den gjort att över 40 viktiga energiinfrastrukturprojekt har kunnat genomföras, och ytterligare 75 projekt förväntas ha genomförts senast 2022. Finansieringsstödet från FSE på totalt 4,7 miljarder EUR gjorde det möjligt att genomföra 95 projekt av gemensamt intresse. Sedan 2014 har FSE tillhandahållit finansiering till 149 åtgärder, varav 114 (519 miljoner EUR) för studier och 35 (4,2 miljarder EUR) för bygg- och anläggningsarbeten. Av den totala budgeten på 4,7 miljarder EUR anslogs 1,5 miljarder EUR till gasprojekt och 2,8 miljarder EUR till elprojekt. Hittills har ungefär en femtedel av alla projekt av gemensamt intresse fått ekonomiskt stöd från FSE för studier och/eller bygg- och anläggningsarbeten.</w:t>
            </w:r>
          </w:p>
          <w:p>
            <w:pPr>
              <w:jc w:val="both"/>
              <w:rPr>
                <w:noProof/>
                <w:color w:val="4F81BD" w:themeColor="accent1"/>
              </w:rPr>
            </w:pPr>
          </w:p>
          <w:p>
            <w:pPr>
              <w:jc w:val="both"/>
              <w:rPr>
                <w:noProof/>
              </w:rPr>
            </w:pPr>
            <w:r>
              <w:rPr>
                <w:noProof/>
                <w:color w:val="4F81BD" w:themeColor="accent1"/>
              </w:rPr>
              <w:t>Det råder bred enighet bland berörda intressenter om förordningens EU-mervärde, som uppnås genom regionalt samarbete, tillgång till finansiering, förbättrad information och insyn samt förbättrade planerings- och tillståndsprocesser.</w:t>
            </w:r>
          </w:p>
        </w:tc>
      </w:tr>
      <w:tr>
        <w:tc>
          <w:tcPr>
            <w:tcW w:w="9288" w:type="dxa"/>
          </w:tcPr>
          <w:p>
            <w:pPr>
              <w:pStyle w:val="ListParagraph"/>
              <w:numPr>
                <w:ilvl w:val="0"/>
                <w:numId w:val="5"/>
              </w:numPr>
              <w:rPr>
                <w:noProof/>
              </w:rPr>
            </w:pPr>
            <w:r>
              <w:rPr>
                <w:noProof/>
              </w:rPr>
              <w:t>Finns det stordriftsfördelar? Kan målen uppfyllas mer effektivt på EU-nivå (större vinster per enhetskostnad)? Kommer den inre marknaden att fungera bättre?</w:t>
            </w:r>
          </w:p>
        </w:tc>
      </w:tr>
      <w:tr>
        <w:tc>
          <w:tcPr>
            <w:tcW w:w="9288" w:type="dxa"/>
          </w:tcPr>
          <w:p>
            <w:pPr>
              <w:jc w:val="both"/>
              <w:rPr>
                <w:noProof/>
                <w:color w:val="4F81BD" w:themeColor="accent1"/>
              </w:rPr>
            </w:pPr>
            <w:r>
              <w:rPr>
                <w:noProof/>
                <w:color w:val="4F81BD" w:themeColor="accent1"/>
              </w:rPr>
              <w:t xml:space="preserve">Utvärderingen av den nuvarande TEN-E-förordningen visar att den på ett effektivt sätt har bidragit till att koppla samman medlemsstaternas nät och undanröja flaskhalsar. Marknadsintegrationen mellan medlemsstaterna och konkurrenskraften har förbättrats, vilket återspeglas i framstegen mot sammanlänkningsmålen och energipriskonvergensen i hela EU. Genomförandet av elprojekt av gemensamt intresse kommer att hjälpa de flesta medlemsstater att nå sammanlänkningsmålet på 10 % för 2020. Till följd av detta är EU:s energimarknad mer integrerad och konkurrenskraftig än den var 2013. Projekten möjliggör också integrering av förnybar el och gränsöverskridande elhandel, vilket minskar behovet av inskränkningar. </w:t>
            </w:r>
          </w:p>
          <w:p>
            <w:pPr>
              <w:jc w:val="both"/>
              <w:rPr>
                <w:noProof/>
                <w:color w:val="4F81BD" w:themeColor="accent1"/>
              </w:rPr>
            </w:pPr>
          </w:p>
          <w:p>
            <w:pPr>
              <w:jc w:val="both"/>
              <w:rPr>
                <w:noProof/>
              </w:rPr>
            </w:pPr>
            <w:r>
              <w:rPr>
                <w:noProof/>
                <w:color w:val="4F81BD" w:themeColor="accent1"/>
              </w:rPr>
              <w:t xml:space="preserve">Försörjningstryggheten, som är en av de viktigaste drivkrafterna bakom den nuvarande TEN-E-förordningen, har förbättrats avsevärt genom projekt av gemensamt intresse. I början av 2020-talet, när de gasprojekt av gemensamt intresse som för närvarande håller på att genomföras kommer att vara i drift, bör Europa uppnå ett väl sammanlänkat gasnät som är motståndskraftigt mot chocker, och alla medlemsstater kommer att ha tillgång till minst tre gaskällor eller den globala marknaden för kondenserad naturgas (LNG), vilket är avgörande för att förbättra unionens energitrygghet genom diversifiering av gaskällor. </w:t>
            </w:r>
          </w:p>
        </w:tc>
      </w:tr>
      <w:tr>
        <w:tc>
          <w:tcPr>
            <w:tcW w:w="9288" w:type="dxa"/>
          </w:tcPr>
          <w:p>
            <w:pPr>
              <w:pStyle w:val="ListParagraph"/>
              <w:numPr>
                <w:ilvl w:val="0"/>
                <w:numId w:val="5"/>
              </w:numPr>
              <w:rPr>
                <w:noProof/>
              </w:rPr>
            </w:pPr>
            <w:r>
              <w:rPr>
                <w:noProof/>
              </w:rPr>
              <w:t>Vilka är fördelarna med att ersätta olika nationella politiska åtgärder och regler med en mer enhetlig politisk inriktning?</w:t>
            </w:r>
          </w:p>
        </w:tc>
      </w:tr>
      <w:tr>
        <w:tc>
          <w:tcPr>
            <w:tcW w:w="9288" w:type="dxa"/>
          </w:tcPr>
          <w:p>
            <w:pPr>
              <w:jc w:val="both"/>
              <w:rPr>
                <w:noProof/>
              </w:rPr>
            </w:pPr>
            <w:r>
              <w:rPr>
                <w:noProof/>
                <w:color w:val="4F81BD" w:themeColor="accent1"/>
              </w:rPr>
              <w:t>Med utgångspunkt i den nuvarande TEN-E-förordningen syftar de föreslagna åtgärderna till en mer samordnad strategi för gränsöverskridande infrastrukturplanering, ett snabbare genomförande av projekt och en mer konsekvent reglering av projekt av gemensamt intresse. Detta kommer att möjliggöra en effektivare metod för utveckling av gränsöverskridande infrastrukturprojekt och ett snabbare genomförande av dessa projekt.</w:t>
            </w:r>
          </w:p>
        </w:tc>
      </w:tr>
      <w:tr>
        <w:tc>
          <w:tcPr>
            <w:tcW w:w="9288" w:type="dxa"/>
          </w:tcPr>
          <w:p>
            <w:pPr>
              <w:pStyle w:val="ListParagraph"/>
              <w:numPr>
                <w:ilvl w:val="0"/>
                <w:numId w:val="5"/>
              </w:numPr>
              <w:rPr>
                <w:noProof/>
              </w:rPr>
            </w:pPr>
            <w:r>
              <w:rPr>
                <w:noProof/>
              </w:rPr>
              <w:t>Väger nyttan med att vidta åtgärder på EU-nivå tyngre än medlemsstaternas och de lokala och regionala myndigheternas förlorade befogenheter (utöver kostnaderna och nyttan med att vidta åtgärder på nationell, regional och lokal nivå)?</w:t>
            </w:r>
          </w:p>
        </w:tc>
      </w:tr>
      <w:tr>
        <w:tc>
          <w:tcPr>
            <w:tcW w:w="9288" w:type="dxa"/>
          </w:tcPr>
          <w:p>
            <w:pPr>
              <w:jc w:val="both"/>
              <w:rPr>
                <w:noProof/>
              </w:rPr>
            </w:pPr>
            <w:r>
              <w:rPr>
                <w:noProof/>
                <w:color w:val="4F81BD" w:themeColor="accent1"/>
              </w:rPr>
              <w:t>Att påskynda genomförandet av energiinfrastrukturprojekt som gör det möjligt att uppnå målet om klimatneutralitet i den europeiska gröna given samt marknadsintegration, konkurrenskraft och försörjningstrygghet till lägsta kostnad för konsumenter och företag har hög prioritet för alla medlemsstater. Åtgärder på EU-nivå kommer därför att göra det möjligt att stödja alla medlemsstater när de ska bidra till uppnåendet av centrala energi- och klimatpolitiska mål.</w:t>
            </w:r>
          </w:p>
        </w:tc>
      </w:tr>
      <w:tr>
        <w:tc>
          <w:tcPr>
            <w:tcW w:w="9288" w:type="dxa"/>
          </w:tcPr>
          <w:p>
            <w:pPr>
              <w:pStyle w:val="ListParagraph"/>
              <w:numPr>
                <w:ilvl w:val="0"/>
                <w:numId w:val="5"/>
              </w:numPr>
              <w:rPr>
                <w:noProof/>
              </w:rPr>
            </w:pPr>
            <w:r>
              <w:rPr>
                <w:noProof/>
              </w:rPr>
              <w:t>Kommer rättsläget att bli klarare för dem som ska genomföra lagstiftningen?</w:t>
            </w:r>
          </w:p>
        </w:tc>
      </w:tr>
      <w:tr>
        <w:tc>
          <w:tcPr>
            <w:tcW w:w="9288" w:type="dxa"/>
          </w:tcPr>
          <w:p>
            <w:pPr>
              <w:jc w:val="both"/>
              <w:rPr>
                <w:noProof/>
              </w:rPr>
            </w:pPr>
            <w:r>
              <w:rPr>
                <w:noProof/>
                <w:color w:val="4F81BD" w:themeColor="accent1"/>
              </w:rPr>
              <w:t>Den föreslagna översynen av den befintliga ramen för transeuropeiska energinät kommer att klargöra rättsläget för projektansvariga och nationella myndigheter. Till exempel kommer bestämmelserna om reglering av projekt av gemensamt intresse att förtydligas.</w:t>
            </w:r>
          </w:p>
        </w:tc>
      </w:tr>
      <w:tr>
        <w:tc>
          <w:tcPr>
            <w:tcW w:w="9288" w:type="dxa"/>
            <w:shd w:val="clear" w:color="auto" w:fill="808080" w:themeFill="background1" w:themeFillShade="80"/>
          </w:tcPr>
          <w:p>
            <w:pPr>
              <w:rPr>
                <w:b/>
                <w:noProof/>
                <w:color w:val="FFFFFF" w:themeColor="background1"/>
              </w:rPr>
            </w:pPr>
            <w:r>
              <w:rPr>
                <w:b/>
                <w:noProof/>
                <w:color w:val="FFFFFF" w:themeColor="background1"/>
              </w:rPr>
              <w:t>3.  Proportionalitet: Hur bör EU vidta åtgärder?</w:t>
            </w:r>
          </w:p>
        </w:tc>
      </w:tr>
      <w:tr>
        <w:tc>
          <w:tcPr>
            <w:tcW w:w="9288" w:type="dxa"/>
          </w:tcPr>
          <w:p>
            <w:pPr>
              <w:pStyle w:val="ListParagraph"/>
              <w:numPr>
                <w:ilvl w:val="1"/>
                <w:numId w:val="6"/>
              </w:numPr>
              <w:rPr>
                <w:b/>
                <w:noProof/>
              </w:rPr>
            </w:pPr>
            <w:r>
              <w:rPr>
                <w:b/>
                <w:noProof/>
              </w:rPr>
              <w:t xml:space="preserve"> Anger kommissionen i den motivering (och den eventuella konsekvensbedömning) som åtföljer dess förslag tillräckliga skäl som visar förslagets proportionalitet och ett formulär som gör det möjligt att bedöma om förslaget är förenligt med proportionalitetsprincipen?</w:t>
            </w:r>
          </w:p>
        </w:tc>
      </w:tr>
      <w:tr>
        <w:tc>
          <w:tcPr>
            <w:tcW w:w="9288" w:type="dxa"/>
          </w:tcPr>
          <w:p>
            <w:pPr>
              <w:jc w:val="both"/>
              <w:rPr>
                <w:noProof/>
                <w:color w:val="4F81BD" w:themeColor="accent1"/>
              </w:rPr>
            </w:pPr>
            <w:r>
              <w:rPr>
                <w:noProof/>
                <w:color w:val="4F81BD" w:themeColor="accent1"/>
              </w:rPr>
              <w:t xml:space="preserve">Kommissionen anger sådana skäl både i den motivering och i den konsekvensbedömning som åtföljer dess förslag. </w:t>
            </w:r>
          </w:p>
          <w:p>
            <w:pPr>
              <w:jc w:val="both"/>
              <w:rPr>
                <w:noProof/>
                <w:color w:val="4F81BD" w:themeColor="accent1"/>
              </w:rPr>
            </w:pPr>
          </w:p>
          <w:p>
            <w:pPr>
              <w:jc w:val="both"/>
              <w:rPr>
                <w:noProof/>
                <w:color w:val="4F81BD" w:themeColor="accent1"/>
              </w:rPr>
            </w:pPr>
            <w:r>
              <w:rPr>
                <w:noProof/>
                <w:color w:val="4F81BD" w:themeColor="accent1"/>
              </w:rPr>
              <w:t xml:space="preserve">Initiativet överensstämmer med proportionalitetsprincipen. Det ligger inom tillämpningsområdet för åtgärder för transeuropeiska energinät, enligt definitionen i artikel 170 i fördraget om Europeiska unionens funktionssätt. De politiska åtgärderna står i proportion till de fastställda problemens omfattning och art och till uppnåendet av de fastställda målen. </w:t>
            </w:r>
          </w:p>
          <w:p>
            <w:pPr>
              <w:jc w:val="both"/>
              <w:rPr>
                <w:noProof/>
                <w:color w:val="4F81BD" w:themeColor="accent1"/>
              </w:rPr>
            </w:pPr>
          </w:p>
          <w:p>
            <w:pPr>
              <w:jc w:val="both"/>
              <w:rPr>
                <w:noProof/>
                <w:color w:val="4F81BD" w:themeColor="accent1"/>
              </w:rPr>
            </w:pPr>
            <w:r>
              <w:rPr>
                <w:noProof/>
                <w:color w:val="4F81BD" w:themeColor="accent1"/>
              </w:rPr>
              <w:t xml:space="preserve">Förslaget går inte utöver vad som är nödvändigt för att uppnå det allmänna målet att underlätta en snabb utveckling av tillräcklig energiinfrastruktur i hela unionen och i dess grannskap och därmed göra det möjligt att uppnå unionens energi- och klimatmål i linje med den europeiska gröna given, särskilt målen för 2030 och 2050, inbegripet målet om klimatneutralitet, samt marknadsintegration, konkurrenskraft och försörjningstrygghet. </w:t>
            </w:r>
          </w:p>
          <w:p>
            <w:pPr>
              <w:jc w:val="both"/>
              <w:rPr>
                <w:noProof/>
                <w:color w:val="4F81BD" w:themeColor="accent1"/>
              </w:rPr>
            </w:pPr>
          </w:p>
          <w:p>
            <w:pPr>
              <w:jc w:val="both"/>
              <w:rPr>
                <w:noProof/>
                <w:color w:val="4F81BD" w:themeColor="accent1"/>
              </w:rPr>
            </w:pPr>
            <w:r>
              <w:rPr>
                <w:noProof/>
                <w:color w:val="4F81BD" w:themeColor="accent1"/>
              </w:rPr>
              <w:t xml:space="preserve">Mot bakgrund av utvärderingens resultat bedömde kommissionen flera alternativ inom fyra områden med följder inom den nuvarande ramen för transeuropeiska energinät, nämligen tillämpningsområde, styrning/infrastrukturplanering, tillståndsgivning och allmänhetens medverkan samt reglering. </w:t>
            </w:r>
          </w:p>
          <w:p>
            <w:pPr>
              <w:jc w:val="both"/>
              <w:rPr>
                <w:noProof/>
                <w:color w:val="4F81BD" w:themeColor="accent1"/>
              </w:rPr>
            </w:pPr>
          </w:p>
          <w:p>
            <w:pPr>
              <w:jc w:val="both"/>
              <w:rPr>
                <w:noProof/>
                <w:color w:val="4F81BD" w:themeColor="accent1"/>
              </w:rPr>
            </w:pPr>
            <w:r>
              <w:rPr>
                <w:noProof/>
                <w:color w:val="4F81BD" w:themeColor="accent1"/>
              </w:rPr>
              <w:t xml:space="preserve">Bedömningen och jämförelsen av alternativen (se särskilt avsnitten 7 och 8 i den åtföljande konsekvensbedömningen) visar att inget alternativ i sig är tillräckligt för att uppnå de fastställda målen. Fastställandet av de alternativ som är bäst lämpade för att uppnå de särskilda målen bygger på en bedömning som inbegriper proportionalitetsprincipen. </w:t>
            </w:r>
          </w:p>
        </w:tc>
      </w:tr>
      <w:tr>
        <w:tc>
          <w:tcPr>
            <w:tcW w:w="9288" w:type="dxa"/>
          </w:tcPr>
          <w:p>
            <w:pPr>
              <w:pStyle w:val="ListParagraph"/>
              <w:numPr>
                <w:ilvl w:val="1"/>
                <w:numId w:val="6"/>
              </w:numPr>
              <w:rPr>
                <w:b/>
                <w:noProof/>
              </w:rPr>
            </w:pPr>
            <w:r>
              <w:rPr>
                <w:b/>
                <w:noProof/>
              </w:rPr>
              <w:t>Är den föreslagna åtgärden, baserat på svaren på nedanstående frågor, resultatet av eventuella konsekvensbedömningar eller uppgifter i motiveringen eller andra källor, ett lämpligt sätt att uppnå de avsedda målen?</w:t>
            </w:r>
          </w:p>
        </w:tc>
      </w:tr>
      <w:tr>
        <w:tc>
          <w:tcPr>
            <w:tcW w:w="9288" w:type="dxa"/>
          </w:tcPr>
          <w:p>
            <w:pPr>
              <w:jc w:val="both"/>
              <w:rPr>
                <w:noProof/>
              </w:rPr>
            </w:pPr>
            <w:r>
              <w:rPr>
                <w:noProof/>
                <w:color w:val="4F81BD" w:themeColor="accent1"/>
              </w:rPr>
              <w:t>Den föreslagna åtgärden omfattar åtgärder som är lämpliga för att uppnå initiativets avsedda mål. Åtgärderna är proportionella och går inte utöver vad som är nödvändigt. Utan EU-åtgärder skulle medlemsstaterna inte kunna uppnå målen på ett tillfredsställande sätt. Merkostnaderna är mycket begränsade och den föreslagna åtgärden omfattar åtgärder för att minska direkta kostnader.</w:t>
            </w:r>
          </w:p>
        </w:tc>
      </w:tr>
      <w:tr>
        <w:tc>
          <w:tcPr>
            <w:tcW w:w="9288" w:type="dxa"/>
          </w:tcPr>
          <w:p>
            <w:pPr>
              <w:pStyle w:val="ListParagraph"/>
              <w:numPr>
                <w:ilvl w:val="0"/>
                <w:numId w:val="7"/>
              </w:numPr>
              <w:rPr>
                <w:noProof/>
              </w:rPr>
            </w:pPr>
            <w:r>
              <w:rPr>
                <w:noProof/>
              </w:rPr>
              <w:t>Är initiativet begränsat till de aspekter som medlemsstaterna inte kan uppnå på ett tillfredsställande sätt på egen hand utan som bättre kan uppnås på EU-nivå?</w:t>
            </w:r>
          </w:p>
        </w:tc>
      </w:tr>
      <w:tr>
        <w:tc>
          <w:tcPr>
            <w:tcW w:w="9288" w:type="dxa"/>
          </w:tcPr>
          <w:p>
            <w:pPr>
              <w:jc w:val="both"/>
              <w:rPr>
                <w:noProof/>
              </w:rPr>
            </w:pPr>
            <w:r>
              <w:rPr>
                <w:noProof/>
                <w:color w:val="4F81BD" w:themeColor="accent1"/>
              </w:rPr>
              <w:t>I avsaknad av EU-åtgärder kan medlemsstaterna inte identifiera lämpliga gränsöverskridande infrastrukturprojekt som krävs för att uppnå de klimat- och energipolitiska målen på grundval av integrerad gränsöverskridande infrastrukturplanering. De föreslagna åtgärderna är begränsade till de aspekter som medlemsstaterna inte kan uppnå på ett tillfredsställande sätt på egen hand.</w:t>
            </w:r>
          </w:p>
        </w:tc>
      </w:tr>
      <w:tr>
        <w:tc>
          <w:tcPr>
            <w:tcW w:w="9288" w:type="dxa"/>
          </w:tcPr>
          <w:p>
            <w:pPr>
              <w:pStyle w:val="ListParagraph"/>
              <w:numPr>
                <w:ilvl w:val="0"/>
                <w:numId w:val="7"/>
              </w:numPr>
              <w:rPr>
                <w:noProof/>
              </w:rPr>
            </w:pPr>
            <w:r>
              <w:rPr>
                <w:noProof/>
              </w:rPr>
              <w:t>Är formen av EU-åtgärd (valet av regleringsform) motiverad, så enkel som möjligt och lämplig för att på ett tillfredsställande sätt kunna uppnå och säkerställa efterlevnaden av de avsedda målen (t.ex. valet mellan förordning, direktiv, ramdirektiv, rekommendation och andra regleringsformer såsom gemensam lagstiftning)?</w:t>
            </w:r>
          </w:p>
        </w:tc>
      </w:tr>
      <w:tr>
        <w:tc>
          <w:tcPr>
            <w:tcW w:w="9288" w:type="dxa"/>
          </w:tcPr>
          <w:p>
            <w:pPr>
              <w:jc w:val="both"/>
              <w:rPr>
                <w:noProof/>
                <w:color w:val="4F81BD" w:themeColor="accent1"/>
              </w:rPr>
            </w:pPr>
            <w:r>
              <w:rPr>
                <w:noProof/>
                <w:color w:val="4F81BD" w:themeColor="accent1"/>
              </w:rPr>
              <w:t>I initiativet föreslås en översyn av den befintliga TEN-E-förordningen för att behålla valet av regleringsform, som har visat sig fungera väl för att uppnå de avsedda målen i enlighet med den lagstiftningsmetod (gemensam lagstiftning) som föreskrivs i artikel 172 i EUF-fördraget.</w:t>
            </w:r>
          </w:p>
        </w:tc>
      </w:tr>
      <w:tr>
        <w:tc>
          <w:tcPr>
            <w:tcW w:w="9288" w:type="dxa"/>
          </w:tcPr>
          <w:p>
            <w:pPr>
              <w:pStyle w:val="ListParagraph"/>
              <w:numPr>
                <w:ilvl w:val="0"/>
                <w:numId w:val="7"/>
              </w:numPr>
              <w:rPr>
                <w:noProof/>
              </w:rPr>
            </w:pPr>
            <w:r>
              <w:rPr>
                <w:noProof/>
              </w:rPr>
              <w:t>Ger EU-åtgärden så mycket utrymme som möjligt för det nationella beslutsfattandet samtidigt som de fastställda målen uppnås på ett tillfredsställande sätt (går det t.ex. att begränsa EU:s åtgärder till miniminormer eller att använda ett mindre strängt politiskt instrument eller tillvägagångssätt)?</w:t>
            </w:r>
          </w:p>
        </w:tc>
      </w:tr>
      <w:tr>
        <w:tc>
          <w:tcPr>
            <w:tcW w:w="9288" w:type="dxa"/>
          </w:tcPr>
          <w:p>
            <w:pPr>
              <w:jc w:val="both"/>
              <w:rPr>
                <w:noProof/>
              </w:rPr>
            </w:pPr>
            <w:r>
              <w:rPr>
                <w:noProof/>
                <w:color w:val="4F81BD" w:themeColor="accent1"/>
              </w:rPr>
              <w:t>I artikel 171 i EUF-fördraget föreskrivs att unionen ska ställa upp riktlinjer som omfattar mål, prioriteringar och huvudlinjer för de åtgärder som förutses när det gäller de transeuropeiska näten och att projekt av gemensamt intresse ska preciseras i dessa riktlinjer. De föreslagna åtgärderna bygger på dessa bestämmelser för att fastställa den EU-ram som krävs för att uppnå målen i EUF-fördraget.</w:t>
            </w:r>
          </w:p>
        </w:tc>
      </w:tr>
      <w:tr>
        <w:tc>
          <w:tcPr>
            <w:tcW w:w="9288" w:type="dxa"/>
          </w:tcPr>
          <w:p>
            <w:pPr>
              <w:pStyle w:val="ListParagraph"/>
              <w:numPr>
                <w:ilvl w:val="0"/>
                <w:numId w:val="7"/>
              </w:numPr>
              <w:rPr>
                <w:noProof/>
              </w:rPr>
            </w:pPr>
            <w:r>
              <w:rPr>
                <w:noProof/>
              </w:rPr>
              <w:t>Medför initiativet kostnader eller administrativa bördor för EU, nationella myndigheter, regionala eller lokala myndigheter, ekonomiska aktörer eller enskilda individer? Står dessa kostnader eller bördor i proportion till de mål som ska uppnås?</w:t>
            </w:r>
          </w:p>
        </w:tc>
      </w:tr>
      <w:tr>
        <w:tc>
          <w:tcPr>
            <w:tcW w:w="9288" w:type="dxa"/>
          </w:tcPr>
          <w:p>
            <w:pPr>
              <w:jc w:val="both"/>
              <w:rPr>
                <w:noProof/>
              </w:rPr>
            </w:pPr>
            <w:r>
              <w:rPr>
                <w:noProof/>
                <w:color w:val="4F81BD" w:themeColor="accent1"/>
              </w:rPr>
              <w:t>De föreslagna åtgärderna är främst förbättringar av den nuvarande ramen för transeuropeiska energinät. Utvärderingen har visat att den nuvarande förordningen har fungerat väl. Under samrådet med berörda intressenter var de flesta intressenter överens om att förordningen är kostnadseffektiv och ger större fördelar än kostnader. Initiativet skapar begränsade merkostnader och administrativa bördor för projektansvariga, kommissionen och Byrån för samarbete mellan energitillsynsmyndigheter (Acer). De föreslagna förenklingsåtgärderna kommer att ge direkta fördelar genom minskade befintliga återkommande direkta kostnader förknippade med de administrativa bördorna till följd av minskade övervaknings- och rapporteringskrav.</w:t>
            </w:r>
          </w:p>
        </w:tc>
      </w:tr>
      <w:tr>
        <w:tc>
          <w:tcPr>
            <w:tcW w:w="9288" w:type="dxa"/>
          </w:tcPr>
          <w:p>
            <w:pPr>
              <w:pStyle w:val="ListParagraph"/>
              <w:numPr>
                <w:ilvl w:val="0"/>
                <w:numId w:val="7"/>
              </w:numPr>
              <w:rPr>
                <w:noProof/>
              </w:rPr>
            </w:pPr>
            <w:r>
              <w:rPr>
                <w:noProof/>
              </w:rPr>
              <w:t>Har hänsyn tagits till särskilda omständigheter i enskilda medlemsstater, samtidigt som unionslagstiftningen respekteras?</w:t>
            </w:r>
          </w:p>
        </w:tc>
      </w:tr>
      <w:tr>
        <w:tc>
          <w:tcPr>
            <w:tcW w:w="9288" w:type="dxa"/>
          </w:tcPr>
          <w:p>
            <w:pPr>
              <w:rPr>
                <w:noProof/>
              </w:rPr>
            </w:pPr>
            <w:r>
              <w:rPr>
                <w:noProof/>
                <w:color w:val="4F81BD" w:themeColor="accent1"/>
              </w:rPr>
              <w:t>Inga särskilda omständigheter i enskilda medlemsstater har identifierats.</w:t>
            </w: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3442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hyperlink r:id="rId1" w:history="1">
        <w:r>
          <w:rPr>
            <w:rStyle w:val="Hyperlink"/>
          </w:rPr>
          <w:t>https://eur-lex.europa.eu/legal-content/SV/TXT/HTML/?uri=CELEX:12008E003&amp;from=EN</w:t>
        </w:r>
      </w:hyperlink>
      <w:r>
        <w:t xml:space="preserve"> </w:t>
      </w:r>
    </w:p>
  </w:footnote>
  <w:footnote w:id="2">
    <w:p>
      <w:pPr>
        <w:pStyle w:val="FootnoteText"/>
      </w:pPr>
      <w:r>
        <w:rPr>
          <w:rStyle w:val="FootnoteReference"/>
        </w:rPr>
        <w:footnoteRef/>
      </w:r>
      <w:r>
        <w:t xml:space="preserve"> </w:t>
      </w:r>
      <w:hyperlink r:id="rId2" w:history="1">
        <w:r>
          <w:rPr>
            <w:rStyle w:val="Hyperlink"/>
          </w:rPr>
          <w:t>https://eur-lex.europa.eu/legal-content/SV/TXT/HTML/?uri=CELEX:12008E004&amp;from=EN</w:t>
        </w:r>
      </w:hyperlink>
      <w:r>
        <w:t xml:space="preserve"> </w:t>
      </w:r>
    </w:p>
  </w:footnote>
  <w:footnote w:id="3">
    <w:p>
      <w:pPr>
        <w:pStyle w:val="FootnoteText"/>
      </w:pPr>
      <w:r>
        <w:rPr>
          <w:rStyle w:val="FootnoteReference"/>
        </w:rPr>
        <w:footnoteRef/>
      </w:r>
      <w:r>
        <w:t xml:space="preserve"> </w:t>
      </w:r>
      <w:hyperlink r:id="rId3" w:history="1">
        <w:r>
          <w:rPr>
            <w:rStyle w:val="Hyperlink"/>
          </w:rPr>
          <w:t>https://eur-lex.europa.eu/LexUriServ/LexUriServ.do?uri=CELEX:12008E006:SV:HTML</w:t>
        </w:r>
      </w:hyperlink>
      <w:r>
        <w:t xml:space="preserve"> </w:t>
      </w:r>
    </w:p>
  </w:footnote>
  <w:footnote w:id="4">
    <w:p>
      <w:pPr>
        <w:pStyle w:val="FootnoteText"/>
      </w:pPr>
      <w:r>
        <w:rPr>
          <w:rStyle w:val="FootnoteReference"/>
        </w:rPr>
        <w:footnoteRef/>
      </w:r>
      <w:r>
        <w:t xml:space="preserve"> </w:t>
      </w:r>
      <w:hyperlink r:id="rId4" w:history="1">
        <w:r>
          <w:rPr>
            <w:rStyle w:val="Hyperlink"/>
          </w:rPr>
          <w:t>https://eur-lex.europa.eu/legal-content/SV/TXT/HTML/?uri=CELEX:12016E/PRO/02&amp;from=EN</w:t>
        </w:r>
      </w:hyperlink>
      <w:r>
        <w:t xml:space="preserve"> </w:t>
      </w:r>
    </w:p>
  </w:footnote>
  <w:footnote w:id="5">
    <w:p>
      <w:pPr>
        <w:pStyle w:val="FootnoteText"/>
      </w:pPr>
      <w:r>
        <w:rPr>
          <w:rStyle w:val="FootnoteReference"/>
        </w:rPr>
        <w:footnoteRef/>
      </w:r>
      <w:r>
        <w:t xml:space="preserve"> </w:t>
      </w:r>
      <w:hyperlink r:id="rId5" w:history="1">
        <w:r>
          <w:rPr>
            <w:rStyle w:val="Hyperlink"/>
          </w:rPr>
          <w:t>https://europa.eu/european-union/about-eu/eu-in-brief_sv</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CB6"/>
    <w:multiLevelType w:val="hybridMultilevel"/>
    <w:tmpl w:val="68224F72"/>
    <w:lvl w:ilvl="0" w:tplc="479C9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4E5021"/>
    <w:multiLevelType w:val="multilevel"/>
    <w:tmpl w:val="95882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7256C0"/>
    <w:multiLevelType w:val="hybridMultilevel"/>
    <w:tmpl w:val="526C7502"/>
    <w:lvl w:ilvl="0" w:tplc="EA8CAF2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1165BC"/>
    <w:multiLevelType w:val="hybridMultilevel"/>
    <w:tmpl w:val="76D44204"/>
    <w:lvl w:ilvl="0" w:tplc="EA8CAF2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D15CB"/>
    <w:multiLevelType w:val="multilevel"/>
    <w:tmpl w:val="6F58FE10"/>
    <w:lvl w:ilvl="0">
      <w:start w:val="1"/>
      <w:numFmt w:val="decimal"/>
      <w:lvlText w:val="%1."/>
      <w:lvlJc w:val="left"/>
      <w:pPr>
        <w:ind w:left="360" w:hanging="360"/>
      </w:pPr>
      <w:rPr>
        <w:rFonts w:hint="default"/>
        <w:color w:val="FFFFFF" w:themeColor="background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2DA3FEE"/>
    <w:multiLevelType w:val="hybridMultilevel"/>
    <w:tmpl w:val="810C10B2"/>
    <w:lvl w:ilvl="0" w:tplc="2E420C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080CDE"/>
    <w:multiLevelType w:val="hybridMultilevel"/>
    <w:tmpl w:val="8F6EE310"/>
    <w:lvl w:ilvl="0" w:tplc="69FAF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hideGrammaticalErrors/>
  <w:activeWritingStyle w:appName="MSWord" w:lang="en-GB"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ocStatus" w:val="Green"/>
    <w:docVar w:name="LW_ACCOMPAGNANT.CP" w:val="till"/>
    <w:docVar w:name="LW_ANNEX_NBR_FIRST" w:val="7"/>
    <w:docVar w:name="LW_ANNEX_NBR_LAST" w:val="7"/>
    <w:docVar w:name="LW_ANNEX_UNIQUE" w:val="0"/>
    <w:docVar w:name="LW_CORRIGENDUM" w:val="&lt;UNUSED&gt;"/>
    <w:docVar w:name="LW_COVERPAGE_EXISTS" w:val="True"/>
    <w:docVar w:name="LW_COVERPAGE_GUID" w:val="0776D9CE-05CD-487A-BBE1-E169F5CBDC2C"/>
    <w:docVar w:name="LW_COVERPAGE_TYPE" w:val="1"/>
    <w:docVar w:name="LW_CROSSREFERENCE" w:val="{SEC(2020) 431 final} - {SWD(2020) 346 final} - {SWD(2020) 347 final}"/>
    <w:docVar w:name="LW_DocType" w:val="NORMAL"/>
    <w:docVar w:name="LW_EMISSION" w:val="15.12.2020"/>
    <w:docVar w:name="LW_EMISSION_ISODATE" w:val="2020-12-15"/>
    <w:docVar w:name="LW_EMISSION_LOCATION" w:val="BRX"/>
    <w:docVar w:name="LW_EMISSION_PREFIX" w:val="Bryssel den "/>
    <w:docVar w:name="LW_EMISSION_SUFFIX" w:val=" "/>
    <w:docVar w:name="LW_ID_DOCTYPE_NONLW" w:val="CP-036"/>
    <w:docVar w:name="LW_LANGUE" w:val="SV"/>
    <w:docVar w:name="LW_LEVEL_OF_SENSITIVITY" w:val="Standard treatment"/>
    <w:docVar w:name="LW_NOM.INST" w:val="EUROPEISKA KOMMISSIONEN"/>
    <w:docVar w:name="LW_NOM.INST_JOINTDOC" w:val="&lt;EMPTY&gt;"/>
    <w:docVar w:name="LW_OBJETACTEPRINCIPAL.CP" w:val="om riktlinjer för transeuropeisk energiinfrastruktur och om upphävande av förordning (EU) nr 347/2013"/>
    <w:docVar w:name="LW_PART_NBR" w:val="1"/>
    <w:docVar w:name="LW_PART_NBR_TOTAL" w:val="1"/>
    <w:docVar w:name="LW_REF.INST.NEW" w:val="COM"/>
    <w:docVar w:name="LW_REF.INST.NEW_ADOPTED" w:val="final"/>
    <w:docVar w:name="LW_REF.INST.NEW_TEXT" w:val="(2020)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A_x000b_"/>
    <w:docVar w:name="LW_TYPEACTEPRINCIPAL.CP" w:val="Förslag till_x000b_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pPr>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pPr>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739">
      <w:bodyDiv w:val="1"/>
      <w:marLeft w:val="0"/>
      <w:marRight w:val="0"/>
      <w:marTop w:val="0"/>
      <w:marBottom w:val="0"/>
      <w:divBdr>
        <w:top w:val="none" w:sz="0" w:space="0" w:color="auto"/>
        <w:left w:val="none" w:sz="0" w:space="0" w:color="auto"/>
        <w:bottom w:val="none" w:sz="0" w:space="0" w:color="auto"/>
        <w:right w:val="none" w:sz="0" w:space="0" w:color="auto"/>
      </w:divBdr>
    </w:div>
    <w:div w:id="13578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CELEX:12008E006:SV:HTML" TargetMode="External"/><Relationship Id="rId2" Type="http://schemas.openxmlformats.org/officeDocument/2006/relationships/hyperlink" Target="https://eur-lex.europa.eu/legal-content/SV/TXT/HTML/?uri=CELEX:12008E004&amp;from=EN" TargetMode="External"/><Relationship Id="rId1" Type="http://schemas.openxmlformats.org/officeDocument/2006/relationships/hyperlink" Target="https://eur-lex.europa.eu/legal-content/SV/TXT/HTML/?uri=CELEX:12008E003&amp;from=EN" TargetMode="External"/><Relationship Id="rId5" Type="http://schemas.openxmlformats.org/officeDocument/2006/relationships/hyperlink" Target="https://europa.eu/european-union/about-eu/eu-in-brief_sv" TargetMode="External"/><Relationship Id="rId4" Type="http://schemas.openxmlformats.org/officeDocument/2006/relationships/hyperlink" Target="https://eur-lex.europa.eu/legal-content/SV/TXT/HTML/?uri=CELEX:12016E/PRO/0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9DA2-4207-47EE-91A7-A2382904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2918</Words>
  <Characters>19232</Characters>
  <Application>Microsoft Office Word</Application>
  <DocSecurity>0</DocSecurity>
  <Lines>282</Lines>
  <Paragraphs>82</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DIGIT/C6</cp:lastModifiedBy>
  <cp:revision>20</cp:revision>
  <dcterms:created xsi:type="dcterms:W3CDTF">2020-12-07T19:13:00Z</dcterms:created>
  <dcterms:modified xsi:type="dcterms:W3CDTF">2021-01-08T09:54:00Z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7</vt:lpwstr>
  </property>
  <property fmtid="{D5CDD505-2E9C-101B-9397-08002B2CF9AE}" pid="4" name="Last annex">
    <vt:lpwstr>7</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ies>
</file>