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05C4F41-5C87-46A9-8FAC-451E2BAC131C" style="width:450.7pt;height:334.75pt">
            <v:imagedata r:id="rId9" o:title=""/>
          </v:shape>
        </w:pict>
      </w:r>
    </w:p>
    <w:bookmarkEnd w:id="0"/>
    <w:p>
      <w:pPr>
        <w:rPr>
          <w:rFonts w:eastAsiaTheme="minorHAnsi"/>
          <w:noProof/>
          <w:lang w:eastAsia="en-US"/>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spacing w:after="0"/>
        <w:jc w:val="both"/>
        <w:rPr>
          <w:rFonts w:ascii="Times New Roman" w:hAnsi="Times New Roman" w:cs="Times New Roman"/>
          <w:b/>
          <w:noProof/>
          <w:sz w:val="24"/>
          <w:szCs w:val="24"/>
        </w:rPr>
      </w:pPr>
      <w:bookmarkStart w:id="1" w:name="_GoBack"/>
      <w:bookmarkEnd w:id="1"/>
      <w:r>
        <w:rPr>
          <w:rFonts w:ascii="Times New Roman" w:hAnsi="Times New Roman"/>
          <w:b/>
          <w:noProof/>
          <w:sz w:val="24"/>
          <w:szCs w:val="24"/>
        </w:rPr>
        <w:lastRenderedPageBreak/>
        <w:t>1. Inledning</w:t>
      </w:r>
    </w:p>
    <w:p>
      <w:pPr>
        <w:spacing w:after="0"/>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Syftet med det europeiska informationssystemet för utbyte av uppgifter ur kriminalregister (Ecris) är att förbättra medborgarnas säkerhet inom det europeiska området med frihet, säkerhet och rättvisa genom att möjliggöra ett effektivt utbyte av uppgifter om domar som utdömts av brottmålsdomstolar i EU. Ecris togs i drift i april 2012. Systemet regleras genom rådets rambeslut 2009/315/RIF av den 26 februari 2009 om organisationen av medlems</w:t>
      </w:r>
      <w:r>
        <w:rPr>
          <w:rFonts w:ascii="Times New Roman" w:hAnsi="Times New Roman"/>
          <w:noProof/>
          <w:sz w:val="24"/>
          <w:szCs w:val="24"/>
        </w:rPr>
        <w:softHyphen/>
        <w:t>staternas utbyte av uppgifter ur kriminalregistret och uppgifternas innehåll</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samt genom rådets beslut 2009/316/RIF av den 6 april 2009 om inrättande av det europeiska informations</w:t>
      </w:r>
      <w:r>
        <w:rPr>
          <w:rFonts w:ascii="Times New Roman" w:hAnsi="Times New Roman"/>
          <w:noProof/>
          <w:sz w:val="24"/>
          <w:szCs w:val="24"/>
        </w:rPr>
        <w:softHyphen/>
        <w:t>systemet för utbyte av uppgifter ur kriminalregister</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Den 29 juni 2017 antog kommissionen sin första statistiska rapport i enlighet med artikel 7 i rådets beslut 2009/316/RIF, vilken omfattade perioden från </w:t>
      </w:r>
      <w:r>
        <w:rPr>
          <w:rFonts w:ascii="Times New Roman" w:hAnsi="Times New Roman"/>
          <w:noProof/>
          <w:sz w:val="24"/>
        </w:rPr>
        <w:t>april 2012 till den 31 december 2016</w:t>
      </w:r>
      <w:r>
        <w:rPr>
          <w:rFonts w:ascii="Times New Roman" w:hAnsi="Times New Roman"/>
          <w:noProof/>
          <w:sz w:val="24"/>
          <w:szCs w:val="24"/>
        </w:rPr>
        <w:t>.</w:t>
      </w:r>
      <w:r>
        <w:rPr>
          <w:rFonts w:ascii="Times New Roman" w:hAnsi="Times New Roman"/>
          <w:noProof/>
          <w:sz w:val="24"/>
          <w:szCs w:val="24"/>
          <w:vertAlign w:val="superscript"/>
        </w:rPr>
        <w:t xml:space="preserve"> </w:t>
      </w:r>
      <w:r>
        <w:rPr>
          <w:rFonts w:ascii="Times New Roman" w:hAnsi="Times New Roman" w:cs="Times New Roman"/>
          <w:noProof/>
          <w:sz w:val="24"/>
          <w:szCs w:val="24"/>
          <w:vertAlign w:val="superscript"/>
        </w:rPr>
        <w:footnoteReference w:id="4"/>
      </w:r>
      <w:r>
        <w:rPr>
          <w:rFonts w:ascii="Times New Roman" w:hAnsi="Times New Roman"/>
          <w:noProof/>
          <w:sz w:val="24"/>
          <w:szCs w:val="24"/>
        </w:rPr>
        <w:t xml:space="preserve"> </w:t>
      </w:r>
    </w:p>
    <w:p>
      <w:pPr>
        <w:jc w:val="both"/>
        <w:rPr>
          <w:rFonts w:ascii="Times New Roman" w:hAnsi="Times New Roman"/>
          <w:noProof/>
          <w:sz w:val="24"/>
        </w:rPr>
      </w:pPr>
      <w:r>
        <w:rPr>
          <w:rFonts w:ascii="Times New Roman" w:hAnsi="Times New Roman"/>
          <w:noProof/>
          <w:sz w:val="24"/>
          <w:szCs w:val="24"/>
        </w:rPr>
        <w:t xml:space="preserve">Detta dokument är kommissionens andra statistiska rapport om medlemsstaternas utbyte av uppgifter ur kriminalregister via Ecris. </w:t>
      </w:r>
      <w:r>
        <w:rPr>
          <w:rFonts w:ascii="Times New Roman" w:hAnsi="Times New Roman"/>
          <w:noProof/>
          <w:sz w:val="24"/>
        </w:rPr>
        <w:t>Syftet är att redogöra för hur medlemsstaterna efterlever Ecris rättsliga ram när de utbyter uppgifter, identifiera eventuella problem med systemets effektivitet och i förekommande fall rätta till dessa. Kommissionen förbehåller sig rätten att vidta alla lämpliga åtgärder för att säkerställa att medlemsstaterna uppfyller dessa rättsliga förpliktelser i enlighet med rådets rambeslut 2009/315/RIF.</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bookmarkStart w:id="2" w:name="_Toc479267018"/>
      <w:r>
        <w:rPr>
          <w:rFonts w:ascii="Times New Roman" w:hAnsi="Times New Roman"/>
          <w:b/>
          <w:noProof/>
          <w:sz w:val="24"/>
          <w:szCs w:val="24"/>
        </w:rPr>
        <w:t>1.1 Statistik från Ecris</w:t>
      </w:r>
      <w:bookmarkEnd w:id="2"/>
      <w:r>
        <w:rPr>
          <w:rFonts w:ascii="Times New Roman" w:hAnsi="Times New Roman"/>
          <w:b/>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rPr>
        <w:t xml:space="preserve">Denna rapport innehåller en översikt över användningen av Ecris från </w:t>
      </w:r>
      <w:r>
        <w:rPr>
          <w:rFonts w:ascii="Times New Roman" w:hAnsi="Times New Roman"/>
          <w:b/>
          <w:noProof/>
          <w:sz w:val="24"/>
        </w:rPr>
        <w:t xml:space="preserve">den 1 januari 2017 till den 31 december 2019, med tyngdpunkt på </w:t>
      </w:r>
      <w:r>
        <w:rPr>
          <w:rFonts w:ascii="Times New Roman" w:hAnsi="Times New Roman"/>
          <w:b/>
          <w:noProof/>
          <w:sz w:val="24"/>
          <w:szCs w:val="24"/>
        </w:rPr>
        <w:t>2019</w:t>
      </w:r>
      <w:r>
        <w:rPr>
          <w:rFonts w:ascii="Times New Roman" w:hAnsi="Times New Roman"/>
          <w:noProof/>
          <w:sz w:val="24"/>
          <w:szCs w:val="24"/>
        </w:rPr>
        <w:t xml:space="preserve">. Den åtföljs av ett arbetsdokument från kommissionens avdelningar, SWD/2020/378 (nedan kallat </w:t>
      </w:r>
      <w:r>
        <w:rPr>
          <w:rFonts w:ascii="Times New Roman" w:hAnsi="Times New Roman"/>
          <w:i/>
          <w:noProof/>
          <w:sz w:val="24"/>
          <w:szCs w:val="24"/>
        </w:rPr>
        <w:t>arbetsdokumentet</w:t>
      </w:r>
      <w:r>
        <w:rPr>
          <w:rFonts w:ascii="Times New Roman" w:hAnsi="Times New Roman"/>
          <w:noProof/>
          <w:sz w:val="24"/>
          <w:szCs w:val="24"/>
        </w:rPr>
        <w:t xml:space="preserve">). </w:t>
      </w:r>
      <w:r>
        <w:rPr>
          <w:rFonts w:ascii="Times New Roman" w:hAnsi="Times New Roman"/>
          <w:iCs/>
          <w:noProof/>
          <w:sz w:val="24"/>
          <w:szCs w:val="24"/>
        </w:rPr>
        <w:t xml:space="preserve"> De flesta tabellerna och diagrammen i rapporten avser 2019, men tabellerna och diagrammen för 2017 och 2018 återfinns i det åtföljande arbetsdokumentet.</w:t>
      </w:r>
      <w:r>
        <w:rPr>
          <w:rFonts w:ascii="Calibri" w:hAnsi="Calibri"/>
          <w:i/>
          <w:iCs/>
          <w:noProof/>
          <w:sz w:val="22"/>
          <w:szCs w:val="22"/>
        </w:rPr>
        <w:t xml:space="preserve"> </w:t>
      </w:r>
      <w:r>
        <w:rPr>
          <w:rFonts w:ascii="Times New Roman" w:hAnsi="Times New Roman"/>
          <w:noProof/>
          <w:sz w:val="24"/>
          <w:szCs w:val="24"/>
        </w:rPr>
        <w:t>Vissa delar av statistiken i denna rapport ger en allmän översikt över de åtta år som har gått sedan Ecris började användas i april 2012.  De jämförbara statistiska uppgifterna om alla medlemsstater och de enskilda medlemsstaternas statistiska tabeller (avsnitt 3 i arbetsdokumentet) omfattar emellertid endast Ecris-utbyten under 2017–2019. I relevanta fall har statistiken för 2016 använts som referens</w:t>
      </w:r>
      <w:r>
        <w:rPr>
          <w:rFonts w:ascii="Times New Roman" w:hAnsi="Times New Roman"/>
          <w:noProof/>
          <w:sz w:val="24"/>
          <w:szCs w:val="24"/>
        </w:rPr>
        <w:softHyphen/>
        <w:t>punkt.</w:t>
      </w:r>
      <w:r>
        <w:rPr>
          <w:rFonts w:ascii="Times New Roman" w:hAnsi="Times New Roman"/>
          <w:noProof/>
          <w:sz w:val="24"/>
        </w:rPr>
        <w:t xml:space="preserve"> Rapporten innehåller även uppgifter om Förenade kungariket, som medlem i EU, fram till 2019.  </w:t>
      </w:r>
    </w:p>
    <w:p>
      <w:pPr>
        <w:jc w:val="both"/>
        <w:rPr>
          <w:rFonts w:ascii="Times New Roman" w:hAnsi="Times New Roman" w:cs="Times New Roman"/>
          <w:noProof/>
          <w:sz w:val="24"/>
          <w:szCs w:val="24"/>
        </w:rPr>
      </w:pPr>
      <w:r>
        <w:rPr>
          <w:rFonts w:ascii="Times New Roman" w:hAnsi="Times New Roman"/>
          <w:noProof/>
          <w:sz w:val="24"/>
          <w:szCs w:val="24"/>
        </w:rPr>
        <w:t>Rapporten bygger på statistik som skapas automatiskt av systemet och skickas av medlemsstaterna till kommissionen. Av de 233 statistiska indikatorer som fastställts för Ecris valde kommissionen att endast offentliggöra de mest relevanta och meningsfulla uppgifterna. Medlemsstaterna uppmanades dessutom att lämna statistik om antalet fällande domar mot medborgare från andra EU-medlemsstater som utdömts på deras territorier, för att göra det möjligt att skapa en översikt över hur förfarandet för ansökningar genomförs. Rapporten innehåller uppgifter om fällande domar från 23 medlemsstater</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w:t>
      </w:r>
    </w:p>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lastRenderedPageBreak/>
        <w:t>1.2 Allmänna principer för Ecris-systemet</w:t>
      </w:r>
    </w:p>
    <w:p>
      <w:pPr>
        <w:jc w:val="both"/>
        <w:rPr>
          <w:rFonts w:ascii="Times New Roman" w:hAnsi="Times New Roman" w:cs="Times New Roman"/>
          <w:noProof/>
          <w:sz w:val="24"/>
          <w:szCs w:val="24"/>
        </w:rPr>
      </w:pPr>
      <w:r>
        <w:rPr>
          <w:rFonts w:ascii="Times New Roman" w:hAnsi="Times New Roman"/>
          <w:noProof/>
          <w:sz w:val="24"/>
          <w:szCs w:val="24"/>
        </w:rPr>
        <w:t>Ecris-systemet bygger på en decentraliserad struktur där uppgifter ur kriminalregister uteslutande utbyts elektroniskt mellan medlemsstaternas centralmyndigheter.</w:t>
      </w:r>
    </w:p>
    <w:p>
      <w:pPr>
        <w:jc w:val="both"/>
        <w:rPr>
          <w:rFonts w:ascii="Times New Roman" w:hAnsi="Times New Roman" w:cs="Times New Roman"/>
          <w:b/>
          <w:noProof/>
          <w:sz w:val="24"/>
          <w:szCs w:val="24"/>
        </w:rPr>
      </w:pPr>
      <w:r>
        <w:rPr>
          <w:rFonts w:ascii="Times New Roman" w:hAnsi="Times New Roman"/>
          <w:noProof/>
          <w:sz w:val="24"/>
          <w:szCs w:val="24"/>
        </w:rPr>
        <w:t>Varje medlemsstat som har dömt en medborgare från en annan medlemsstat är skyldig att snarast via Ecris underrätta medlemsstaten i fråga om domen (</w:t>
      </w:r>
      <w:r>
        <w:rPr>
          <w:rFonts w:ascii="Times New Roman" w:hAnsi="Times New Roman"/>
          <w:b/>
          <w:noProof/>
          <w:sz w:val="24"/>
          <w:szCs w:val="24"/>
        </w:rPr>
        <w:t>underrättelser om nya fällande domar</w:t>
      </w:r>
      <w:r>
        <w:rPr>
          <w:rFonts w:ascii="Times New Roman" w:hAnsi="Times New Roman"/>
          <w:noProof/>
          <w:sz w:val="24"/>
          <w:szCs w:val="24"/>
        </w:rPr>
        <w:t>) och påföljande uppdateringar (</w:t>
      </w:r>
      <w:r>
        <w:rPr>
          <w:rFonts w:ascii="Times New Roman" w:hAnsi="Times New Roman"/>
          <w:b/>
          <w:noProof/>
          <w:sz w:val="24"/>
          <w:szCs w:val="24"/>
        </w:rPr>
        <w:t>underrättelser om uppdateringar</w:t>
      </w:r>
      <w:r>
        <w:rPr>
          <w:rFonts w:ascii="Times New Roman" w:hAnsi="Times New Roman"/>
          <w:noProof/>
          <w:sz w:val="24"/>
          <w:szCs w:val="24"/>
        </w:rPr>
        <w:t>).</w:t>
      </w:r>
    </w:p>
    <w:p>
      <w:pPr>
        <w:jc w:val="both"/>
        <w:rPr>
          <w:rFonts w:ascii="Times New Roman" w:hAnsi="Times New Roman" w:cs="Times New Roman"/>
          <w:noProof/>
          <w:sz w:val="24"/>
          <w:szCs w:val="24"/>
        </w:rPr>
      </w:pPr>
      <w:r>
        <w:rPr>
          <w:rFonts w:ascii="Times New Roman" w:hAnsi="Times New Roman"/>
          <w:noProof/>
          <w:sz w:val="24"/>
          <w:szCs w:val="24"/>
        </w:rPr>
        <w:t>Den medlemsstat där den berörda personen är medborgare för på så sätt ett centralt register över alla fällande domar som meddelats mot dess medborgare av brottmålsdomstolar i de övriga medlemsstaterna, utöver eventuella fällande domar som har meddelats i den egna medlemsstaten. Den medlemsstat där personen i fråga är medborgare är sedan skyldig att lagra och uppdatera alla uppgifter som mottagits via Ecris och tillhandahålla fullständiga uppgifter från kriminalregister (</w:t>
      </w:r>
      <w:r>
        <w:rPr>
          <w:rFonts w:ascii="Times New Roman" w:hAnsi="Times New Roman"/>
          <w:b/>
          <w:bCs/>
          <w:noProof/>
          <w:sz w:val="24"/>
          <w:szCs w:val="24"/>
        </w:rPr>
        <w:t>svar på en ansökan</w:t>
      </w:r>
      <w:r>
        <w:rPr>
          <w:rFonts w:ascii="Times New Roman" w:hAnsi="Times New Roman"/>
          <w:noProof/>
          <w:sz w:val="24"/>
          <w:szCs w:val="24"/>
        </w:rPr>
        <w:t>) när en annan medlemsstat så önskar (</w:t>
      </w:r>
      <w:r>
        <w:rPr>
          <w:rFonts w:ascii="Times New Roman" w:hAnsi="Times New Roman"/>
          <w:b/>
          <w:bCs/>
          <w:noProof/>
          <w:sz w:val="24"/>
          <w:szCs w:val="24"/>
        </w:rPr>
        <w:t>ansökan om uppgifter</w:t>
      </w:r>
      <w:r>
        <w:rPr>
          <w:rFonts w:ascii="Times New Roman" w:hAnsi="Times New Roman"/>
          <w:noProof/>
          <w:sz w:val="24"/>
          <w:szCs w:val="24"/>
        </w:rPr>
        <w:t xml:space="preserve">), inom </w:t>
      </w:r>
      <w:r>
        <w:rPr>
          <w:rFonts w:ascii="Times New Roman" w:hAnsi="Times New Roman"/>
          <w:b/>
          <w:noProof/>
          <w:sz w:val="24"/>
          <w:szCs w:val="24"/>
        </w:rPr>
        <w:t>korta tidsfrister på 10 eller 20 dagar</w:t>
      </w:r>
      <w:r>
        <w:rPr>
          <w:rStyle w:val="FootnoteReference"/>
          <w:rFonts w:ascii="Times New Roman" w:hAnsi="Times New Roman" w:cs="Times New Roman"/>
          <w:b/>
          <w:noProof/>
          <w:sz w:val="24"/>
          <w:szCs w:val="24"/>
        </w:rPr>
        <w:footnoteReference w:id="6"/>
      </w:r>
      <w:r>
        <w:rPr>
          <w:noProof/>
        </w:rPr>
        <w:t>.</w:t>
      </w:r>
    </w:p>
    <w:p>
      <w:pPr>
        <w:spacing w:after="0"/>
        <w:jc w:val="both"/>
        <w:rPr>
          <w:rFonts w:ascii="Times New Roman" w:hAnsi="Times New Roman" w:cs="Times New Roman"/>
          <w:noProof/>
          <w:sz w:val="24"/>
          <w:szCs w:val="24"/>
        </w:rPr>
      </w:pPr>
      <w:bookmarkStart w:id="3" w:name="_Hlk480363534"/>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bookmarkStart w:id="4" w:name="_Toc479267019"/>
      <w:bookmarkEnd w:id="3"/>
      <w:r>
        <w:rPr>
          <w:rFonts w:ascii="Times New Roman" w:hAnsi="Times New Roman"/>
          <w:b/>
          <w:noProof/>
          <w:sz w:val="24"/>
          <w:szCs w:val="24"/>
        </w:rPr>
        <w:t>2. Ecris-utbytena i siffror</w:t>
      </w:r>
      <w:bookmarkStart w:id="5" w:name="_Ref366147146"/>
      <w:bookmarkStart w:id="6" w:name="_Toc479267020"/>
      <w:bookmarkEnd w:id="4"/>
    </w:p>
    <w:p>
      <w:pPr>
        <w:jc w:val="both"/>
        <w:rPr>
          <w:rFonts w:ascii="Times New Roman" w:hAnsi="Times New Roman" w:cs="Times New Roman"/>
          <w:bCs/>
          <w:smallCaps/>
          <w:noProof/>
          <w:sz w:val="24"/>
          <w:szCs w:val="24"/>
        </w:rPr>
      </w:pPr>
    </w:p>
    <w:p>
      <w:pPr>
        <w:jc w:val="both"/>
        <w:rPr>
          <w:rFonts w:ascii="Times New Roman" w:hAnsi="Times New Roman" w:cs="Times New Roman"/>
          <w:b/>
          <w:noProof/>
          <w:sz w:val="24"/>
          <w:szCs w:val="24"/>
        </w:rPr>
      </w:pPr>
      <w:r>
        <w:rPr>
          <w:rFonts w:ascii="Times New Roman" w:hAnsi="Times New Roman"/>
          <w:b/>
          <w:bCs/>
          <w:smallCaps/>
          <w:noProof/>
          <w:sz w:val="24"/>
          <w:szCs w:val="24"/>
        </w:rPr>
        <w:t xml:space="preserve">2.1 </w:t>
      </w:r>
      <w:r>
        <w:rPr>
          <w:rFonts w:ascii="Times New Roman" w:hAnsi="Times New Roman"/>
          <w:b/>
          <w:noProof/>
          <w:sz w:val="24"/>
          <w:szCs w:val="24"/>
        </w:rPr>
        <w:t>Anslutna medlemsstater</w:t>
      </w:r>
      <w:bookmarkEnd w:id="5"/>
      <w:bookmarkEnd w:id="6"/>
    </w:p>
    <w:p>
      <w:pPr>
        <w:jc w:val="both"/>
        <w:rPr>
          <w:rFonts w:ascii="Times New Roman" w:hAnsi="Times New Roman" w:cs="Times New Roman"/>
          <w:noProof/>
          <w:sz w:val="24"/>
          <w:szCs w:val="24"/>
        </w:rPr>
      </w:pPr>
      <w:r>
        <w:rPr>
          <w:rFonts w:ascii="Times New Roman" w:hAnsi="Times New Roman"/>
          <w:noProof/>
          <w:sz w:val="24"/>
          <w:szCs w:val="24"/>
        </w:rPr>
        <w:t xml:space="preserve">Ecris är ett decentraliserat system där alla medlemsstater bör vara sammanlänkade med varandra. En medlemsstat anses vara ansluten till Ecris om den utbyter uppgifter ur sina kriminalregister med åtminstone en annan ansluten medlemsstat. </w:t>
      </w:r>
      <w:bookmarkStart w:id="7" w:name="_Hlk481158166"/>
      <w:r>
        <w:rPr>
          <w:rFonts w:ascii="Times New Roman" w:hAnsi="Times New Roman"/>
          <w:b/>
          <w:noProof/>
          <w:sz w:val="24"/>
          <w:szCs w:val="24"/>
        </w:rPr>
        <w:t>Alla medlemsstater är för närvarande anslutna till Ecris</w:t>
      </w:r>
      <w:r>
        <w:rPr>
          <w:rFonts w:ascii="Times New Roman" w:hAnsi="Times New Roman"/>
          <w:noProof/>
          <w:sz w:val="24"/>
          <w:szCs w:val="24"/>
        </w:rPr>
        <w:t xml:space="preserve"> och utbyter uppgifter ur sina kriminalregister </w:t>
      </w:r>
      <w:r>
        <w:rPr>
          <w:rFonts w:ascii="Times New Roman" w:hAnsi="Times New Roman"/>
          <w:b/>
          <w:bCs/>
          <w:noProof/>
          <w:sz w:val="24"/>
          <w:szCs w:val="24"/>
        </w:rPr>
        <w:t>med</w:t>
      </w:r>
      <w:r>
        <w:rPr>
          <w:rFonts w:ascii="Times New Roman" w:hAnsi="Times New Roman"/>
          <w:noProof/>
          <w:sz w:val="24"/>
          <w:szCs w:val="24"/>
        </w:rPr>
        <w:t xml:space="preserve"> </w:t>
      </w:r>
      <w:r>
        <w:rPr>
          <w:rFonts w:ascii="Times New Roman" w:hAnsi="Times New Roman"/>
          <w:b/>
          <w:bCs/>
          <w:noProof/>
          <w:sz w:val="24"/>
          <w:szCs w:val="24"/>
        </w:rPr>
        <w:t>i genomsnitt 24 andra medlemsstater</w:t>
      </w:r>
      <w:r>
        <w:rPr>
          <w:rFonts w:ascii="Times New Roman" w:hAnsi="Times New Roman"/>
          <w:noProof/>
          <w:sz w:val="24"/>
          <w:szCs w:val="24"/>
        </w:rPr>
        <w:t>.</w:t>
      </w:r>
      <w:bookmarkEnd w:id="7"/>
      <w:r>
        <w:rPr>
          <w:rStyle w:val="FootnoteReference"/>
          <w:rFonts w:ascii="Times New Roman" w:hAnsi="Times New Roman" w:cs="Times New Roman"/>
          <w:noProof/>
          <w:sz w:val="24"/>
          <w:szCs w:val="24"/>
        </w:rPr>
        <w:footnoteReference w:id="7"/>
      </w:r>
    </w:p>
    <w:p>
      <w:pPr>
        <w:jc w:val="both"/>
        <w:rPr>
          <w:rFonts w:ascii="Times New Roman" w:hAnsi="Times New Roman" w:cs="Times New Roman"/>
          <w:noProof/>
          <w:sz w:val="24"/>
          <w:szCs w:val="24"/>
        </w:rPr>
      </w:pPr>
      <w:r>
        <w:rPr>
          <w:rFonts w:ascii="Times New Roman" w:hAnsi="Times New Roman"/>
          <w:noProof/>
          <w:sz w:val="24"/>
          <w:szCs w:val="24"/>
        </w:rPr>
        <w:t>Det totala antalet möjliga sammanlänkningar är 756 (27*28)</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w:t>
      </w:r>
      <w:bookmarkStart w:id="8" w:name="_Hlk481160969"/>
      <w:r>
        <w:rPr>
          <w:rFonts w:ascii="Times New Roman" w:hAnsi="Times New Roman"/>
          <w:noProof/>
          <w:sz w:val="24"/>
          <w:szCs w:val="24"/>
        </w:rPr>
        <w:t xml:space="preserve"> Även om alla medlemsstater är anslutna till Ecris </w:t>
      </w:r>
      <w:r>
        <w:rPr>
          <w:rFonts w:ascii="Times New Roman" w:hAnsi="Times New Roman"/>
          <w:b/>
          <w:noProof/>
          <w:sz w:val="24"/>
          <w:szCs w:val="24"/>
        </w:rPr>
        <w:t xml:space="preserve">har endast en medlemsstat ett effektivt informationsutbyte med alla de andra via Ecris (ES). </w:t>
      </w:r>
      <w:r>
        <w:rPr>
          <w:rFonts w:ascii="Times New Roman" w:hAnsi="Times New Roman"/>
          <w:noProof/>
          <w:sz w:val="24"/>
          <w:szCs w:val="24"/>
        </w:rPr>
        <w:t>För de flesta av medlemsstaterna saknas fortfarande en eller två sammanlänkningar.</w:t>
      </w:r>
      <w:bookmarkEnd w:id="8"/>
    </w:p>
    <w:p>
      <w:pPr>
        <w:jc w:val="both"/>
        <w:rPr>
          <w:rFonts w:ascii="Times New Roman" w:hAnsi="Times New Roman" w:cs="Times New Roman"/>
          <w:noProof/>
          <w:sz w:val="24"/>
          <w:szCs w:val="24"/>
        </w:rPr>
      </w:pPr>
      <w:r>
        <w:rPr>
          <w:rFonts w:ascii="Times New Roman" w:hAnsi="Times New Roman"/>
          <w:noProof/>
          <w:sz w:val="24"/>
          <w:szCs w:val="24"/>
        </w:rPr>
        <w:t xml:space="preserve">Ecris-systemet togs i bruk 2012 med sammanlagt 173 sammanlänkningar av 756 möjliga (med samtliga 28 medlemsstater anslutna). </w:t>
      </w:r>
      <w:bookmarkStart w:id="9" w:name="_Hlk481158260"/>
      <w:r>
        <w:rPr>
          <w:rFonts w:ascii="Times New Roman" w:hAnsi="Times New Roman"/>
          <w:noProof/>
          <w:sz w:val="24"/>
          <w:szCs w:val="24"/>
        </w:rPr>
        <w:t xml:space="preserve">Vid utgången av 2019 hade </w:t>
      </w:r>
      <w:r>
        <w:rPr>
          <w:rFonts w:ascii="Times New Roman" w:hAnsi="Times New Roman"/>
          <w:b/>
          <w:bCs/>
          <w:noProof/>
          <w:sz w:val="24"/>
          <w:szCs w:val="24"/>
        </w:rPr>
        <w:t>670 samman</w:t>
      </w:r>
      <w:r>
        <w:rPr>
          <w:rFonts w:ascii="Times New Roman" w:hAnsi="Times New Roman"/>
          <w:b/>
          <w:bCs/>
          <w:noProof/>
          <w:sz w:val="24"/>
          <w:szCs w:val="24"/>
        </w:rPr>
        <w:softHyphen/>
        <w:t>länkningar</w:t>
      </w:r>
      <w:r>
        <w:rPr>
          <w:rFonts w:ascii="Times New Roman" w:hAnsi="Times New Roman"/>
          <w:noProof/>
          <w:sz w:val="24"/>
          <w:szCs w:val="24"/>
        </w:rPr>
        <w:t xml:space="preserve"> upprättats, vilket motsvarar </w:t>
      </w:r>
      <w:r>
        <w:rPr>
          <w:rFonts w:ascii="Times New Roman" w:hAnsi="Times New Roman"/>
          <w:b/>
          <w:noProof/>
          <w:sz w:val="24"/>
          <w:szCs w:val="24"/>
        </w:rPr>
        <w:t>90 % av det totala antalet möjliga samman</w:t>
      </w:r>
      <w:r>
        <w:rPr>
          <w:rFonts w:ascii="Times New Roman" w:hAnsi="Times New Roman"/>
          <w:b/>
          <w:noProof/>
          <w:sz w:val="24"/>
          <w:szCs w:val="24"/>
        </w:rPr>
        <w:softHyphen/>
        <w:t>länkningar</w:t>
      </w:r>
      <w:r>
        <w:rPr>
          <w:rStyle w:val="FootnoteReference"/>
          <w:rFonts w:ascii="Times New Roman" w:hAnsi="Times New Roman" w:cs="Times New Roman"/>
          <w:b/>
          <w:noProof/>
          <w:sz w:val="24"/>
          <w:szCs w:val="24"/>
        </w:rPr>
        <w:footnoteReference w:id="9"/>
      </w:r>
      <w:r>
        <w:rPr>
          <w:rFonts w:ascii="Times New Roman" w:hAnsi="Times New Roman"/>
          <w:noProof/>
          <w:sz w:val="24"/>
          <w:szCs w:val="24"/>
        </w:rPr>
        <w:t xml:space="preserve">. </w:t>
      </w:r>
      <w:bookmarkStart w:id="10" w:name="_Hlk481160416"/>
    </w:p>
    <w:bookmarkEnd w:id="10"/>
    <w:p>
      <w:pPr>
        <w:jc w:val="both"/>
        <w:rPr>
          <w:rFonts w:ascii="Times New Roman" w:hAnsi="Times New Roman" w:cs="Times New Roman"/>
          <w:noProof/>
          <w:sz w:val="24"/>
          <w:szCs w:val="24"/>
        </w:rPr>
      </w:pPr>
      <w:r>
        <w:rPr>
          <w:rFonts w:ascii="Times New Roman" w:hAnsi="Times New Roman"/>
          <w:noProof/>
          <w:sz w:val="24"/>
          <w:szCs w:val="24"/>
        </w:rPr>
        <w:t>Det slutgiltiga målet har emellertid ännu inte uppnåtts helt, eftersom alla medlemsstater inte är anslutna till och utbyter information med alla de andra medlemsstaterna via Ecris. </w:t>
      </w:r>
    </w:p>
    <w:p>
      <w:pPr>
        <w:jc w:val="both"/>
        <w:rPr>
          <w:rFonts w:ascii="Times New Roman" w:hAnsi="Times New Roman" w:cs="Times New Roman"/>
          <w:b/>
          <w:bCs/>
          <w:smallCaps/>
          <w:noProof/>
          <w:sz w:val="24"/>
          <w:szCs w:val="24"/>
        </w:rPr>
      </w:pPr>
      <w:bookmarkStart w:id="11" w:name="_Toc479267021"/>
      <w:bookmarkEnd w:id="9"/>
    </w:p>
    <w:p>
      <w:pPr>
        <w:jc w:val="both"/>
        <w:rPr>
          <w:rFonts w:ascii="Times New Roman" w:hAnsi="Times New Roman" w:cs="Times New Roman"/>
          <w:b/>
          <w:noProof/>
          <w:sz w:val="24"/>
          <w:szCs w:val="24"/>
        </w:rPr>
      </w:pPr>
      <w:r>
        <w:rPr>
          <w:rFonts w:ascii="Times New Roman" w:hAnsi="Times New Roman"/>
          <w:b/>
          <w:bCs/>
          <w:smallCaps/>
          <w:noProof/>
          <w:sz w:val="24"/>
          <w:szCs w:val="24"/>
        </w:rPr>
        <w:t xml:space="preserve">2.2 </w:t>
      </w:r>
      <w:r>
        <w:rPr>
          <w:rFonts w:ascii="Times New Roman" w:hAnsi="Times New Roman"/>
          <w:b/>
          <w:noProof/>
          <w:sz w:val="24"/>
          <w:szCs w:val="24"/>
        </w:rPr>
        <w:t>Totalt antal meddelanden</w:t>
      </w:r>
      <w:bookmarkEnd w:id="11"/>
      <w:r>
        <w:rPr>
          <w:rFonts w:ascii="Times New Roman" w:hAnsi="Times New Roman"/>
          <w:b/>
          <w:noProof/>
          <w:sz w:val="24"/>
          <w:szCs w:val="24"/>
        </w:rPr>
        <w:t xml:space="preserve"> som utbytts</w:t>
      </w:r>
    </w:p>
    <w:p>
      <w:pPr>
        <w:jc w:val="both"/>
        <w:rPr>
          <w:rFonts w:ascii="Times New Roman" w:hAnsi="Times New Roman" w:cs="Times New Roman"/>
          <w:noProof/>
          <w:sz w:val="24"/>
          <w:szCs w:val="24"/>
        </w:rPr>
      </w:pPr>
      <w:r>
        <w:rPr>
          <w:rFonts w:ascii="Times New Roman" w:hAnsi="Times New Roman"/>
          <w:noProof/>
          <w:sz w:val="24"/>
          <w:szCs w:val="24"/>
        </w:rPr>
        <w:lastRenderedPageBreak/>
        <w:t>Diagrammet nedan visar det snabbt ökande årliga volymen meddelanden som utbytts mellan de anslutna medlemsstaterna sedan Ecris togs i drift i april 2012 och fram till den 31 december 2019. Det bör noteras att systemet endast var i drift under 8 månader 2012.</w:t>
      </w:r>
    </w:p>
    <w:p>
      <w:pPr>
        <w:jc w:val="both"/>
        <w:rPr>
          <w:rFonts w:ascii="Times New Roman" w:hAnsi="Times New Roman"/>
          <w:noProof/>
          <w:sz w:val="24"/>
          <w:szCs w:val="24"/>
        </w:rPr>
      </w:pPr>
      <w:bookmarkStart w:id="12" w:name="_Hlk481162649"/>
      <w:bookmarkStart w:id="13" w:name="_Hlk481160518"/>
      <w:r>
        <w:rPr>
          <w:noProof/>
          <w:lang w:val="en-GB"/>
        </w:rPr>
        <w:drawing>
          <wp:inline distT="0" distB="0" distL="0" distR="0">
            <wp:extent cx="5580952" cy="3733333"/>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952" cy="3733333"/>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 xml:space="preserve">Från de 2 miljoner meddelanden som utbyttes mellan alla sammanlänkade medlemsstater under 2016 hade antalet ökat till nästan </w:t>
      </w:r>
      <w:r>
        <w:rPr>
          <w:rFonts w:ascii="Times New Roman" w:hAnsi="Times New Roman"/>
          <w:b/>
          <w:noProof/>
          <w:sz w:val="24"/>
          <w:szCs w:val="24"/>
        </w:rPr>
        <w:t>4,2 miljoner under 2019</w:t>
      </w:r>
      <w:r>
        <w:rPr>
          <w:rFonts w:ascii="Times New Roman" w:hAnsi="Times New Roman"/>
          <w:noProof/>
          <w:sz w:val="24"/>
          <w:szCs w:val="24"/>
        </w:rPr>
        <w:t xml:space="preserve">, med ett </w:t>
      </w:r>
      <w:r>
        <w:rPr>
          <w:rFonts w:ascii="Times New Roman" w:hAnsi="Times New Roman"/>
          <w:b/>
          <w:noProof/>
          <w:sz w:val="24"/>
          <w:szCs w:val="24"/>
        </w:rPr>
        <w:t>genomsnitt på 348 000 underrättelser per månad</w:t>
      </w:r>
      <w:r>
        <w:rPr>
          <w:rFonts w:ascii="Times New Roman" w:hAnsi="Times New Roman"/>
          <w:noProof/>
          <w:sz w:val="24"/>
          <w:szCs w:val="24"/>
        </w:rPr>
        <w:t>.</w:t>
      </w:r>
      <w:bookmarkEnd w:id="12"/>
      <w:r>
        <w:rPr>
          <w:rFonts w:ascii="Times New Roman" w:hAnsi="Times New Roman"/>
          <w:noProof/>
          <w:sz w:val="24"/>
          <w:szCs w:val="24"/>
        </w:rPr>
        <w:t xml:space="preserve"> Alla typer av meddelanden ingår i dessa volymer: underrättelser, uppdateringar, ansökningar, svar, avslag, andra svar, utbyten av kompletterande uppgifter osv. </w:t>
      </w:r>
    </w:p>
    <w:p>
      <w:pPr>
        <w:jc w:val="both"/>
        <w:rPr>
          <w:rFonts w:ascii="Times New Roman" w:hAnsi="Times New Roman" w:cs="Times New Roman"/>
          <w:noProof/>
          <w:sz w:val="24"/>
          <w:szCs w:val="24"/>
        </w:rPr>
      </w:pPr>
      <w:r>
        <w:rPr>
          <w:rFonts w:ascii="Times New Roman" w:hAnsi="Times New Roman"/>
          <w:noProof/>
          <w:sz w:val="24"/>
          <w:szCs w:val="24"/>
        </w:rPr>
        <w:t>Diagrammet nedan visar utvecklingstrenden för underrättelser, ansökningar och svar på ansökningar under de åtta år som Ecris varit i drift. Endast underrättelser om nya fällande domar har tagits med i diagrammet, utan uppdateringar. Svaren omfattar svar på ansökningar, avslag på ansökningar och övriga svar</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xml:space="preserve">. </w:t>
      </w:r>
    </w:p>
    <w:p>
      <w:pPr>
        <w:jc w:val="both"/>
        <w:rPr>
          <w:rFonts w:ascii="Times New Roman" w:hAnsi="Times New Roman" w:cs="Times New Roman"/>
          <w:noProof/>
          <w:sz w:val="24"/>
          <w:szCs w:val="24"/>
        </w:rPr>
      </w:pPr>
      <w:bookmarkStart w:id="14" w:name="_Hlk481162482"/>
      <w:r>
        <w:rPr>
          <w:noProof/>
          <w:lang w:val="en-GB"/>
        </w:rPr>
        <w:drawing>
          <wp:inline distT="0" distB="0" distL="0" distR="0">
            <wp:extent cx="5760085" cy="2513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513330"/>
                    </a:xfrm>
                    <a:prstGeom prst="rect">
                      <a:avLst/>
                    </a:prstGeom>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noProof/>
          <w:sz w:val="24"/>
          <w:szCs w:val="24"/>
        </w:rPr>
        <w:t xml:space="preserve">Under de senaste tre åren har en </w:t>
      </w:r>
      <w:r>
        <w:rPr>
          <w:rFonts w:ascii="Times New Roman" w:hAnsi="Times New Roman"/>
          <w:b/>
          <w:bCs/>
          <w:noProof/>
          <w:sz w:val="24"/>
          <w:szCs w:val="24"/>
        </w:rPr>
        <w:t>radikal förändring skett när det gäller förhållandet mellan</w:t>
      </w:r>
      <w:r>
        <w:rPr>
          <w:rFonts w:ascii="Times New Roman" w:hAnsi="Times New Roman"/>
          <w:noProof/>
          <w:sz w:val="24"/>
          <w:szCs w:val="24"/>
        </w:rPr>
        <w:t xml:space="preserve"> antalet</w:t>
      </w:r>
      <w:r>
        <w:rPr>
          <w:rFonts w:ascii="Times New Roman" w:hAnsi="Times New Roman"/>
          <w:b/>
          <w:bCs/>
          <w:noProof/>
          <w:sz w:val="24"/>
          <w:szCs w:val="24"/>
        </w:rPr>
        <w:t xml:space="preserve"> underrättelser om nya fällande domar, ansökningar och svar på ansökningar</w:t>
      </w:r>
      <w:r>
        <w:rPr>
          <w:rFonts w:ascii="Times New Roman" w:hAnsi="Times New Roman"/>
          <w:noProof/>
          <w:sz w:val="24"/>
          <w:szCs w:val="24"/>
        </w:rPr>
        <w:t xml:space="preserve">. Under 2016 var antalen nästan desamma för var och en av dessa tre kategorier och uppgick till cirka </w:t>
      </w:r>
      <w:r>
        <w:rPr>
          <w:rFonts w:ascii="Times New Roman" w:hAnsi="Times New Roman"/>
          <w:bCs/>
          <w:noProof/>
          <w:sz w:val="24"/>
          <w:szCs w:val="24"/>
        </w:rPr>
        <w:t>350 000 per år och kategori. Under 2019 var antalet ansökningar om uppgifter och därmed relaterat antal svar på ansökningar mer än tre gånger högre än antalet underrättelser.</w:t>
      </w:r>
    </w:p>
    <w:p>
      <w:pPr>
        <w:jc w:val="both"/>
        <w:rPr>
          <w:rFonts w:ascii="Times New Roman" w:hAnsi="Times New Roman" w:cs="Times New Roman"/>
          <w:noProof/>
          <w:sz w:val="24"/>
          <w:szCs w:val="24"/>
        </w:rPr>
      </w:pPr>
      <w:r>
        <w:rPr>
          <w:rFonts w:ascii="Times New Roman" w:hAnsi="Times New Roman"/>
          <w:b/>
          <w:noProof/>
          <w:sz w:val="24"/>
          <w:szCs w:val="24"/>
        </w:rPr>
        <w:t>Antalet underrättelser om nya fällande domar sjönk</w:t>
      </w:r>
      <w:r>
        <w:rPr>
          <w:rFonts w:ascii="Times New Roman" w:hAnsi="Times New Roman"/>
          <w:noProof/>
          <w:sz w:val="24"/>
          <w:szCs w:val="24"/>
        </w:rPr>
        <w:t xml:space="preserve"> under 2017 och låg på en stabil nivå på omkring </w:t>
      </w:r>
      <w:r>
        <w:rPr>
          <w:rFonts w:ascii="Times New Roman" w:hAnsi="Times New Roman"/>
          <w:b/>
          <w:noProof/>
          <w:sz w:val="24"/>
          <w:szCs w:val="24"/>
        </w:rPr>
        <w:t>310 000 fram till 2019</w:t>
      </w:r>
      <w:r>
        <w:rPr>
          <w:rFonts w:ascii="Times New Roman" w:hAnsi="Times New Roman"/>
          <w:noProof/>
          <w:sz w:val="24"/>
          <w:szCs w:val="24"/>
        </w:rPr>
        <w:t>. Denna nedåtgående trend är överraskande mot bakgrund av det ökande antalet sammanlänkningar mellan medlemsstaterna. Som framgår av avsnitt 2.4 nedan hade vissa medlemsstater problem med att meddela alla nya fällande domar.</w:t>
      </w:r>
    </w:p>
    <w:p>
      <w:pPr>
        <w:jc w:val="both"/>
        <w:rPr>
          <w:rFonts w:ascii="Times New Roman" w:hAnsi="Times New Roman" w:cs="Times New Roman"/>
          <w:noProof/>
          <w:sz w:val="24"/>
          <w:szCs w:val="24"/>
        </w:rPr>
      </w:pPr>
      <w:r>
        <w:rPr>
          <w:rFonts w:ascii="Times New Roman" w:hAnsi="Times New Roman"/>
          <w:noProof/>
          <w:sz w:val="24"/>
          <w:szCs w:val="24"/>
        </w:rPr>
        <w:t xml:space="preserve">I kontrast till detta har </w:t>
      </w:r>
      <w:r>
        <w:rPr>
          <w:rFonts w:ascii="Times New Roman" w:hAnsi="Times New Roman"/>
          <w:b/>
          <w:noProof/>
          <w:sz w:val="24"/>
          <w:szCs w:val="24"/>
        </w:rPr>
        <w:t>antalet ansökningar om uppgifter</w:t>
      </w:r>
      <w:r>
        <w:rPr>
          <w:rFonts w:ascii="Times New Roman" w:hAnsi="Times New Roman"/>
          <w:noProof/>
          <w:sz w:val="24"/>
          <w:szCs w:val="24"/>
        </w:rPr>
        <w:t xml:space="preserve"> och de tillhörande svaren på ansökningarna </w:t>
      </w:r>
      <w:r>
        <w:rPr>
          <w:rFonts w:ascii="Times New Roman" w:hAnsi="Times New Roman"/>
          <w:b/>
          <w:noProof/>
          <w:sz w:val="24"/>
          <w:szCs w:val="24"/>
        </w:rPr>
        <w:t>tredubblats sedan 2017 – och uppgick till 1 miljon</w:t>
      </w:r>
      <w:r>
        <w:rPr>
          <w:rFonts w:ascii="Times New Roman" w:hAnsi="Times New Roman"/>
          <w:noProof/>
          <w:sz w:val="24"/>
          <w:szCs w:val="24"/>
        </w:rPr>
        <w:t xml:space="preserve"> för båda dessa kategorier 2019. Denna</w:t>
      </w:r>
      <w:r>
        <w:rPr>
          <w:rFonts w:ascii="Times New Roman" w:hAnsi="Times New Roman"/>
          <w:b/>
          <w:noProof/>
          <w:sz w:val="24"/>
          <w:szCs w:val="24"/>
        </w:rPr>
        <w:t xml:space="preserve"> dramatiska ökning av antalet ansökningar om uppgifter </w:t>
      </w:r>
      <w:r>
        <w:rPr>
          <w:rFonts w:ascii="Times New Roman" w:hAnsi="Times New Roman"/>
          <w:noProof/>
          <w:sz w:val="24"/>
          <w:szCs w:val="24"/>
        </w:rPr>
        <w:t>beror främst på att</w:t>
      </w:r>
      <w:r>
        <w:rPr>
          <w:rFonts w:ascii="Times New Roman" w:hAnsi="Times New Roman"/>
          <w:b/>
          <w:bCs/>
          <w:noProof/>
          <w:sz w:val="24"/>
          <w:szCs w:val="24"/>
        </w:rPr>
        <w:t xml:space="preserve"> Ecris inte längre i första hand används för brottmålsförfaranden, utan även i allt större utsträckning för andra ändamål än brottmålsförfaranden</w:t>
      </w:r>
      <w:r>
        <w:rPr>
          <w:rFonts w:ascii="Times New Roman" w:hAnsi="Times New Roman"/>
          <w:bCs/>
          <w:noProof/>
          <w:sz w:val="24"/>
          <w:szCs w:val="24"/>
        </w:rPr>
        <w:t>.</w:t>
      </w:r>
      <w:r>
        <w:rPr>
          <w:rFonts w:ascii="Times New Roman" w:hAnsi="Times New Roman"/>
          <w:noProof/>
          <w:sz w:val="24"/>
          <w:szCs w:val="24"/>
        </w:rPr>
        <w:t xml:space="preserve"> Mer information finns i avsnitt 2.8. Detta är även ett positivt tecken på att medlemsstaterna har blivit mer medvetna om behovet av att använda Ecris för att begära uppgifter inom ramen för brottmålsförfaranden så att de i enlighet med rambeslut 2008/675/RIF kan beakta tidigare fällande domar</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w:t>
      </w:r>
    </w:p>
    <w:p>
      <w:pPr>
        <w:jc w:val="both"/>
        <w:rPr>
          <w:rFonts w:ascii="Times New Roman" w:hAnsi="Times New Roman" w:cs="Times New Roman"/>
          <w:b/>
          <w:noProof/>
          <w:sz w:val="24"/>
          <w:szCs w:val="24"/>
        </w:rPr>
      </w:pPr>
      <w:bookmarkStart w:id="15" w:name="_Toc479267022"/>
      <w:bookmarkEnd w:id="13"/>
      <w:bookmarkEnd w:id="14"/>
    </w:p>
    <w:p>
      <w:pPr>
        <w:jc w:val="both"/>
        <w:rPr>
          <w:rFonts w:ascii="Times New Roman" w:hAnsi="Times New Roman" w:cs="Times New Roman"/>
          <w:b/>
          <w:noProof/>
          <w:sz w:val="24"/>
          <w:szCs w:val="24"/>
        </w:rPr>
      </w:pPr>
      <w:r>
        <w:rPr>
          <w:rFonts w:ascii="Times New Roman" w:hAnsi="Times New Roman"/>
          <w:b/>
          <w:noProof/>
          <w:sz w:val="24"/>
          <w:szCs w:val="24"/>
        </w:rPr>
        <w:t xml:space="preserve">2.3 Antal underrättelser, ansökningar och </w:t>
      </w:r>
      <w:bookmarkEnd w:id="15"/>
      <w:r>
        <w:rPr>
          <w:rFonts w:ascii="Times New Roman" w:hAnsi="Times New Roman"/>
          <w:b/>
          <w:noProof/>
          <w:sz w:val="24"/>
          <w:szCs w:val="24"/>
        </w:rPr>
        <w:t>svar per medlemsstat</w:t>
      </w:r>
    </w:p>
    <w:p>
      <w:pPr>
        <w:jc w:val="both"/>
        <w:rPr>
          <w:rFonts w:ascii="Times New Roman" w:hAnsi="Times New Roman" w:cs="Times New Roman"/>
          <w:noProof/>
          <w:sz w:val="24"/>
          <w:szCs w:val="24"/>
        </w:rPr>
      </w:pPr>
      <w:r>
        <w:rPr>
          <w:rFonts w:ascii="Times New Roman" w:hAnsi="Times New Roman"/>
          <w:noProof/>
          <w:sz w:val="24"/>
          <w:szCs w:val="24"/>
        </w:rPr>
        <w:t>Diagrammet nedan visar antalet underrättelser om nya fällande domar, ansökningar om uppgifter och svar för alla sammanlänkade medlemsstater 2019</w:t>
      </w:r>
      <w:r>
        <w:rPr>
          <w:rStyle w:val="FootnoteReference"/>
          <w:rFonts w:ascii="Times New Roman" w:hAnsi="Times New Roman" w:cs="Times New Roman"/>
          <w:noProof/>
          <w:sz w:val="24"/>
          <w:szCs w:val="24"/>
        </w:rPr>
        <w:footnoteReference w:id="12"/>
      </w:r>
      <w:r>
        <w:rPr>
          <w:noProof/>
        </w:rPr>
        <w:t>.</w:t>
      </w:r>
      <w:r>
        <w:rPr>
          <w:rFonts w:ascii="Times New Roman" w:hAnsi="Times New Roman"/>
          <w:noProof/>
          <w:sz w:val="24"/>
          <w:szCs w:val="24"/>
        </w:rPr>
        <w:t xml:space="preserve"> </w:t>
      </w:r>
    </w:p>
    <w:p>
      <w:pPr>
        <w:jc w:val="both"/>
        <w:rPr>
          <w:rFonts w:ascii="Times New Roman" w:hAnsi="Times New Roman" w:cs="Times New Roman"/>
          <w:noProof/>
          <w:sz w:val="24"/>
          <w:szCs w:val="24"/>
        </w:rPr>
      </w:pPr>
      <w:bookmarkStart w:id="16" w:name="_Hlk481161857"/>
      <w:bookmarkStart w:id="17" w:name="_Hlk481162724"/>
      <w:r>
        <w:rPr>
          <w:noProof/>
          <w:lang w:val="en-GB"/>
        </w:rPr>
        <w:drawing>
          <wp:inline distT="0" distB="0" distL="0" distR="0">
            <wp:extent cx="5760085" cy="3742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742055"/>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I likhet med de föregående åren var de medlemsstater som anges nedan de mest aktiva sett till den totala volymen av dessa tre typer av meddelanden.</w:t>
      </w:r>
      <w:bookmarkEnd w:id="16"/>
    </w:p>
    <w:p>
      <w:pPr>
        <w:jc w:val="center"/>
        <w:rPr>
          <w:rFonts w:ascii="Times New Roman" w:hAnsi="Times New Roman" w:cs="Times New Roman"/>
          <w:noProof/>
          <w:sz w:val="24"/>
          <w:szCs w:val="24"/>
        </w:rPr>
      </w:pPr>
      <w:r>
        <w:rPr>
          <w:noProof/>
          <w:lang w:val="en-GB"/>
        </w:rPr>
        <w:drawing>
          <wp:inline distT="0" distB="0" distL="0" distR="0">
            <wp:extent cx="3771429" cy="157142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1429" cy="1571429"/>
                    </a:xfrm>
                    <a:prstGeom prst="rect">
                      <a:avLst/>
                    </a:prstGeom>
                  </pic:spPr>
                </pic:pic>
              </a:graphicData>
            </a:graphic>
          </wp:inline>
        </w:drawing>
      </w:r>
    </w:p>
    <w:p>
      <w:pPr>
        <w:jc w:val="cente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 xml:space="preserve">Siffrorna visar på </w:t>
      </w:r>
      <w:r>
        <w:rPr>
          <w:rFonts w:ascii="Times New Roman" w:hAnsi="Times New Roman"/>
          <w:b/>
          <w:noProof/>
          <w:sz w:val="24"/>
          <w:szCs w:val="24"/>
        </w:rPr>
        <w:t>stora skillnader mellan medlemsstaternas Ecris-aktiviteter och arbetsbörda</w:t>
      </w:r>
      <w:r>
        <w:rPr>
          <w:rFonts w:ascii="Times New Roman" w:hAnsi="Times New Roman"/>
          <w:noProof/>
          <w:sz w:val="24"/>
          <w:szCs w:val="24"/>
        </w:rPr>
        <w:t>.</w:t>
      </w:r>
    </w:p>
    <w:bookmarkEnd w:id="17"/>
    <w:p>
      <w:pPr>
        <w:jc w:val="both"/>
        <w:rPr>
          <w:rFonts w:ascii="Times New Roman" w:hAnsi="Times New Roman" w:cs="Times New Roman"/>
          <w:noProof/>
          <w:sz w:val="24"/>
          <w:szCs w:val="24"/>
        </w:rPr>
      </w:pPr>
      <w:r>
        <w:rPr>
          <w:rFonts w:ascii="Times New Roman" w:hAnsi="Times New Roman"/>
          <w:noProof/>
          <w:sz w:val="24"/>
          <w:szCs w:val="24"/>
        </w:rPr>
        <w:t xml:space="preserve">Vissa medlemsstater </w:t>
      </w:r>
      <w:r>
        <w:rPr>
          <w:rFonts w:ascii="Times New Roman" w:hAnsi="Times New Roman"/>
          <w:b/>
          <w:bCs/>
          <w:noProof/>
          <w:sz w:val="24"/>
          <w:szCs w:val="24"/>
        </w:rPr>
        <w:t>begär uppgifter betydligt oftare än de anmodas</w:t>
      </w:r>
      <w:r>
        <w:rPr>
          <w:rFonts w:ascii="Times New Roman" w:hAnsi="Times New Roman"/>
          <w:noProof/>
          <w:sz w:val="24"/>
          <w:szCs w:val="24"/>
        </w:rPr>
        <w:t xml:space="preserve"> att lämna uppgifter, t.ex. DE (745 000 avsända ansökningar, 32 400 mottagna ansökningar), UK (91 000 avsända, 31 500 mottagna) och CZ (38 500 avsända, 24 700 mottagna). Andra medlemsstater kämpar med ett </w:t>
      </w:r>
      <w:r>
        <w:rPr>
          <w:rFonts w:ascii="Times New Roman" w:hAnsi="Times New Roman"/>
          <w:b/>
          <w:bCs/>
          <w:noProof/>
          <w:sz w:val="24"/>
          <w:szCs w:val="24"/>
        </w:rPr>
        <w:t>betydande antal ansökningar</w:t>
      </w:r>
      <w:r>
        <w:rPr>
          <w:rFonts w:ascii="Times New Roman" w:hAnsi="Times New Roman"/>
          <w:noProof/>
          <w:sz w:val="24"/>
          <w:szCs w:val="24"/>
        </w:rPr>
        <w:t xml:space="preserve">, samtidigt som de själva sänder färre ansökningar, t.ex. PL (197 300 svar lämnade, 15 400 ansökningar avsända), RO (170 000 respektive 1 200), IT (99 500 respektive 1 500), HR (63 300 respektive 3 000), SK (41 000 respektive 900), HU (37 400 respektive 500). Vissa andra medlemsstater </w:t>
      </w:r>
      <w:r>
        <w:rPr>
          <w:rFonts w:ascii="Times New Roman" w:hAnsi="Times New Roman"/>
          <w:b/>
          <w:bCs/>
          <w:noProof/>
          <w:sz w:val="24"/>
          <w:szCs w:val="24"/>
        </w:rPr>
        <w:t>skickar en stor volym underrättelser</w:t>
      </w:r>
      <w:r>
        <w:rPr>
          <w:rFonts w:ascii="Times New Roman" w:hAnsi="Times New Roman"/>
          <w:noProof/>
          <w:sz w:val="24"/>
          <w:szCs w:val="24"/>
        </w:rPr>
        <w:t xml:space="preserve"> om nya fällande domar till de medlemsstater där förövarna är medborgare, medan de själva gör färre ansökningar, t.ex. BE (36 300 underrättelser avsända, 5 200 ansökningar avsända), IT (25 700 underrättelser, 1 500 ansökningar).</w:t>
      </w:r>
    </w:p>
    <w:p>
      <w:pPr>
        <w:jc w:val="both"/>
        <w:rPr>
          <w:rFonts w:ascii="Times New Roman" w:hAnsi="Times New Roman" w:cs="Times New Roman"/>
          <w:b/>
          <w:noProof/>
          <w:sz w:val="24"/>
          <w:szCs w:val="24"/>
        </w:rPr>
      </w:pPr>
      <w:r>
        <w:rPr>
          <w:rFonts w:ascii="Times New Roman" w:hAnsi="Times New Roman"/>
          <w:b/>
          <w:noProof/>
          <w:sz w:val="24"/>
          <w:szCs w:val="24"/>
        </w:rPr>
        <w:t>2.4 Underrättelser</w:t>
      </w:r>
    </w:p>
    <w:p>
      <w:pPr>
        <w:jc w:val="both"/>
        <w:rPr>
          <w:rFonts w:ascii="Times New Roman" w:hAnsi="Times New Roman" w:cs="Times New Roman"/>
          <w:noProof/>
          <w:sz w:val="24"/>
          <w:szCs w:val="24"/>
        </w:rPr>
      </w:pPr>
      <w:r>
        <w:rPr>
          <w:rFonts w:ascii="Times New Roman" w:hAnsi="Times New Roman"/>
          <w:noProof/>
          <w:sz w:val="24"/>
          <w:szCs w:val="24"/>
        </w:rPr>
        <w:t>Diagrammet nedan visar volymen underrättelser som utfärdats av alla sammanlänkade medlemsstater 2019, uppdelat i underrättelser om nya fällande domar och underrättelser om uppdatering av tidigare sända underrättelser</w:t>
      </w:r>
      <w:r>
        <w:rPr>
          <w:rStyle w:val="FootnoteReference"/>
          <w:rFonts w:ascii="Times New Roman" w:hAnsi="Times New Roman" w:cs="Times New Roman"/>
          <w:noProof/>
          <w:sz w:val="24"/>
          <w:szCs w:val="24"/>
        </w:rPr>
        <w:footnoteReference w:id="13"/>
      </w:r>
      <w:r>
        <w:rPr>
          <w:noProof/>
        </w:rPr>
        <w:t>.</w:t>
      </w:r>
      <w:r>
        <w:rPr>
          <w:rFonts w:ascii="Times New Roman" w:hAnsi="Times New Roman"/>
          <w:noProof/>
          <w:sz w:val="24"/>
          <w:szCs w:val="24"/>
        </w:rPr>
        <w:t xml:space="preserve"> </w:t>
      </w:r>
    </w:p>
    <w:p>
      <w:pPr>
        <w:jc w:val="both"/>
        <w:rPr>
          <w:rFonts w:ascii="Times New Roman" w:hAnsi="Times New Roman"/>
          <w:b/>
          <w:noProof/>
          <w:sz w:val="24"/>
          <w:szCs w:val="24"/>
        </w:rPr>
      </w:pPr>
      <w:bookmarkStart w:id="18" w:name="_Hlk481001185"/>
      <w:r>
        <w:rPr>
          <w:noProof/>
          <w:lang w:val="en-GB"/>
        </w:rPr>
        <w:drawing>
          <wp:inline distT="0" distB="0" distL="0" distR="0">
            <wp:extent cx="5676190" cy="3542857"/>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190" cy="3542857"/>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b/>
          <w:noProof/>
          <w:sz w:val="24"/>
          <w:szCs w:val="24"/>
        </w:rPr>
        <w:t>Volymen underrättelser varierar avsevärt mellan medlemsstaterna</w:t>
      </w:r>
      <w:r>
        <w:rPr>
          <w:rFonts w:ascii="Times New Roman" w:hAnsi="Times New Roman"/>
          <w:noProof/>
          <w:sz w:val="24"/>
          <w:szCs w:val="24"/>
        </w:rPr>
        <w:t xml:space="preserve">, från nästan 112 000 (DE) till inga underrättelser alls om nya fällande domar (MT, PT) per år. Det finns två viktiga faktorer som måste beaktas i analysen av dessa variationer: landets storlek och antalet fällande domar mot medborgare i andra medlemsstater (nedan kallade </w:t>
      </w:r>
      <w:r>
        <w:rPr>
          <w:rFonts w:ascii="Times New Roman" w:hAnsi="Times New Roman"/>
          <w:i/>
          <w:noProof/>
          <w:sz w:val="24"/>
          <w:szCs w:val="24"/>
        </w:rPr>
        <w:t>medborgare från andra EU-medlemsstater</w:t>
      </w:r>
      <w:r>
        <w:rPr>
          <w:rFonts w:ascii="Times New Roman" w:hAnsi="Times New Roman"/>
          <w:noProof/>
          <w:sz w:val="24"/>
          <w:szCs w:val="24"/>
        </w:rPr>
        <w:t>)</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w:t>
      </w:r>
    </w:p>
    <w:p>
      <w:pPr>
        <w:jc w:val="both"/>
        <w:rPr>
          <w:rFonts w:ascii="Times New Roman" w:hAnsi="Times New Roman" w:cs="Times New Roman"/>
          <w:noProof/>
          <w:sz w:val="24"/>
          <w:szCs w:val="24"/>
        </w:rPr>
      </w:pPr>
      <w:bookmarkStart w:id="19" w:name="_Hlk480998606"/>
      <w:bookmarkStart w:id="20" w:name="_Hlk481162205"/>
      <w:r>
        <w:rPr>
          <w:rFonts w:ascii="Times New Roman" w:hAnsi="Times New Roman"/>
          <w:noProof/>
          <w:sz w:val="24"/>
          <w:szCs w:val="24"/>
        </w:rPr>
        <w:t xml:space="preserve">De medlemsstater som var </w:t>
      </w:r>
      <w:r>
        <w:rPr>
          <w:rFonts w:ascii="Times New Roman" w:hAnsi="Times New Roman"/>
          <w:b/>
          <w:noProof/>
          <w:sz w:val="24"/>
          <w:szCs w:val="24"/>
        </w:rPr>
        <w:t>mest aktiva</w:t>
      </w:r>
      <w:r>
        <w:rPr>
          <w:rFonts w:ascii="Times New Roman" w:hAnsi="Times New Roman"/>
          <w:noProof/>
          <w:sz w:val="24"/>
          <w:szCs w:val="24"/>
        </w:rPr>
        <w:t xml:space="preserve"> med att sända</w:t>
      </w:r>
      <w:r>
        <w:rPr>
          <w:rFonts w:ascii="Times New Roman" w:hAnsi="Times New Roman"/>
          <w:b/>
          <w:noProof/>
          <w:sz w:val="24"/>
          <w:szCs w:val="24"/>
        </w:rPr>
        <w:t xml:space="preserve"> underrättelser</w:t>
      </w:r>
      <w:r>
        <w:rPr>
          <w:rFonts w:ascii="Times New Roman" w:hAnsi="Times New Roman"/>
          <w:noProof/>
          <w:sz w:val="24"/>
          <w:szCs w:val="24"/>
        </w:rPr>
        <w:t xml:space="preserve"> om nya fällande domar var de som anges i tabellen nedan.</w:t>
      </w:r>
    </w:p>
    <w:p>
      <w:pPr>
        <w:jc w:val="both"/>
        <w:rPr>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GB"/>
        </w:rPr>
        <w:drawing>
          <wp:inline distT="0" distB="0" distL="0" distR="0">
            <wp:extent cx="3723809" cy="173333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23809" cy="1733333"/>
                    </a:xfrm>
                    <a:prstGeom prst="rect">
                      <a:avLst/>
                    </a:prstGeom>
                  </pic:spPr>
                </pic:pic>
              </a:graphicData>
            </a:graphic>
          </wp:inline>
        </w:drawing>
      </w:r>
    </w:p>
    <w:bookmarkEnd w:id="19"/>
    <w:p>
      <w:pPr>
        <w:jc w:val="both"/>
        <w:rPr>
          <w:rFonts w:ascii="Times New Roman" w:hAnsi="Times New Roman" w:cs="Times New Roman"/>
          <w:noProof/>
          <w:sz w:val="24"/>
          <w:szCs w:val="24"/>
        </w:rPr>
      </w:pPr>
      <w:r>
        <w:rPr>
          <w:rFonts w:ascii="Times New Roman" w:hAnsi="Times New Roman"/>
          <w:noProof/>
          <w:sz w:val="24"/>
          <w:szCs w:val="24"/>
        </w:rPr>
        <w:t>Sett till alla underrättelser som skickats, inbegripet underrättelser om uppdateringar, ligger DE kvar på första plats, men rangordningen har förändrats.</w:t>
      </w:r>
    </w:p>
    <w:p>
      <w:pPr>
        <w:jc w:val="center"/>
        <w:rPr>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GB"/>
        </w:rPr>
        <w:drawing>
          <wp:inline distT="0" distB="0" distL="0" distR="0">
            <wp:extent cx="3723809" cy="169523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3809" cy="1695238"/>
                    </a:xfrm>
                    <a:prstGeom prst="rect">
                      <a:avLst/>
                    </a:prstGeom>
                  </pic:spPr>
                </pic:pic>
              </a:graphicData>
            </a:graphic>
          </wp:inline>
        </w:drawing>
      </w:r>
    </w:p>
    <w:p>
      <w:pPr>
        <w:jc w:val="both"/>
        <w:rPr>
          <w:rFonts w:ascii="Times New Roman" w:hAnsi="Times New Roman" w:cs="Times New Roman"/>
          <w:b/>
          <w:noProof/>
          <w:sz w:val="24"/>
          <w:szCs w:val="24"/>
        </w:rPr>
      </w:pPr>
    </w:p>
    <w:p>
      <w:pPr>
        <w:jc w:val="both"/>
        <w:rPr>
          <w:rFonts w:ascii="Times New Roman" w:hAnsi="Times New Roman" w:cs="Times New Roman"/>
          <w:bCs/>
          <w:noProof/>
          <w:sz w:val="24"/>
          <w:szCs w:val="24"/>
        </w:rPr>
      </w:pPr>
      <w:r>
        <w:rPr>
          <w:rFonts w:ascii="Times New Roman" w:hAnsi="Times New Roman"/>
          <w:b/>
          <w:noProof/>
          <w:sz w:val="24"/>
          <w:szCs w:val="24"/>
        </w:rPr>
        <w:t>underrättelser om nya fällande domar och underrättelser om uppdateringar</w:t>
      </w:r>
      <w:r>
        <w:rPr>
          <w:rFonts w:ascii="Times New Roman" w:hAnsi="Times New Roman"/>
          <w:noProof/>
          <w:sz w:val="24"/>
          <w:szCs w:val="24"/>
        </w:rPr>
        <w:t xml:space="preserve"> stod för</w:t>
      </w:r>
      <w:r>
        <w:rPr>
          <w:rFonts w:ascii="Times New Roman" w:hAnsi="Times New Roman"/>
          <w:b/>
          <w:noProof/>
          <w:sz w:val="24"/>
          <w:szCs w:val="24"/>
        </w:rPr>
        <w:t xml:space="preserve"> 58 % respektive 42 </w:t>
      </w:r>
      <w:r>
        <w:rPr>
          <w:rFonts w:ascii="Times New Roman" w:hAnsi="Times New Roman"/>
          <w:b/>
          <w:bCs/>
          <w:noProof/>
          <w:sz w:val="24"/>
          <w:szCs w:val="24"/>
        </w:rPr>
        <w:t>%</w:t>
      </w:r>
      <w:r>
        <w:rPr>
          <w:rFonts w:ascii="Times New Roman" w:hAnsi="Times New Roman"/>
          <w:noProof/>
          <w:sz w:val="24"/>
          <w:szCs w:val="24"/>
        </w:rPr>
        <w:t xml:space="preserve"> under 2019. Sammanlagt sändes </w:t>
      </w:r>
      <w:r>
        <w:rPr>
          <w:rFonts w:ascii="Times New Roman" w:hAnsi="Times New Roman"/>
          <w:b/>
          <w:noProof/>
          <w:sz w:val="24"/>
          <w:szCs w:val="24"/>
        </w:rPr>
        <w:t>230 000 underrättelser om uppdateringar</w:t>
      </w:r>
      <w:r>
        <w:rPr>
          <w:rFonts w:ascii="Times New Roman" w:hAnsi="Times New Roman"/>
          <w:noProof/>
          <w:sz w:val="24"/>
          <w:szCs w:val="24"/>
        </w:rPr>
        <w:t xml:space="preserve"> under det året</w:t>
      </w:r>
      <w:r>
        <w:rPr>
          <w:rStyle w:val="FootnoteReference"/>
          <w:rFonts w:ascii="Times New Roman" w:hAnsi="Times New Roman" w:cs="Times New Roman"/>
          <w:noProof/>
          <w:sz w:val="24"/>
          <w:szCs w:val="24"/>
        </w:rPr>
        <w:footnoteReference w:id="15"/>
      </w:r>
      <w:r>
        <w:rPr>
          <w:noProof/>
        </w:rPr>
        <w:t>.</w:t>
      </w:r>
      <w:r>
        <w:rPr>
          <w:rFonts w:ascii="Times New Roman" w:hAnsi="Times New Roman"/>
          <w:noProof/>
          <w:sz w:val="24"/>
          <w:szCs w:val="24"/>
        </w:rPr>
        <w:t xml:space="preserve"> </w:t>
      </w:r>
      <w:r>
        <w:rPr>
          <w:rFonts w:ascii="Times New Roman" w:hAnsi="Times New Roman"/>
          <w:bCs/>
          <w:noProof/>
          <w:sz w:val="24"/>
          <w:szCs w:val="24"/>
        </w:rPr>
        <w:t xml:space="preserve">Det är värt att notera att uppdateringarna endast utgjorde ungefär en fjärdedel av alla underrättelser före 2017. Den senaste </w:t>
      </w:r>
      <w:r>
        <w:rPr>
          <w:rFonts w:ascii="Times New Roman" w:hAnsi="Times New Roman"/>
          <w:b/>
          <w:noProof/>
          <w:sz w:val="24"/>
          <w:szCs w:val="24"/>
        </w:rPr>
        <w:t xml:space="preserve">betydande ökningen av antalet uppdateringar </w:t>
      </w:r>
      <w:r>
        <w:rPr>
          <w:rFonts w:ascii="Times New Roman" w:hAnsi="Times New Roman"/>
          <w:bCs/>
          <w:noProof/>
          <w:sz w:val="24"/>
          <w:szCs w:val="24"/>
        </w:rPr>
        <w:t xml:space="preserve">för många av medlemsstaterna bör ses som ett positivt tecken på en ökande medvetenhet om vikten av att informera om uppdateringar av de ursprungliga underrättelsera. </w:t>
      </w:r>
    </w:p>
    <w:p>
      <w:pPr>
        <w:jc w:val="both"/>
        <w:rPr>
          <w:rFonts w:ascii="Times New Roman" w:hAnsi="Times New Roman" w:cs="Times New Roman"/>
          <w:noProof/>
          <w:sz w:val="24"/>
          <w:szCs w:val="24"/>
        </w:rPr>
      </w:pPr>
      <w:r>
        <w:rPr>
          <w:rFonts w:ascii="Times New Roman" w:hAnsi="Times New Roman"/>
          <w:b/>
          <w:noProof/>
          <w:sz w:val="24"/>
          <w:szCs w:val="24"/>
        </w:rPr>
        <w:t>Förhållandet mellan antalet underrättelser om nya fällande domar och antalet uppdateringar varierar avsevärt bland medlemsstaterna</w:t>
      </w:r>
      <w:r>
        <w:rPr>
          <w:rFonts w:ascii="Times New Roman" w:hAnsi="Times New Roman"/>
          <w:noProof/>
          <w:sz w:val="24"/>
          <w:szCs w:val="24"/>
        </w:rPr>
        <w:t>, från att antalet uppdateringar är tre gånger högre än antalet underrättelser (t.ex. FR, PL) eller dubbelt så högt som antalet underrättelser (t.ex. AT, CZ), eller att det finns ungefär lika många av båda dessa kategorier av meddelanden (t.ex. ES, NL, IT, HU, FI, SK), till att antalet uppdateringar endast utgör en minimal andel av alla underrättelser (t.ex. CY, DK, IE, RO). För DE, FR och ES, som sände det högsta antalet av alla underrättelser, utgjorde uppdateringarna omkring 34 %, 76 % respektive 57 % av alla deras underrättelser under 2019.</w:t>
      </w:r>
    </w:p>
    <w:p>
      <w:pPr>
        <w:jc w:val="both"/>
        <w:rPr>
          <w:rFonts w:ascii="Times New Roman" w:hAnsi="Times New Roman" w:cs="Times New Roman"/>
          <w:noProof/>
          <w:sz w:val="24"/>
          <w:szCs w:val="24"/>
        </w:rPr>
      </w:pPr>
      <w:r>
        <w:rPr>
          <w:rFonts w:ascii="Times New Roman" w:hAnsi="Times New Roman"/>
          <w:noProof/>
          <w:sz w:val="24"/>
          <w:szCs w:val="24"/>
        </w:rPr>
        <w:t xml:space="preserve">I den första statistiska rapporten identifierades två huvudsakliga problem, nämligen i) att många av medlemsstaterna </w:t>
      </w:r>
      <w:r>
        <w:rPr>
          <w:rFonts w:ascii="Times New Roman" w:hAnsi="Times New Roman"/>
          <w:b/>
          <w:noProof/>
          <w:sz w:val="24"/>
          <w:szCs w:val="24"/>
        </w:rPr>
        <w:t>inte sänder underrättelser om nya fällande domar överhuvud</w:t>
      </w:r>
      <w:r>
        <w:rPr>
          <w:rFonts w:ascii="Times New Roman" w:hAnsi="Times New Roman"/>
          <w:b/>
          <w:noProof/>
          <w:sz w:val="24"/>
          <w:szCs w:val="24"/>
        </w:rPr>
        <w:softHyphen/>
        <w:t xml:space="preserve">taget eller endast sänder </w:t>
      </w:r>
      <w:r>
        <w:rPr>
          <w:rFonts w:ascii="Times New Roman" w:hAnsi="Times New Roman"/>
          <w:b/>
          <w:bCs/>
          <w:noProof/>
          <w:sz w:val="24"/>
          <w:szCs w:val="24"/>
        </w:rPr>
        <w:t>en låg volym</w:t>
      </w:r>
      <w:r>
        <w:rPr>
          <w:rFonts w:ascii="Times New Roman" w:hAnsi="Times New Roman"/>
          <w:noProof/>
          <w:sz w:val="24"/>
          <w:szCs w:val="24"/>
        </w:rPr>
        <w:t xml:space="preserve"> och ii) att flera av medlemsstaterna </w:t>
      </w:r>
      <w:r>
        <w:rPr>
          <w:rFonts w:ascii="Times New Roman" w:hAnsi="Times New Roman"/>
          <w:b/>
          <w:noProof/>
          <w:sz w:val="24"/>
          <w:szCs w:val="24"/>
        </w:rPr>
        <w:t>inte sänder uppdateringar</w:t>
      </w:r>
      <w:r>
        <w:rPr>
          <w:rFonts w:ascii="Times New Roman" w:hAnsi="Times New Roman"/>
          <w:noProof/>
          <w:sz w:val="24"/>
          <w:szCs w:val="24"/>
        </w:rPr>
        <w:t xml:space="preserve"> av deras tidigare sända underrättelser </w:t>
      </w:r>
      <w:r>
        <w:rPr>
          <w:rFonts w:ascii="Times New Roman" w:hAnsi="Times New Roman"/>
          <w:b/>
          <w:bCs/>
          <w:noProof/>
          <w:sz w:val="24"/>
          <w:szCs w:val="24"/>
        </w:rPr>
        <w:t>överhuvudtaget eller sänder en låg volym</w:t>
      </w:r>
      <w:r>
        <w:rPr>
          <w:rFonts w:ascii="Times New Roman" w:hAnsi="Times New Roman"/>
          <w:noProof/>
          <w:sz w:val="24"/>
          <w:szCs w:val="24"/>
        </w:rPr>
        <w:t>. Dessa två problem konstaterades även vid den detaljerade analysen av de statistiska uppgifterna för 2017–2019. Denna gång är problemen emellertid ännu mer framträdande, eftersom de berör flera av medlemsstaterna.</w:t>
      </w:r>
    </w:p>
    <w:p>
      <w:pPr>
        <w:jc w:val="both"/>
        <w:rPr>
          <w:rFonts w:ascii="Times New Roman" w:hAnsi="Times New Roman" w:cs="Times New Roman"/>
          <w:noProof/>
          <w:sz w:val="24"/>
          <w:szCs w:val="24"/>
        </w:rPr>
      </w:pPr>
      <w:r>
        <w:rPr>
          <w:rFonts w:ascii="Times New Roman" w:hAnsi="Times New Roman"/>
          <w:noProof/>
          <w:sz w:val="24"/>
          <w:szCs w:val="24"/>
        </w:rPr>
        <w:t xml:space="preserve">För det första sänder många medlemsstater </w:t>
      </w:r>
      <w:r>
        <w:rPr>
          <w:rFonts w:ascii="Times New Roman" w:hAnsi="Times New Roman"/>
          <w:b/>
          <w:noProof/>
          <w:sz w:val="24"/>
          <w:szCs w:val="24"/>
        </w:rPr>
        <w:t>inga underrättelser alls om nya fällande domar</w:t>
      </w:r>
      <w:r>
        <w:rPr>
          <w:rFonts w:ascii="Times New Roman" w:hAnsi="Times New Roman"/>
          <w:noProof/>
          <w:sz w:val="24"/>
          <w:szCs w:val="24"/>
        </w:rPr>
        <w:t xml:space="preserve"> (PT 2019 och 2018, MT 2019 och 2017, EE 2018, EL 2017) eller </w:t>
      </w:r>
      <w:r>
        <w:rPr>
          <w:rFonts w:ascii="Times New Roman" w:hAnsi="Times New Roman"/>
          <w:b/>
          <w:noProof/>
          <w:sz w:val="24"/>
          <w:szCs w:val="24"/>
        </w:rPr>
        <w:t>endast en låg volym</w:t>
      </w:r>
      <w:r>
        <w:rPr>
          <w:rFonts w:ascii="Times New Roman" w:hAnsi="Times New Roman"/>
          <w:noProof/>
          <w:sz w:val="24"/>
          <w:szCs w:val="24"/>
        </w:rPr>
        <w:t xml:space="preserve"> underrättelser i förhållande till hur många medborgare från andra EU-medlemsstater som ingår i deras befolkning (BG, EE, IE, LT, LU, NL, RO 2019; BG, IE, LU, LT, RO, SI, SE, MT, EL, UK 2018; BG, EE, IE, LT, LU, RO, SI, SE, PT, UK 2017). </w:t>
      </w:r>
      <w:r>
        <w:rPr>
          <w:rFonts w:ascii="Times New Roman" w:hAnsi="Times New Roman"/>
          <w:b/>
          <w:noProof/>
          <w:sz w:val="24"/>
          <w:szCs w:val="24"/>
        </w:rPr>
        <w:t>Som en följd av detta registrerades dessa icke anmälda fällande domar inte i den medlemsstat där den berörda personen var medborgare.</w:t>
      </w:r>
    </w:p>
    <w:p>
      <w:pPr>
        <w:jc w:val="both"/>
        <w:rPr>
          <w:rFonts w:ascii="Times New Roman" w:hAnsi="Times New Roman" w:cs="Times New Roman"/>
          <w:noProof/>
          <w:sz w:val="24"/>
          <w:szCs w:val="24"/>
        </w:rPr>
      </w:pPr>
      <w:r>
        <w:rPr>
          <w:rFonts w:ascii="Times New Roman" w:hAnsi="Times New Roman"/>
          <w:noProof/>
          <w:sz w:val="24"/>
          <w:szCs w:val="24"/>
        </w:rPr>
        <w:t xml:space="preserve">För det andra sänder många medlemsstater </w:t>
      </w:r>
      <w:r>
        <w:rPr>
          <w:rFonts w:ascii="Times New Roman" w:hAnsi="Times New Roman"/>
          <w:b/>
          <w:noProof/>
          <w:sz w:val="24"/>
          <w:szCs w:val="24"/>
        </w:rPr>
        <w:t>inte några uppdateringar</w:t>
      </w:r>
      <w:r>
        <w:rPr>
          <w:rFonts w:ascii="Times New Roman" w:hAnsi="Times New Roman"/>
          <w:noProof/>
          <w:sz w:val="24"/>
          <w:szCs w:val="24"/>
        </w:rPr>
        <w:t xml:space="preserve"> av tidigare avsända underrättelser </w:t>
      </w:r>
      <w:r>
        <w:rPr>
          <w:rFonts w:ascii="Times New Roman" w:hAnsi="Times New Roman"/>
          <w:b/>
          <w:noProof/>
          <w:sz w:val="24"/>
          <w:szCs w:val="24"/>
        </w:rPr>
        <w:t>överhuvudtaget</w:t>
      </w:r>
      <w:r>
        <w:rPr>
          <w:rFonts w:ascii="Times New Roman" w:hAnsi="Times New Roman"/>
          <w:noProof/>
          <w:sz w:val="24"/>
          <w:szCs w:val="24"/>
        </w:rPr>
        <w:t xml:space="preserve"> (BG, EE, EL, LV, LU, MT, PT, SI 2019; BG, DK, EL, SI, PT, MT, LV, LU, IE, EE 2018; DK, EE, EL, LV, LU, BG 2017) eller </w:t>
      </w:r>
      <w:r>
        <w:rPr>
          <w:rFonts w:ascii="Times New Roman" w:hAnsi="Times New Roman"/>
          <w:b/>
          <w:noProof/>
          <w:sz w:val="24"/>
          <w:szCs w:val="24"/>
        </w:rPr>
        <w:t>endast en låg volym</w:t>
      </w:r>
      <w:r>
        <w:rPr>
          <w:rFonts w:ascii="Times New Roman" w:hAnsi="Times New Roman"/>
          <w:noProof/>
          <w:sz w:val="24"/>
          <w:szCs w:val="24"/>
        </w:rPr>
        <w:t xml:space="preserve"> sådana meddelanden (IE, RO, CY 2019; RO, CY 2018; SI, RO, PT, MT, IE, HR, CY 2017). Om den dömande medlemsstaten underlåter att sända uppdateringar innebär detta att </w:t>
      </w:r>
      <w:r>
        <w:rPr>
          <w:rFonts w:ascii="Times New Roman" w:hAnsi="Times New Roman"/>
          <w:b/>
          <w:bCs/>
          <w:noProof/>
          <w:sz w:val="24"/>
          <w:szCs w:val="24"/>
        </w:rPr>
        <w:t>den medlemsstat som den berörda personen är medborgare i förfogar över inaktuella och otillförlitliga uppgifter</w:t>
      </w:r>
      <w:r>
        <w:rPr>
          <w:rFonts w:ascii="Times New Roman" w:hAnsi="Times New Roman"/>
          <w:noProof/>
          <w:sz w:val="24"/>
          <w:szCs w:val="24"/>
        </w:rPr>
        <w:t>, och att dessa uppgifter sedan sprids</w:t>
      </w:r>
      <w:r>
        <w:rPr>
          <w:rStyle w:val="FootnoteReference"/>
          <w:rFonts w:ascii="Times New Roman" w:hAnsi="Times New Roman" w:cs="Times New Roman"/>
          <w:noProof/>
          <w:sz w:val="24"/>
          <w:szCs w:val="24"/>
        </w:rPr>
        <w:footnoteReference w:id="16"/>
      </w:r>
      <w:r>
        <w:rPr>
          <w:noProof/>
        </w:rPr>
        <w:t>.</w:t>
      </w:r>
    </w:p>
    <w:bookmarkEnd w:id="18"/>
    <w:bookmarkEnd w:id="20"/>
    <w:p>
      <w:pPr>
        <w:spacing w:after="0"/>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t>2.5 Ansökningar om uppgifter</w:t>
      </w:r>
    </w:p>
    <w:p>
      <w:pPr>
        <w:jc w:val="both"/>
        <w:rPr>
          <w:rFonts w:ascii="Times New Roman" w:hAnsi="Times New Roman" w:cs="Times New Roman"/>
          <w:noProof/>
          <w:sz w:val="24"/>
          <w:szCs w:val="24"/>
        </w:rPr>
      </w:pPr>
      <w:r>
        <w:rPr>
          <w:rFonts w:ascii="Times New Roman" w:hAnsi="Times New Roman"/>
          <w:noProof/>
          <w:sz w:val="24"/>
          <w:szCs w:val="24"/>
        </w:rPr>
        <w:t>I diagrammet nedan jämförs volymen ansökningar om uppgifter som sändes av alla sammanlänkade medlemsstater 2019 med antalet svar på dessa ansökningar</w:t>
      </w:r>
      <w:r>
        <w:rPr>
          <w:rStyle w:val="FootnoteReference"/>
          <w:rFonts w:ascii="Times New Roman" w:hAnsi="Times New Roman" w:cs="Times New Roman"/>
          <w:noProof/>
          <w:sz w:val="24"/>
          <w:szCs w:val="24"/>
        </w:rPr>
        <w:footnoteReference w:id="17"/>
      </w:r>
      <w:r>
        <w:rPr>
          <w:noProof/>
        </w:rPr>
        <w:t>.</w:t>
      </w:r>
    </w:p>
    <w:p>
      <w:pPr>
        <w:jc w:val="both"/>
        <w:rPr>
          <w:rFonts w:ascii="Times New Roman" w:hAnsi="Times New Roman"/>
          <w:noProof/>
          <w:sz w:val="24"/>
          <w:szCs w:val="24"/>
        </w:rPr>
      </w:pPr>
      <w:bookmarkStart w:id="21" w:name="_Hlk481003611"/>
      <w:r>
        <w:rPr>
          <w:noProof/>
          <w:lang w:val="en-GB"/>
        </w:rPr>
        <w:drawing>
          <wp:inline distT="0" distB="0" distL="0" distR="0">
            <wp:extent cx="5735781" cy="2932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3">
                      <a:extLst>
                        <a:ext uri="{28A0092B-C50C-407E-A947-70E740481C1C}">
                          <a14:useLocalDpi xmlns:a14="http://schemas.microsoft.com/office/drawing/2010/main" val="0"/>
                        </a:ext>
                      </a:extLst>
                    </a:blip>
                    <a:srcRect r="8456"/>
                    <a:stretch/>
                  </pic:blipFill>
                  <pic:spPr bwMode="auto">
                    <a:xfrm>
                      <a:off x="0" y="0"/>
                      <a:ext cx="5738387" cy="2933629"/>
                    </a:xfrm>
                    <a:prstGeom prst="rect">
                      <a:avLst/>
                    </a:prstGeom>
                    <a:noFill/>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 xml:space="preserve">Som visas ovan i avsnitt 2.2 har det generella </w:t>
      </w:r>
      <w:r>
        <w:rPr>
          <w:rFonts w:ascii="Times New Roman" w:hAnsi="Times New Roman"/>
          <w:b/>
          <w:noProof/>
          <w:sz w:val="24"/>
          <w:szCs w:val="24"/>
        </w:rPr>
        <w:t>antalet ansökningar om uppgifter tredubblats sedan 2017</w:t>
      </w:r>
      <w:r>
        <w:rPr>
          <w:rFonts w:ascii="Times New Roman" w:hAnsi="Times New Roman"/>
          <w:noProof/>
          <w:sz w:val="24"/>
          <w:szCs w:val="24"/>
        </w:rPr>
        <w:t xml:space="preserve"> – och stigit till </w:t>
      </w:r>
      <w:r>
        <w:rPr>
          <w:rFonts w:ascii="Times New Roman" w:hAnsi="Times New Roman"/>
          <w:b/>
          <w:noProof/>
          <w:sz w:val="24"/>
          <w:szCs w:val="24"/>
        </w:rPr>
        <w:t>1 miljon</w:t>
      </w:r>
      <w:r>
        <w:rPr>
          <w:rFonts w:ascii="Times New Roman" w:hAnsi="Times New Roman"/>
          <w:noProof/>
          <w:sz w:val="24"/>
          <w:szCs w:val="24"/>
        </w:rPr>
        <w:t xml:space="preserve"> under 2019. </w:t>
      </w:r>
    </w:p>
    <w:p>
      <w:pPr>
        <w:jc w:val="both"/>
        <w:rPr>
          <w:rFonts w:ascii="Times New Roman" w:hAnsi="Times New Roman" w:cs="Times New Roman"/>
          <w:noProof/>
          <w:sz w:val="24"/>
          <w:szCs w:val="24"/>
        </w:rPr>
      </w:pPr>
      <w:r>
        <w:rPr>
          <w:rFonts w:ascii="Times New Roman" w:hAnsi="Times New Roman"/>
          <w:b/>
          <w:noProof/>
          <w:sz w:val="24"/>
          <w:szCs w:val="24"/>
        </w:rPr>
        <w:t>Volymen ansökningar varierar avsevärt mellan medlemsstaterna</w:t>
      </w:r>
      <w:r>
        <w:rPr>
          <w:rFonts w:ascii="Times New Roman" w:hAnsi="Times New Roman"/>
          <w:noProof/>
          <w:sz w:val="24"/>
          <w:szCs w:val="24"/>
        </w:rPr>
        <w:t>, från 745 000 (DE) till sex ansökningar (EL) per år. Ökningen av det totala antalet ansökningar beror främst på DE, som har mer än femdubblat antalet ansökningar. ES, LT, NL och PL har fördubblat sina antal. Den viktigaste faktorn att beakta i analysen av det varierande antalet ansökningar i medlemsstaterna är antalet medborgare från andra medlemsstater som är bosatta i en viss medlemsstat.</w:t>
      </w:r>
    </w:p>
    <w:p>
      <w:pPr>
        <w:jc w:val="both"/>
        <w:rPr>
          <w:rFonts w:ascii="Times New Roman" w:hAnsi="Times New Roman" w:cs="Times New Roman"/>
          <w:noProof/>
          <w:sz w:val="24"/>
          <w:szCs w:val="24"/>
        </w:rPr>
      </w:pPr>
      <w:r>
        <w:rPr>
          <w:rFonts w:ascii="Times New Roman" w:hAnsi="Times New Roman"/>
          <w:noProof/>
          <w:sz w:val="24"/>
          <w:szCs w:val="24"/>
        </w:rPr>
        <w:t xml:space="preserve">I likhet med föregående år var följande medlemsstater de </w:t>
      </w:r>
      <w:r>
        <w:rPr>
          <w:rFonts w:ascii="Times New Roman" w:hAnsi="Times New Roman"/>
          <w:b/>
          <w:noProof/>
          <w:sz w:val="24"/>
          <w:szCs w:val="24"/>
        </w:rPr>
        <w:t>mest aktiva</w:t>
      </w:r>
      <w:r>
        <w:rPr>
          <w:rFonts w:ascii="Times New Roman" w:hAnsi="Times New Roman"/>
          <w:noProof/>
          <w:sz w:val="24"/>
          <w:szCs w:val="24"/>
        </w:rPr>
        <w:t xml:space="preserve"> i fråga o </w:t>
      </w:r>
      <w:r>
        <w:rPr>
          <w:rFonts w:ascii="Times New Roman" w:hAnsi="Times New Roman"/>
          <w:b/>
          <w:noProof/>
          <w:sz w:val="24"/>
          <w:szCs w:val="24"/>
        </w:rPr>
        <w:t>ansökningar.</w:t>
      </w:r>
    </w:p>
    <w:p>
      <w:pPr>
        <w:jc w:val="center"/>
        <w:rPr>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GB"/>
        </w:rPr>
        <w:drawing>
          <wp:inline distT="0" distB="0" distL="0" distR="0">
            <wp:extent cx="3764478" cy="152004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4">
                      <a:extLst>
                        <a:ext uri="{28A0092B-C50C-407E-A947-70E740481C1C}">
                          <a14:useLocalDpi xmlns:a14="http://schemas.microsoft.com/office/drawing/2010/main" val="0"/>
                        </a:ext>
                      </a:extLst>
                    </a:blip>
                    <a:srcRect r="1244" b="19510"/>
                    <a:stretch/>
                  </pic:blipFill>
                  <pic:spPr bwMode="auto">
                    <a:xfrm>
                      <a:off x="0" y="0"/>
                      <a:ext cx="3764478" cy="1520041"/>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Trots den stora ökningen av antalet ansökningar generellt sett kvarstår det problem som noterades redan i den första statistiska rapporten, nämligen att vissa medlemsstater</w:t>
      </w:r>
      <w:r>
        <w:rPr>
          <w:rFonts w:ascii="Times New Roman" w:hAnsi="Times New Roman"/>
          <w:b/>
          <w:noProof/>
          <w:sz w:val="24"/>
          <w:szCs w:val="24"/>
        </w:rPr>
        <w:t xml:space="preserve"> nästan inte sänder några ansökningar alls</w:t>
      </w:r>
      <w:r>
        <w:rPr>
          <w:rFonts w:ascii="Times New Roman" w:hAnsi="Times New Roman"/>
          <w:noProof/>
          <w:sz w:val="24"/>
          <w:szCs w:val="24"/>
        </w:rPr>
        <w:t xml:space="preserve"> (EL, CY, MT) eller</w:t>
      </w:r>
      <w:r>
        <w:rPr>
          <w:rFonts w:ascii="Times New Roman" w:hAnsi="Times New Roman"/>
          <w:b/>
          <w:noProof/>
          <w:sz w:val="24"/>
          <w:szCs w:val="24"/>
        </w:rPr>
        <w:t xml:space="preserve"> sänder mycket få</w:t>
      </w:r>
      <w:r>
        <w:rPr>
          <w:rFonts w:ascii="Times New Roman" w:hAnsi="Times New Roman"/>
          <w:noProof/>
          <w:sz w:val="24"/>
          <w:szCs w:val="24"/>
        </w:rPr>
        <w:t xml:space="preserve"> ansökningar i förhållande till antalet medborgare från andra EU-medlemsstater (BG, EE, HU, IT, LV, RO, SI 2017–2019). Detta kan leda till en situation där brottmålsdomstolarna kan utdöma fällande domar utan kunskap om domar som avkunnats i andra medlemsstater, vilket strider mot kraven i rambeslut 2008/675/RIF. Dessutom minskar den förebyggande effekten av att begära utdrag ur kriminalregistret för andra ändamål än brottmålsförfaranden, t.ex. kontroller före anställning.</w:t>
      </w:r>
    </w:p>
    <w:p>
      <w:pPr>
        <w:jc w:val="both"/>
        <w:rPr>
          <w:rFonts w:ascii="Times New Roman" w:hAnsi="Times New Roman" w:cs="Times New Roman"/>
          <w:noProof/>
          <w:sz w:val="24"/>
          <w:szCs w:val="24"/>
        </w:rPr>
      </w:pPr>
      <w:r>
        <w:rPr>
          <w:rFonts w:ascii="Times New Roman" w:hAnsi="Times New Roman"/>
          <w:noProof/>
          <w:sz w:val="24"/>
          <w:szCs w:val="24"/>
        </w:rPr>
        <w:t xml:space="preserve">Av ovanstående uppgifter går det även att dra slutsatsen att </w:t>
      </w:r>
      <w:r>
        <w:rPr>
          <w:rFonts w:ascii="Times New Roman" w:hAnsi="Times New Roman"/>
          <w:b/>
          <w:noProof/>
          <w:sz w:val="24"/>
          <w:szCs w:val="24"/>
        </w:rPr>
        <w:t>alla ansökningar om uppgifter inte besvaras</w:t>
      </w:r>
      <w:r>
        <w:rPr>
          <w:rFonts w:ascii="Times New Roman" w:hAnsi="Times New Roman"/>
          <w:bCs/>
          <w:noProof/>
          <w:sz w:val="24"/>
          <w:szCs w:val="24"/>
        </w:rPr>
        <w:t xml:space="preserve"> (se även avsnitt 2.6.). </w:t>
      </w:r>
      <w:r>
        <w:rPr>
          <w:rFonts w:ascii="Times New Roman" w:hAnsi="Times New Roman"/>
          <w:noProof/>
          <w:sz w:val="24"/>
          <w:szCs w:val="24"/>
        </w:rPr>
        <w:t>När det gäller de medlemsstater som oftast gör ansökningar besvarades inte 5,6 % av ansökningarna från DE (41 662) och 2,5 % av ansökningarna från AT (945) under 2019. För UK och CZ var antalet mottagna svar under det året högre än antalet ansökningar.</w:t>
      </w:r>
    </w:p>
    <w:bookmarkEnd w:id="21"/>
    <w:p>
      <w:pPr>
        <w:jc w:val="both"/>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t>2.6 Svar på ansökningar</w:t>
      </w:r>
    </w:p>
    <w:p>
      <w:pPr>
        <w:jc w:val="both"/>
        <w:rPr>
          <w:rFonts w:ascii="Times New Roman" w:hAnsi="Times New Roman" w:cs="Times New Roman"/>
          <w:noProof/>
          <w:sz w:val="24"/>
          <w:szCs w:val="24"/>
        </w:rPr>
      </w:pPr>
      <w:r>
        <w:rPr>
          <w:rFonts w:ascii="Times New Roman" w:hAnsi="Times New Roman"/>
          <w:noProof/>
          <w:sz w:val="24"/>
          <w:szCs w:val="24"/>
        </w:rPr>
        <w:t>I diagrammet nedan jämförs antalet svar som sändes av alla sammanlänkade medlemsstater 2019 med volymen motsvarande mottagna ansökningar om uppgifter</w:t>
      </w:r>
      <w:r>
        <w:rPr>
          <w:rStyle w:val="FootnoteReference"/>
          <w:rFonts w:ascii="Times New Roman" w:hAnsi="Times New Roman" w:cs="Times New Roman"/>
          <w:noProof/>
          <w:sz w:val="24"/>
          <w:szCs w:val="24"/>
        </w:rPr>
        <w:footnoteReference w:id="18"/>
      </w:r>
      <w:r>
        <w:rPr>
          <w:noProof/>
        </w:rPr>
        <w:t>.</w:t>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noProof/>
          <w:lang w:val="en-GB"/>
        </w:rPr>
        <w:drawing>
          <wp:inline distT="0" distB="0" distL="0" distR="0">
            <wp:extent cx="5760085" cy="34700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470088"/>
                    </a:xfrm>
                    <a:prstGeom prst="rect">
                      <a:avLst/>
                    </a:prstGeom>
                    <a:noFill/>
                    <a:ln>
                      <a:noFill/>
                    </a:ln>
                  </pic:spPr>
                </pic:pic>
              </a:graphicData>
            </a:graphic>
          </wp:inline>
        </w:drawing>
      </w:r>
    </w:p>
    <w:p>
      <w:pPr>
        <w:jc w:val="both"/>
        <w:rPr>
          <w:rFonts w:ascii="Times New Roman" w:hAnsi="Times New Roman" w:cs="Times New Roman"/>
          <w:noProof/>
          <w:sz w:val="24"/>
          <w:szCs w:val="24"/>
        </w:rPr>
      </w:pPr>
      <w:bookmarkStart w:id="22" w:name="_Hlk481164813"/>
      <w:r>
        <w:rPr>
          <w:rFonts w:ascii="Times New Roman" w:hAnsi="Times New Roman"/>
          <w:b/>
          <w:noProof/>
          <w:sz w:val="24"/>
          <w:szCs w:val="24"/>
        </w:rPr>
        <w:t>Volymen mottagna ansökningar</w:t>
      </w:r>
      <w:r>
        <w:rPr>
          <w:rFonts w:ascii="Times New Roman" w:hAnsi="Times New Roman"/>
          <w:noProof/>
          <w:sz w:val="24"/>
          <w:szCs w:val="24"/>
        </w:rPr>
        <w:t xml:space="preserve"> och motsvarande </w:t>
      </w:r>
      <w:r>
        <w:rPr>
          <w:rFonts w:ascii="Times New Roman" w:hAnsi="Times New Roman"/>
          <w:b/>
          <w:noProof/>
          <w:sz w:val="24"/>
          <w:szCs w:val="24"/>
        </w:rPr>
        <w:t>avsända svar varierar betydligt mellan medlemsstaterna</w:t>
      </w:r>
      <w:r>
        <w:rPr>
          <w:rFonts w:ascii="Times New Roman" w:hAnsi="Times New Roman"/>
          <w:noProof/>
          <w:sz w:val="24"/>
          <w:szCs w:val="24"/>
        </w:rPr>
        <w:t>, från 179 000 (PL) till 646 ansökningar (MT) per år. Det finns två viktiga faktorer som måste beaktas i analysen av dessa variationer: total befolkning per medlemsstat och antalet medborgare från respektive medlemsstat som är bosatta i andra medlemsstater.</w:t>
      </w:r>
    </w:p>
    <w:p>
      <w:pPr>
        <w:jc w:val="both"/>
        <w:rPr>
          <w:rFonts w:ascii="Times New Roman" w:hAnsi="Times New Roman" w:cs="Times New Roman"/>
          <w:noProof/>
          <w:sz w:val="24"/>
          <w:szCs w:val="24"/>
        </w:rPr>
      </w:pPr>
      <w:r>
        <w:rPr>
          <w:rFonts w:ascii="Times New Roman" w:hAnsi="Times New Roman"/>
          <w:noProof/>
          <w:sz w:val="24"/>
          <w:szCs w:val="24"/>
        </w:rPr>
        <w:t xml:space="preserve">De medlemsstater som </w:t>
      </w:r>
      <w:r>
        <w:rPr>
          <w:rFonts w:ascii="Times New Roman" w:hAnsi="Times New Roman"/>
          <w:b/>
          <w:noProof/>
          <w:sz w:val="24"/>
          <w:szCs w:val="24"/>
        </w:rPr>
        <w:t>besvarade flest ansökningar</w:t>
      </w:r>
      <w:r>
        <w:rPr>
          <w:rFonts w:ascii="Times New Roman" w:hAnsi="Times New Roman"/>
          <w:noProof/>
          <w:sz w:val="24"/>
          <w:szCs w:val="24"/>
        </w:rPr>
        <w:t xml:space="preserve"> i absoluta termer (inte nödvändigtvis flest i förhållande till antalet mottagna ansökningar) var följande:</w:t>
      </w:r>
    </w:p>
    <w:p>
      <w:pPr>
        <w:jc w:val="center"/>
        <w:rPr>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GB"/>
        </w:rPr>
        <w:drawing>
          <wp:inline distT="0" distB="0" distL="0" distR="0">
            <wp:extent cx="3776345" cy="16387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6">
                      <a:extLst>
                        <a:ext uri="{28A0092B-C50C-407E-A947-70E740481C1C}">
                          <a14:useLocalDpi xmlns:a14="http://schemas.microsoft.com/office/drawing/2010/main" val="0"/>
                        </a:ext>
                      </a:extLst>
                    </a:blip>
                    <a:srcRect b="17362"/>
                    <a:stretch/>
                  </pic:blipFill>
                  <pic:spPr bwMode="auto">
                    <a:xfrm>
                      <a:off x="0" y="0"/>
                      <a:ext cx="3776345" cy="1638795"/>
                    </a:xfrm>
                    <a:prstGeom prst="rect">
                      <a:avLst/>
                    </a:prstGeom>
                    <a:noFill/>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bCs/>
          <w:noProof/>
          <w:sz w:val="24"/>
          <w:szCs w:val="24"/>
        </w:rPr>
      </w:pPr>
      <w:r>
        <w:rPr>
          <w:rFonts w:ascii="Times New Roman" w:hAnsi="Times New Roman"/>
          <w:noProof/>
          <w:sz w:val="24"/>
          <w:szCs w:val="24"/>
        </w:rPr>
        <w:t xml:space="preserve">Alla medlemsstater besvarar i allmänhet de mottagna ansökningarna, men under 2019 </w:t>
      </w:r>
      <w:r>
        <w:rPr>
          <w:rFonts w:ascii="Times New Roman" w:hAnsi="Times New Roman"/>
          <w:b/>
          <w:noProof/>
          <w:sz w:val="24"/>
          <w:szCs w:val="24"/>
        </w:rPr>
        <w:t>förblev fler än 42 000 ansökningar om uppgifter obesvarade</w:t>
      </w:r>
      <w:r>
        <w:rPr>
          <w:rFonts w:ascii="Times New Roman" w:hAnsi="Times New Roman"/>
          <w:noProof/>
          <w:sz w:val="24"/>
          <w:szCs w:val="24"/>
        </w:rPr>
        <w:t xml:space="preserve">. I de flesta fall var antalet avsända svar något lägre än antalet mottagna ansökningar om uppgifter, med i genomsnitt </w:t>
      </w:r>
      <w:r>
        <w:rPr>
          <w:rFonts w:ascii="Times New Roman" w:hAnsi="Times New Roman"/>
          <w:b/>
          <w:noProof/>
          <w:sz w:val="24"/>
          <w:szCs w:val="24"/>
        </w:rPr>
        <w:t>omkring 4,1 % jämfört med 3,6 % år 2016.</w:t>
      </w:r>
    </w:p>
    <w:p>
      <w:pPr>
        <w:jc w:val="both"/>
        <w:rPr>
          <w:rFonts w:ascii="Times New Roman" w:hAnsi="Times New Roman" w:cs="Times New Roman"/>
          <w:noProof/>
          <w:sz w:val="24"/>
          <w:szCs w:val="24"/>
        </w:rPr>
      </w:pPr>
      <w:r>
        <w:rPr>
          <w:rFonts w:ascii="Times New Roman" w:hAnsi="Times New Roman"/>
          <w:noProof/>
          <w:sz w:val="24"/>
          <w:szCs w:val="24"/>
        </w:rPr>
        <w:t xml:space="preserve">Bland de medlemsstater som tog emot flest ansökningar 2019 lämnade BG 53 % av de mottagna ansökningarna (30 975) obesvarade. Motsvarande siffror var 38 % (19 564) för EL, 8,9 % (9 720) för IT och 1,3 % (2 347) för RO. För PL och HR var antalet svar som sändes 2019 högre än antalet ansökningar som togs emot, vilket kan ha berott på en eftersläpning från föregående år. </w:t>
      </w:r>
      <w:bookmarkStart w:id="23" w:name="_Hlk481154445"/>
    </w:p>
    <w:p>
      <w:pPr>
        <w:jc w:val="both"/>
        <w:rPr>
          <w:rFonts w:ascii="Times New Roman" w:hAnsi="Times New Roman" w:cs="Times New Roman"/>
          <w:noProof/>
          <w:sz w:val="24"/>
          <w:szCs w:val="24"/>
        </w:rPr>
      </w:pPr>
      <w:bookmarkStart w:id="24" w:name="_Hlk481154348"/>
      <w:r>
        <w:rPr>
          <w:rFonts w:ascii="Times New Roman" w:hAnsi="Times New Roman"/>
          <w:noProof/>
          <w:sz w:val="24"/>
          <w:szCs w:val="24"/>
        </w:rPr>
        <w:t xml:space="preserve">De </w:t>
      </w:r>
      <w:r>
        <w:rPr>
          <w:rFonts w:ascii="Times New Roman" w:hAnsi="Times New Roman"/>
          <w:b/>
          <w:bCs/>
          <w:noProof/>
          <w:sz w:val="24"/>
          <w:szCs w:val="24"/>
        </w:rPr>
        <w:t>medlemsstater som hade den högsta procentandelen obesvarade ansökningar</w:t>
      </w:r>
      <w:r>
        <w:rPr>
          <w:rFonts w:ascii="Times New Roman" w:hAnsi="Times New Roman"/>
          <w:noProof/>
          <w:sz w:val="24"/>
          <w:szCs w:val="24"/>
        </w:rPr>
        <w:t xml:space="preserve"> 2019 var MT (82 % av antalet mottagna ansökningar), CY (65 %), BG (53 %) och EL (38 %). En detaljerad analys av de enskilda medlemsstaternas statistik över svar på ansökningar finns i arbetsdokumentet, avsnitt 3. </w:t>
      </w:r>
    </w:p>
    <w:p>
      <w:pPr>
        <w:jc w:val="both"/>
        <w:rPr>
          <w:rFonts w:ascii="Times New Roman" w:hAnsi="Times New Roman" w:cs="Times New Roman"/>
          <w:noProof/>
          <w:sz w:val="24"/>
          <w:szCs w:val="24"/>
        </w:rPr>
      </w:pPr>
      <w:r>
        <w:rPr>
          <w:rFonts w:ascii="Times New Roman" w:hAnsi="Times New Roman"/>
          <w:noProof/>
          <w:sz w:val="24"/>
          <w:szCs w:val="24"/>
        </w:rPr>
        <w:t>Konsekvenserna av att bryta mot skyldigheten att svara på ansökningar om uppgifter kan bli tragiska, vilket påpekas i de föregående punkterna.</w:t>
      </w:r>
    </w:p>
    <w:bookmarkEnd w:id="22"/>
    <w:bookmarkEnd w:id="23"/>
    <w:bookmarkEnd w:id="24"/>
    <w:p>
      <w:pPr>
        <w:jc w:val="both"/>
        <w:rPr>
          <w:rFonts w:ascii="Times New Roman" w:hAnsi="Times New Roman" w:cs="Times New Roman"/>
          <w:noProof/>
          <w:sz w:val="24"/>
          <w:szCs w:val="24"/>
        </w:rPr>
      </w:pPr>
    </w:p>
    <w:p>
      <w:pPr>
        <w:jc w:val="both"/>
        <w:rPr>
          <w:rFonts w:ascii="Times New Roman" w:hAnsi="Times New Roman" w:cs="Times New Roman"/>
          <w:b/>
          <w:noProof/>
          <w:sz w:val="24"/>
          <w:szCs w:val="24"/>
        </w:rPr>
      </w:pPr>
      <w:r>
        <w:rPr>
          <w:rFonts w:ascii="Times New Roman" w:hAnsi="Times New Roman"/>
          <w:b/>
          <w:noProof/>
          <w:sz w:val="24"/>
          <w:szCs w:val="24"/>
        </w:rPr>
        <w:t>2.7 Svar som inte inkommer inom de föreskrivna tidsfristerna</w:t>
      </w:r>
    </w:p>
    <w:p>
      <w:pPr>
        <w:jc w:val="both"/>
        <w:rPr>
          <w:rFonts w:ascii="Times New Roman" w:hAnsi="Times New Roman" w:cs="Times New Roman"/>
          <w:noProof/>
          <w:sz w:val="24"/>
          <w:szCs w:val="24"/>
        </w:rPr>
      </w:pPr>
      <w:r>
        <w:rPr>
          <w:rFonts w:ascii="Times New Roman" w:hAnsi="Times New Roman"/>
          <w:noProof/>
          <w:sz w:val="24"/>
          <w:szCs w:val="24"/>
        </w:rPr>
        <w:t>Ett annat problem är att en del ansökningar inte besvaras inom de föreskrivna tidsfristerna</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I diagrammet nedan ges en översikt över alla medlemsstater när det gäller volymen svar som inte lämnades inom de föreskrivna tidsfristerna under 2019, uppdelat i svar som skickades efter tidsfristen och ansökningar där tidsfristen för svar hade löpt ut</w:t>
      </w:r>
      <w:r>
        <w:rPr>
          <w:rStyle w:val="FootnoteReference"/>
          <w:rFonts w:ascii="Times New Roman" w:hAnsi="Times New Roman" w:cs="Times New Roman"/>
          <w:noProof/>
          <w:sz w:val="24"/>
          <w:szCs w:val="24"/>
        </w:rPr>
        <w:footnoteReference w:id="20"/>
      </w:r>
      <w:r>
        <w:rPr>
          <w:noProof/>
        </w:rPr>
        <w:t>.</w:t>
      </w:r>
      <w:r>
        <w:rPr>
          <w:rFonts w:ascii="Times New Roman" w:hAnsi="Times New Roman"/>
          <w:noProof/>
          <w:sz w:val="24"/>
          <w:szCs w:val="24"/>
        </w:rPr>
        <w:t xml:space="preserve"> </w:t>
      </w:r>
    </w:p>
    <w:p>
      <w:pPr>
        <w:jc w:val="both"/>
        <w:rPr>
          <w:rFonts w:ascii="Times New Roman" w:hAnsi="Times New Roman" w:cs="Times New Roman"/>
          <w:noProof/>
          <w:sz w:val="24"/>
          <w:szCs w:val="24"/>
        </w:rPr>
      </w:pPr>
    </w:p>
    <w:p>
      <w:pPr>
        <w:jc w:val="both"/>
        <w:rPr>
          <w:rFonts w:ascii="Times New Roman" w:hAnsi="Times New Roman"/>
          <w:noProof/>
          <w:sz w:val="24"/>
          <w:szCs w:val="24"/>
        </w:rPr>
      </w:pPr>
      <w:r>
        <w:rPr>
          <w:noProof/>
          <w:lang w:val="en-GB"/>
        </w:rPr>
        <w:drawing>
          <wp:inline distT="0" distB="0" distL="0" distR="0">
            <wp:extent cx="5760085" cy="3763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763151"/>
                    </a:xfrm>
                    <a:prstGeom prst="rect">
                      <a:avLst/>
                    </a:prstGeom>
                    <a:noFill/>
                    <a:ln>
                      <a:noFill/>
                    </a:ln>
                  </pic:spPr>
                </pic:pic>
              </a:graphicData>
            </a:graphic>
          </wp:inline>
        </w:drawing>
      </w:r>
    </w:p>
    <w:p>
      <w:pPr>
        <w:jc w:val="both"/>
        <w:rPr>
          <w:rFonts w:ascii="Times New Roman" w:hAnsi="Times New Roman" w:cs="Times New Roman"/>
          <w:b/>
          <w:bCs/>
          <w:noProof/>
          <w:sz w:val="24"/>
          <w:szCs w:val="24"/>
        </w:rPr>
      </w:pPr>
      <w:r>
        <w:rPr>
          <w:rFonts w:ascii="Times New Roman" w:hAnsi="Times New Roman"/>
          <w:noProof/>
          <w:sz w:val="24"/>
          <w:szCs w:val="24"/>
        </w:rPr>
        <w:t xml:space="preserve">Under 2019 </w:t>
      </w:r>
      <w:r>
        <w:rPr>
          <w:rFonts w:ascii="Times New Roman" w:hAnsi="Times New Roman"/>
          <w:b/>
          <w:bCs/>
          <w:noProof/>
          <w:sz w:val="24"/>
          <w:szCs w:val="24"/>
        </w:rPr>
        <w:t>besvarades 1</w:t>
      </w:r>
      <w:r>
        <w:rPr>
          <w:rFonts w:ascii="Times New Roman" w:hAnsi="Times New Roman"/>
          <w:b/>
          <w:noProof/>
          <w:sz w:val="24"/>
          <w:szCs w:val="24"/>
        </w:rPr>
        <w:t xml:space="preserve">90 000 ansökningar efter den föreskrivna tidsfristen, </w:t>
      </w:r>
      <w:r>
        <w:rPr>
          <w:rFonts w:ascii="Times New Roman" w:hAnsi="Times New Roman"/>
          <w:noProof/>
          <w:sz w:val="24"/>
          <w:szCs w:val="24"/>
        </w:rPr>
        <w:t xml:space="preserve">vilket motsvarar </w:t>
      </w:r>
      <w:r>
        <w:rPr>
          <w:rFonts w:ascii="Times New Roman" w:hAnsi="Times New Roman"/>
          <w:b/>
          <w:noProof/>
          <w:sz w:val="24"/>
          <w:szCs w:val="24"/>
        </w:rPr>
        <w:t>18,4 %</w:t>
      </w:r>
      <w:r>
        <w:rPr>
          <w:rFonts w:ascii="Times New Roman" w:hAnsi="Times New Roman"/>
          <w:noProof/>
          <w:sz w:val="24"/>
          <w:szCs w:val="24"/>
        </w:rPr>
        <w:t xml:space="preserve"> </w:t>
      </w:r>
      <w:r>
        <w:rPr>
          <w:rFonts w:ascii="Times New Roman" w:hAnsi="Times New Roman"/>
          <w:b/>
          <w:noProof/>
          <w:sz w:val="24"/>
          <w:szCs w:val="24"/>
        </w:rPr>
        <w:t>av det totala</w:t>
      </w:r>
      <w:r>
        <w:rPr>
          <w:rFonts w:ascii="Times New Roman" w:hAnsi="Times New Roman"/>
          <w:noProof/>
          <w:sz w:val="24"/>
          <w:szCs w:val="24"/>
        </w:rPr>
        <w:t xml:space="preserve"> antalet ansökningar. Dessutom registrerades</w:t>
      </w:r>
      <w:r>
        <w:rPr>
          <w:rFonts w:ascii="Times New Roman" w:hAnsi="Times New Roman"/>
          <w:bCs/>
          <w:noProof/>
          <w:sz w:val="24"/>
          <w:szCs w:val="24"/>
        </w:rPr>
        <w:t xml:space="preserve"> </w:t>
      </w:r>
      <w:r>
        <w:rPr>
          <w:rFonts w:ascii="Times New Roman" w:hAnsi="Times New Roman"/>
          <w:b/>
          <w:noProof/>
          <w:sz w:val="24"/>
          <w:szCs w:val="24"/>
        </w:rPr>
        <w:t>42 000 ansökningar där svarstidsfristen löpt ut</w:t>
      </w:r>
      <w:r>
        <w:rPr>
          <w:rFonts w:ascii="Times New Roman" w:hAnsi="Times New Roman"/>
          <w:bCs/>
          <w:noProof/>
          <w:sz w:val="24"/>
          <w:szCs w:val="24"/>
        </w:rPr>
        <w:t xml:space="preserve">. </w:t>
      </w:r>
      <w:r>
        <w:rPr>
          <w:rFonts w:ascii="Times New Roman" w:hAnsi="Times New Roman"/>
          <w:noProof/>
          <w:sz w:val="24"/>
          <w:szCs w:val="24"/>
        </w:rPr>
        <w:t xml:space="preserve">Dessa höga antal jämfört med referensuppgifterna för 2016 (13 800 (3,8%) respektive 13 000) visar på en </w:t>
      </w:r>
      <w:r>
        <w:rPr>
          <w:rFonts w:ascii="Times New Roman" w:hAnsi="Times New Roman"/>
          <w:b/>
          <w:bCs/>
          <w:noProof/>
          <w:sz w:val="24"/>
          <w:szCs w:val="24"/>
        </w:rPr>
        <w:t>oroväckande ökning av antalet svar som inte lämnas inom den föreskrivna tidsfristen.</w:t>
      </w:r>
    </w:p>
    <w:p>
      <w:pPr>
        <w:jc w:val="both"/>
        <w:rPr>
          <w:rFonts w:ascii="Times New Roman" w:hAnsi="Times New Roman" w:cs="Times New Roman"/>
          <w:noProof/>
          <w:sz w:val="24"/>
          <w:szCs w:val="24"/>
        </w:rPr>
      </w:pPr>
      <w:r>
        <w:rPr>
          <w:rFonts w:ascii="Times New Roman" w:hAnsi="Times New Roman"/>
          <w:b/>
          <w:bCs/>
          <w:noProof/>
          <w:sz w:val="24"/>
          <w:szCs w:val="24"/>
        </w:rPr>
        <w:t xml:space="preserve">Denna tendens gäller endast ett fåtal medlemsstater, </w:t>
      </w:r>
      <w:r>
        <w:rPr>
          <w:rFonts w:ascii="Times New Roman" w:hAnsi="Times New Roman"/>
          <w:noProof/>
          <w:sz w:val="24"/>
          <w:szCs w:val="24"/>
        </w:rPr>
        <w:t>i synnerhet de som har</w:t>
      </w:r>
      <w:r>
        <w:rPr>
          <w:rFonts w:ascii="Times New Roman" w:hAnsi="Times New Roman"/>
          <w:b/>
          <w:bCs/>
          <w:noProof/>
          <w:sz w:val="24"/>
          <w:szCs w:val="24"/>
        </w:rPr>
        <w:t xml:space="preserve"> tagit emot en mycket stor volym ansökningar om uppgifter, </w:t>
      </w:r>
      <w:r>
        <w:rPr>
          <w:rFonts w:ascii="Times New Roman" w:hAnsi="Times New Roman"/>
          <w:noProof/>
          <w:sz w:val="24"/>
          <w:szCs w:val="24"/>
        </w:rPr>
        <w:t>medan flertalet av medlemsstaterna ligger kvar på en nivå med mindre än 0,5 % försenade svar. De medlemsstater som hade störst problem med att hålla tidsfristerna under 2019 var PL med 55 % försenade svar (99 000), RO (30 %, 50 000), HR (43 %, 24 600), LV (47 %, 6 200), BE (18 %, 2 800) och BG (5 %, 3 300). Problemet med ansökningar där svarstidsfristen löpt ut, vilket antingen kan leda till att svaren försenas eller att ansökningarna inte besvaras, berörde 33 % av de ansökningar som togs emot av MT och CY, 13,5 % av de som togs emot av LV och 8 % av de som togs emot av PL.</w:t>
      </w:r>
    </w:p>
    <w:p>
      <w:pPr>
        <w:rPr>
          <w:rFonts w:ascii="Times New Roman" w:hAnsi="Times New Roman" w:cs="Times New Roman"/>
          <w:b/>
          <w:noProof/>
          <w:sz w:val="24"/>
          <w:szCs w:val="24"/>
        </w:rPr>
      </w:pPr>
      <w:bookmarkStart w:id="25" w:name="_Toc479267023"/>
    </w:p>
    <w:p>
      <w:pPr>
        <w:rPr>
          <w:rFonts w:ascii="Times New Roman" w:hAnsi="Times New Roman" w:cs="Times New Roman"/>
          <w:b/>
          <w:noProof/>
          <w:sz w:val="24"/>
          <w:szCs w:val="24"/>
        </w:rPr>
      </w:pPr>
      <w:r>
        <w:rPr>
          <w:rFonts w:ascii="Times New Roman" w:hAnsi="Times New Roman"/>
          <w:b/>
          <w:noProof/>
          <w:sz w:val="24"/>
          <w:szCs w:val="24"/>
        </w:rPr>
        <w:t>2.8 Ansökningar för brottmålsförfaranden och andra ändamål</w:t>
      </w:r>
      <w:bookmarkEnd w:id="25"/>
    </w:p>
    <w:p>
      <w:pPr>
        <w:spacing w:after="0"/>
        <w:jc w:val="both"/>
        <w:rPr>
          <w:rFonts w:ascii="Times New Roman" w:hAnsi="Times New Roman" w:cs="Times New Roman"/>
          <w:noProof/>
          <w:sz w:val="24"/>
          <w:szCs w:val="24"/>
        </w:rPr>
      </w:pPr>
      <w:bookmarkStart w:id="26" w:name="_Hlk481158644"/>
      <w:r>
        <w:rPr>
          <w:rFonts w:ascii="Times New Roman" w:hAnsi="Times New Roman"/>
          <w:noProof/>
          <w:sz w:val="24"/>
          <w:szCs w:val="24"/>
        </w:rPr>
        <w:t>Diagrammen nedan visar förhållandet mellan ansökningar om uppgifter inom ramen brottmålsförfaranden och för andra ändamål från 2012 till 2019.</w:t>
      </w:r>
    </w:p>
    <w:p>
      <w:pPr>
        <w:spacing w:after="0"/>
        <w:jc w:val="both"/>
        <w:rPr>
          <w:rFonts w:ascii="Times New Roman" w:hAnsi="Times New Roman" w:cs="Times New Roman"/>
          <w:noProof/>
          <w:sz w:val="24"/>
          <w:szCs w:val="24"/>
        </w:rPr>
      </w:pPr>
    </w:p>
    <w:p>
      <w:pPr>
        <w:spacing w:after="0"/>
        <w:jc w:val="center"/>
        <w:rPr>
          <w:rFonts w:ascii="Times New Roman" w:hAnsi="Times New Roman" w:cs="Times New Roman"/>
          <w:noProof/>
          <w:sz w:val="24"/>
          <w:szCs w:val="24"/>
        </w:rPr>
      </w:pPr>
      <w:r>
        <w:rPr>
          <w:noProof/>
          <w:lang w:val="en-GB"/>
        </w:rPr>
        <w:drawing>
          <wp:inline distT="0" distB="0" distL="0" distR="0">
            <wp:extent cx="4234973" cy="2505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a:extLst>
                        <a:ext uri="{28A0092B-C50C-407E-A947-70E740481C1C}">
                          <a14:useLocalDpi xmlns:a14="http://schemas.microsoft.com/office/drawing/2010/main" val="0"/>
                        </a:ext>
                      </a:extLst>
                    </a:blip>
                    <a:srcRect r="50511" b="-819"/>
                    <a:stretch/>
                  </pic:blipFill>
                  <pic:spPr bwMode="auto">
                    <a:xfrm>
                      <a:off x="0" y="0"/>
                      <a:ext cx="4253818" cy="251684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jc w:val="center"/>
        <w:rPr>
          <w:rFonts w:ascii="Times New Roman" w:hAnsi="Times New Roman" w:cs="Times New Roman"/>
          <w:noProof/>
          <w:sz w:val="24"/>
          <w:szCs w:val="24"/>
        </w:rPr>
      </w:pPr>
    </w:p>
    <w:p>
      <w:pPr>
        <w:spacing w:after="0"/>
        <w:jc w:val="center"/>
        <w:rPr>
          <w:rFonts w:ascii="Times New Roman" w:hAnsi="Times New Roman" w:cs="Times New Roman"/>
          <w:noProof/>
          <w:sz w:val="24"/>
          <w:szCs w:val="24"/>
        </w:rPr>
      </w:pPr>
      <w:r>
        <w:rPr>
          <w:noProof/>
          <w:lang w:val="en-GB"/>
        </w:rPr>
        <w:drawing>
          <wp:inline distT="0" distB="0" distL="0" distR="0">
            <wp:extent cx="4998967" cy="35152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29">
                      <a:extLst>
                        <a:ext uri="{28A0092B-C50C-407E-A947-70E740481C1C}">
                          <a14:useLocalDpi xmlns:a14="http://schemas.microsoft.com/office/drawing/2010/main" val="0"/>
                        </a:ext>
                      </a:extLst>
                    </a:blip>
                    <a:srcRect r="27422"/>
                    <a:stretch/>
                  </pic:blipFill>
                  <pic:spPr bwMode="auto">
                    <a:xfrm>
                      <a:off x="0" y="0"/>
                      <a:ext cx="5002939" cy="3518018"/>
                    </a:xfrm>
                    <a:prstGeom prst="rect">
                      <a:avLst/>
                    </a:prstGeom>
                    <a:noFill/>
                    <a:ln>
                      <a:noFill/>
                    </a:ln>
                    <a:extLst>
                      <a:ext uri="{53640926-AAD7-44D8-BBD7-CCE9431645EC}">
                        <a14:shadowObscured xmlns:a14="http://schemas.microsoft.com/office/drawing/2010/main"/>
                      </a:ext>
                    </a:extLst>
                  </pic:spPr>
                </pic:pic>
              </a:graphicData>
            </a:graphic>
          </wp:inline>
        </w:drawing>
      </w:r>
    </w:p>
    <w:bookmarkEnd w:id="26"/>
    <w:p>
      <w:pPr>
        <w:jc w:val="center"/>
        <w:rPr>
          <w:rFonts w:ascii="Times New Roman" w:hAnsi="Times New Roman" w:cs="Times New Roman"/>
          <w:noProof/>
          <w:sz w:val="24"/>
          <w:szCs w:val="24"/>
        </w:rPr>
      </w:pPr>
    </w:p>
    <w:p>
      <w:pPr>
        <w:jc w:val="both"/>
        <w:rPr>
          <w:rFonts w:ascii="Times New Roman" w:hAnsi="Times New Roman" w:cs="Times New Roman"/>
          <w:bCs/>
          <w:noProof/>
          <w:sz w:val="24"/>
          <w:szCs w:val="24"/>
        </w:rPr>
      </w:pPr>
      <w:r>
        <w:rPr>
          <w:rFonts w:ascii="Times New Roman" w:hAnsi="Times New Roman"/>
          <w:noProof/>
          <w:sz w:val="24"/>
          <w:szCs w:val="24"/>
        </w:rPr>
        <w:t>Under många år låg andelen ansökningar för andra ändamål än brottmålsförfaranden på en genomsnittlig nivå på 20 % av alla ansökningar. Som nämnts ovan innebar åren 2018–2019</w:t>
      </w:r>
      <w:r>
        <w:rPr>
          <w:rFonts w:ascii="Times New Roman" w:hAnsi="Times New Roman"/>
          <w:b/>
          <w:bCs/>
          <w:noProof/>
          <w:sz w:val="24"/>
          <w:szCs w:val="24"/>
        </w:rPr>
        <w:t xml:space="preserve"> ett totalt skifte i användningen av systemet, som lika ofta började konsulteras för brottmålsförfaranden som för andra ändamål (50/50 %).</w:t>
      </w:r>
      <w:r>
        <w:rPr>
          <w:rFonts w:ascii="Times New Roman" w:hAnsi="Times New Roman"/>
          <w:noProof/>
          <w:sz w:val="24"/>
          <w:szCs w:val="24"/>
        </w:rPr>
        <w:t xml:space="preserve"> Genomsnittet under hela den tid som Ecris varit i drift är </w:t>
      </w:r>
      <w:r>
        <w:rPr>
          <w:rFonts w:ascii="Times New Roman" w:hAnsi="Times New Roman"/>
          <w:b/>
          <w:noProof/>
          <w:sz w:val="24"/>
          <w:szCs w:val="24"/>
        </w:rPr>
        <w:t>69 %</w:t>
      </w:r>
      <w:r>
        <w:rPr>
          <w:rFonts w:ascii="Times New Roman" w:hAnsi="Times New Roman"/>
          <w:noProof/>
          <w:sz w:val="24"/>
          <w:szCs w:val="24"/>
        </w:rPr>
        <w:t xml:space="preserve"> av alla ansökningar för </w:t>
      </w:r>
      <w:r>
        <w:rPr>
          <w:rFonts w:ascii="Times New Roman" w:hAnsi="Times New Roman"/>
          <w:b/>
          <w:noProof/>
          <w:sz w:val="24"/>
          <w:szCs w:val="24"/>
        </w:rPr>
        <w:t>brottmålsförfaranden</w:t>
      </w:r>
      <w:r>
        <w:rPr>
          <w:rFonts w:ascii="Times New Roman" w:hAnsi="Times New Roman"/>
          <w:noProof/>
          <w:sz w:val="24"/>
          <w:szCs w:val="24"/>
        </w:rPr>
        <w:t xml:space="preserve"> och </w:t>
      </w:r>
      <w:r>
        <w:rPr>
          <w:rFonts w:ascii="Times New Roman" w:hAnsi="Times New Roman"/>
          <w:b/>
          <w:noProof/>
          <w:sz w:val="24"/>
          <w:szCs w:val="24"/>
        </w:rPr>
        <w:t>31 %</w:t>
      </w:r>
      <w:r>
        <w:rPr>
          <w:rFonts w:ascii="Times New Roman" w:hAnsi="Times New Roman"/>
          <w:noProof/>
          <w:sz w:val="24"/>
          <w:szCs w:val="24"/>
        </w:rPr>
        <w:t xml:space="preserve"> för </w:t>
      </w:r>
      <w:r>
        <w:rPr>
          <w:rFonts w:ascii="Times New Roman" w:hAnsi="Times New Roman"/>
          <w:b/>
          <w:noProof/>
          <w:sz w:val="24"/>
          <w:szCs w:val="24"/>
        </w:rPr>
        <w:t>andra ändamål</w:t>
      </w:r>
      <w:r>
        <w:rPr>
          <w:rFonts w:ascii="Times New Roman" w:hAnsi="Times New Roman"/>
          <w:noProof/>
          <w:sz w:val="24"/>
          <w:szCs w:val="24"/>
        </w:rPr>
        <w:t>.</w:t>
      </w:r>
    </w:p>
    <w:p>
      <w:pPr>
        <w:jc w:val="both"/>
        <w:rPr>
          <w:rFonts w:ascii="Times New Roman" w:hAnsi="Times New Roman" w:cs="Times New Roman"/>
          <w:bCs/>
          <w:noProof/>
          <w:sz w:val="24"/>
          <w:szCs w:val="24"/>
        </w:rPr>
      </w:pPr>
      <w:r>
        <w:rPr>
          <w:rFonts w:ascii="Times New Roman" w:hAnsi="Times New Roman"/>
          <w:noProof/>
          <w:sz w:val="24"/>
          <w:szCs w:val="24"/>
        </w:rPr>
        <w:t xml:space="preserve">Antalet </w:t>
      </w:r>
      <w:r>
        <w:rPr>
          <w:rFonts w:ascii="Times New Roman" w:hAnsi="Times New Roman"/>
          <w:b/>
          <w:noProof/>
          <w:sz w:val="24"/>
          <w:szCs w:val="24"/>
        </w:rPr>
        <w:t xml:space="preserve">ansökningar för andra ändamål översteg 500 000 under 2019, </w:t>
      </w:r>
      <w:r>
        <w:rPr>
          <w:rFonts w:ascii="Times New Roman" w:hAnsi="Times New Roman"/>
          <w:bCs/>
          <w:noProof/>
          <w:sz w:val="24"/>
          <w:szCs w:val="24"/>
        </w:rPr>
        <w:t xml:space="preserve">vilket är </w:t>
      </w:r>
      <w:r>
        <w:rPr>
          <w:rFonts w:ascii="Times New Roman" w:hAnsi="Times New Roman"/>
          <w:b/>
          <w:noProof/>
          <w:sz w:val="24"/>
          <w:szCs w:val="24"/>
        </w:rPr>
        <w:t>sex gånger mer än 2016</w:t>
      </w:r>
      <w:r>
        <w:rPr>
          <w:rFonts w:ascii="Times New Roman" w:hAnsi="Times New Roman"/>
          <w:bCs/>
          <w:noProof/>
          <w:sz w:val="24"/>
          <w:szCs w:val="24"/>
        </w:rPr>
        <w:t xml:space="preserve">. Antalet </w:t>
      </w:r>
      <w:r>
        <w:rPr>
          <w:rFonts w:ascii="Times New Roman" w:hAnsi="Times New Roman"/>
          <w:b/>
          <w:noProof/>
          <w:sz w:val="24"/>
          <w:szCs w:val="24"/>
        </w:rPr>
        <w:t xml:space="preserve">ansökningar för brottmålsförfaranden </w:t>
      </w:r>
      <w:r>
        <w:rPr>
          <w:rFonts w:ascii="Times New Roman" w:hAnsi="Times New Roman"/>
          <w:bCs/>
          <w:noProof/>
          <w:sz w:val="24"/>
          <w:szCs w:val="24"/>
        </w:rPr>
        <w:t xml:space="preserve">låg kvar </w:t>
      </w:r>
      <w:r>
        <w:rPr>
          <w:rFonts w:ascii="Times New Roman" w:hAnsi="Times New Roman"/>
          <w:b/>
          <w:noProof/>
          <w:sz w:val="24"/>
          <w:szCs w:val="24"/>
        </w:rPr>
        <w:t>på en stabil nivå kring 500 000</w:t>
      </w:r>
      <w:r>
        <w:rPr>
          <w:rFonts w:ascii="Times New Roman" w:hAnsi="Times New Roman"/>
          <w:bCs/>
          <w:noProof/>
          <w:sz w:val="24"/>
          <w:szCs w:val="24"/>
        </w:rPr>
        <w:t>.</w:t>
      </w:r>
    </w:p>
    <w:p>
      <w:pPr>
        <w:jc w:val="both"/>
        <w:rPr>
          <w:rFonts w:ascii="Times New Roman" w:hAnsi="Times New Roman" w:cs="Times New Roman"/>
          <w:noProof/>
          <w:sz w:val="24"/>
          <w:szCs w:val="24"/>
        </w:rPr>
      </w:pPr>
      <w:r>
        <w:rPr>
          <w:rFonts w:ascii="Times New Roman" w:hAnsi="Times New Roman"/>
          <w:noProof/>
          <w:sz w:val="24"/>
          <w:szCs w:val="24"/>
        </w:rPr>
        <w:t xml:space="preserve">Ökningen av antalet ansökningar för andra ändamål berodde främst på </w:t>
      </w:r>
      <w:r>
        <w:rPr>
          <w:rFonts w:ascii="Times New Roman" w:hAnsi="Times New Roman"/>
          <w:b/>
          <w:bCs/>
          <w:noProof/>
          <w:sz w:val="24"/>
          <w:szCs w:val="24"/>
        </w:rPr>
        <w:t xml:space="preserve">en stark ökning av antalet ansökningar från privatpersoner som ville inhämta sina egna uppgifter ur kriminalregistret </w:t>
      </w:r>
      <w:r>
        <w:rPr>
          <w:rFonts w:ascii="Times New Roman" w:hAnsi="Times New Roman"/>
          <w:noProof/>
          <w:sz w:val="24"/>
          <w:szCs w:val="24"/>
        </w:rPr>
        <w:t xml:space="preserve">– en ökning med sex gånger sedan 2016, motsvarande totalt </w:t>
      </w:r>
      <w:r>
        <w:rPr>
          <w:rFonts w:ascii="Times New Roman" w:hAnsi="Times New Roman"/>
          <w:b/>
          <w:bCs/>
          <w:noProof/>
          <w:sz w:val="24"/>
          <w:szCs w:val="24"/>
        </w:rPr>
        <w:t>356 000 ansökningar</w:t>
      </w:r>
      <w:r>
        <w:rPr>
          <w:rFonts w:ascii="Times New Roman" w:hAnsi="Times New Roman"/>
          <w:noProof/>
          <w:sz w:val="24"/>
          <w:szCs w:val="24"/>
        </w:rPr>
        <w:t xml:space="preserve">. Den andra bidragande faktorn var antalet </w:t>
      </w:r>
      <w:r>
        <w:rPr>
          <w:rFonts w:ascii="Times New Roman" w:hAnsi="Times New Roman"/>
          <w:b/>
          <w:noProof/>
          <w:sz w:val="24"/>
          <w:szCs w:val="24"/>
        </w:rPr>
        <w:t>ansökningar i samband med rekrytering</w:t>
      </w:r>
      <w:r>
        <w:rPr>
          <w:rFonts w:ascii="Times New Roman" w:hAnsi="Times New Roman"/>
          <w:noProof/>
          <w:sz w:val="24"/>
          <w:szCs w:val="24"/>
        </w:rPr>
        <w:t xml:space="preserve"> för professionella eller organiserade frivilligverksamheter </w:t>
      </w:r>
      <w:r>
        <w:rPr>
          <w:rFonts w:ascii="Times New Roman" w:hAnsi="Times New Roman"/>
          <w:b/>
          <w:noProof/>
          <w:sz w:val="24"/>
          <w:szCs w:val="24"/>
        </w:rPr>
        <w:t>som innebär direkt och regelbunden kontakt med barn</w:t>
      </w:r>
      <w:r>
        <w:rPr>
          <w:rFonts w:ascii="Times New Roman" w:hAnsi="Times New Roman"/>
          <w:noProof/>
          <w:sz w:val="24"/>
          <w:szCs w:val="24"/>
        </w:rPr>
        <w:t xml:space="preserve"> efter genomförandet av </w:t>
      </w:r>
      <w:r>
        <w:rPr>
          <w:rFonts w:ascii="Times New Roman" w:hAnsi="Times New Roman"/>
          <w:b/>
          <w:noProof/>
          <w:sz w:val="24"/>
          <w:szCs w:val="24"/>
        </w:rPr>
        <w:t>direktiv 2011/93/EU</w:t>
      </w:r>
      <w:r>
        <w:rPr>
          <w:rStyle w:val="FootnoteReference"/>
          <w:rFonts w:ascii="Times New Roman" w:hAnsi="Times New Roman" w:cs="Times New Roman"/>
          <w:b/>
          <w:noProof/>
          <w:sz w:val="24"/>
          <w:szCs w:val="24"/>
        </w:rPr>
        <w:footnoteReference w:id="21"/>
      </w:r>
      <w:r>
        <w:rPr>
          <w:rFonts w:ascii="Times New Roman" w:hAnsi="Times New Roman"/>
          <w:noProof/>
          <w:sz w:val="24"/>
          <w:szCs w:val="24"/>
        </w:rPr>
        <w:t xml:space="preserve">. Dessa ansökningar uppgick till </w:t>
      </w:r>
      <w:r>
        <w:rPr>
          <w:rFonts w:ascii="Times New Roman" w:hAnsi="Times New Roman"/>
          <w:b/>
          <w:noProof/>
          <w:sz w:val="24"/>
          <w:szCs w:val="24"/>
        </w:rPr>
        <w:t>115 000</w:t>
      </w:r>
      <w:r>
        <w:rPr>
          <w:rFonts w:ascii="Times New Roman" w:hAnsi="Times New Roman"/>
          <w:bCs/>
          <w:noProof/>
          <w:sz w:val="24"/>
          <w:szCs w:val="24"/>
        </w:rPr>
        <w:t xml:space="preserve"> under 2019, </w:t>
      </w:r>
      <w:r>
        <w:rPr>
          <w:rFonts w:ascii="Times New Roman" w:hAnsi="Times New Roman"/>
          <w:noProof/>
          <w:sz w:val="24"/>
          <w:szCs w:val="24"/>
        </w:rPr>
        <w:t xml:space="preserve">en </w:t>
      </w:r>
      <w:r>
        <w:rPr>
          <w:rFonts w:ascii="Times New Roman" w:hAnsi="Times New Roman"/>
          <w:b/>
          <w:noProof/>
          <w:sz w:val="24"/>
          <w:szCs w:val="24"/>
        </w:rPr>
        <w:t>betydande ökning</w:t>
      </w:r>
      <w:r>
        <w:rPr>
          <w:rFonts w:ascii="Times New Roman" w:hAnsi="Times New Roman"/>
          <w:noProof/>
          <w:sz w:val="24"/>
          <w:szCs w:val="24"/>
        </w:rPr>
        <w:t xml:space="preserve"> från 7 800 under 2016. Det är i första hand DE som står för det ökade antalet ansökningar för andra ändamål.</w:t>
      </w:r>
    </w:p>
    <w:p>
      <w:pPr>
        <w:jc w:val="both"/>
        <w:rPr>
          <w:rFonts w:ascii="Times New Roman" w:hAnsi="Times New Roman" w:cs="Times New Roman"/>
          <w:noProof/>
          <w:sz w:val="24"/>
          <w:szCs w:val="24"/>
        </w:rPr>
      </w:pPr>
      <w:r>
        <w:rPr>
          <w:rFonts w:ascii="Times New Roman" w:hAnsi="Times New Roman"/>
          <w:noProof/>
          <w:sz w:val="24"/>
          <w:szCs w:val="24"/>
        </w:rPr>
        <w:t xml:space="preserve">De flesta av ansökningarna för andra ändamål än brottmålsförfaranden under 2019 gjordes av </w:t>
      </w:r>
      <w:r>
        <w:rPr>
          <w:rFonts w:ascii="Times New Roman" w:hAnsi="Times New Roman"/>
          <w:b/>
          <w:noProof/>
          <w:sz w:val="24"/>
          <w:szCs w:val="24"/>
        </w:rPr>
        <w:t>privatpersoner som ville inhämta uppgifter om sig själva ur kriminalregistret – 70 % av ansökningarna för andra ändamål</w:t>
      </w:r>
      <w:r>
        <w:rPr>
          <w:rFonts w:ascii="Times New Roman" w:hAnsi="Times New Roman"/>
          <w:noProof/>
          <w:sz w:val="24"/>
          <w:szCs w:val="24"/>
        </w:rPr>
        <w:t xml:space="preserve"> och </w:t>
      </w:r>
      <w:r>
        <w:rPr>
          <w:rFonts w:ascii="Times New Roman" w:hAnsi="Times New Roman"/>
          <w:b/>
          <w:noProof/>
          <w:sz w:val="24"/>
          <w:szCs w:val="24"/>
        </w:rPr>
        <w:t>35 % av det totala antalet ansökningar</w:t>
      </w:r>
      <w:r>
        <w:rPr>
          <w:rFonts w:ascii="Times New Roman" w:hAnsi="Times New Roman"/>
          <w:noProof/>
          <w:sz w:val="24"/>
          <w:szCs w:val="24"/>
        </w:rPr>
        <w:t xml:space="preserve">. Det näst högsta antalet gällde ansökningar i samband med </w:t>
      </w:r>
      <w:r>
        <w:rPr>
          <w:rFonts w:ascii="Times New Roman" w:hAnsi="Times New Roman"/>
          <w:b/>
          <w:bCs/>
          <w:noProof/>
          <w:sz w:val="24"/>
          <w:szCs w:val="24"/>
        </w:rPr>
        <w:t xml:space="preserve">rekrytering i enlighet med direktiv 2011/93/EU (22 % </w:t>
      </w:r>
      <w:r>
        <w:rPr>
          <w:rFonts w:ascii="Times New Roman" w:hAnsi="Times New Roman"/>
          <w:noProof/>
          <w:sz w:val="24"/>
          <w:szCs w:val="24"/>
        </w:rPr>
        <w:t>av ansökningarna för andra ändamål och 11 % av alla inlämnade ansökningar – jämfört med 10 % av ansökningarna för andra ändamål 2016). Andelen ansökningar från en behörig administrativ myndighet för icke straffrättsliga förfaranden sjönk från 14 % av ansökningarna för andra ändamål under 2016 till 3,8 % under 2019 (och 2 % av alla ansökningar), vilket gjorde att de hamnade på en tredje plats med 19 000 ansökningar. Ansökningar om tillstånd att bära vapen uppgick till 1,1 % av ansökningarna för andra ändamål. Slutligen stod ansökningar i samband med det viktiga ändamålet att skaffa sig ett annat medborgarskap endast för omkring 0,9 % av ansökningarna för andra ändamål och för 0,4 % av det totala antalet ansökningar</w:t>
      </w:r>
      <w:r>
        <w:rPr>
          <w:rStyle w:val="FootnoteReference"/>
          <w:rFonts w:ascii="Times New Roman" w:hAnsi="Times New Roman" w:cs="Times New Roman"/>
          <w:noProof/>
          <w:sz w:val="24"/>
          <w:szCs w:val="24"/>
        </w:rPr>
        <w:footnoteReference w:id="22"/>
      </w:r>
      <w:r>
        <w:rPr>
          <w:noProof/>
        </w:rPr>
        <w:t>.</w:t>
      </w:r>
    </w:p>
    <w:p>
      <w:pPr>
        <w:rPr>
          <w:rFonts w:ascii="Times New Roman" w:hAnsi="Times New Roman" w:cs="Times New Roman"/>
          <w:noProof/>
          <w:sz w:val="24"/>
          <w:szCs w:val="24"/>
        </w:rPr>
      </w:pPr>
      <w:bookmarkStart w:id="27" w:name="_Toc479267024"/>
    </w:p>
    <w:p>
      <w:pPr>
        <w:rPr>
          <w:rFonts w:ascii="Times New Roman" w:hAnsi="Times New Roman" w:cs="Times New Roman"/>
          <w:b/>
          <w:noProof/>
          <w:sz w:val="24"/>
          <w:szCs w:val="24"/>
        </w:rPr>
      </w:pPr>
      <w:r>
        <w:rPr>
          <w:rFonts w:ascii="Times New Roman" w:hAnsi="Times New Roman"/>
          <w:b/>
          <w:noProof/>
          <w:sz w:val="24"/>
          <w:szCs w:val="24"/>
        </w:rPr>
        <w:t xml:space="preserve">2.9 Ansökningar som avser EU-medborgare och </w:t>
      </w:r>
      <w:bookmarkEnd w:id="27"/>
      <w:r>
        <w:rPr>
          <w:rFonts w:ascii="Times New Roman" w:hAnsi="Times New Roman"/>
          <w:b/>
          <w:noProof/>
          <w:sz w:val="24"/>
          <w:szCs w:val="24"/>
        </w:rPr>
        <w:t>tredjelandsmedborgare</w:t>
      </w:r>
    </w:p>
    <w:p>
      <w:pPr>
        <w:spacing w:after="0"/>
        <w:jc w:val="both"/>
        <w:rPr>
          <w:rFonts w:ascii="Times New Roman" w:hAnsi="Times New Roman" w:cs="Times New Roman"/>
          <w:noProof/>
          <w:sz w:val="24"/>
          <w:szCs w:val="24"/>
        </w:rPr>
      </w:pPr>
      <w:r>
        <w:rPr>
          <w:rFonts w:ascii="Times New Roman" w:hAnsi="Times New Roman"/>
          <w:noProof/>
          <w:sz w:val="24"/>
          <w:szCs w:val="24"/>
        </w:rPr>
        <w:t>Diagrammen nedan visar förhållandet mellan ansökningar som avser EU-medborgare respektive tredjelandsmedborgare per år</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och i genomsnitt under hela den tid som Ecris varit i drift.</w:t>
      </w:r>
    </w:p>
    <w:p>
      <w:pPr>
        <w:jc w:val="center"/>
        <w:rPr>
          <w:rStyle w:val="CommentReference"/>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GB"/>
        </w:rPr>
        <w:drawing>
          <wp:inline distT="0" distB="0" distL="0" distR="0">
            <wp:extent cx="3657600" cy="26398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0">
                      <a:extLst>
                        <a:ext uri="{28A0092B-C50C-407E-A947-70E740481C1C}">
                          <a14:useLocalDpi xmlns:a14="http://schemas.microsoft.com/office/drawing/2010/main" val="0"/>
                        </a:ext>
                      </a:extLst>
                    </a:blip>
                    <a:srcRect r="52580" b="817"/>
                    <a:stretch/>
                  </pic:blipFill>
                  <pic:spPr bwMode="auto">
                    <a:xfrm>
                      <a:off x="0" y="0"/>
                      <a:ext cx="3666715" cy="26464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pPr>
        <w:contextualSpacing/>
        <w:jc w:val="center"/>
        <w:rPr>
          <w:rFonts w:ascii="Times New Roman" w:hAnsi="Times New Roman" w:cs="Times New Roman"/>
          <w:noProof/>
          <w:sz w:val="24"/>
          <w:szCs w:val="24"/>
        </w:rPr>
      </w:pPr>
    </w:p>
    <w:p>
      <w:pPr>
        <w:contextualSpacing/>
        <w:jc w:val="center"/>
        <w:rPr>
          <w:rFonts w:ascii="Times New Roman" w:hAnsi="Times New Roman" w:cs="Times New Roman"/>
          <w:noProof/>
          <w:sz w:val="24"/>
          <w:szCs w:val="24"/>
        </w:rPr>
      </w:pPr>
      <w:r>
        <w:rPr>
          <w:noProof/>
          <w:lang w:val="en-GB"/>
        </w:rPr>
        <w:drawing>
          <wp:inline distT="0" distB="0" distL="0" distR="0">
            <wp:extent cx="5689929" cy="336071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1">
                      <a:extLst>
                        <a:ext uri="{28A0092B-C50C-407E-A947-70E740481C1C}">
                          <a14:useLocalDpi xmlns:a14="http://schemas.microsoft.com/office/drawing/2010/main" val="0"/>
                        </a:ext>
                      </a:extLst>
                    </a:blip>
                    <a:srcRect r="29483" b="2057"/>
                    <a:stretch/>
                  </pic:blipFill>
                  <pic:spPr bwMode="auto">
                    <a:xfrm>
                      <a:off x="0" y="0"/>
                      <a:ext cx="5701428" cy="3367509"/>
                    </a:xfrm>
                    <a:prstGeom prst="rect">
                      <a:avLst/>
                    </a:prstGeom>
                    <a:noFill/>
                    <a:ln>
                      <a:noFill/>
                    </a:ln>
                    <a:extLst>
                      <a:ext uri="{53640926-AAD7-44D8-BBD7-CCE9431645EC}">
                        <a14:shadowObscured xmlns:a14="http://schemas.microsoft.com/office/drawing/2010/main"/>
                      </a:ext>
                    </a:extLst>
                  </pic:spPr>
                </pic:pic>
              </a:graphicData>
            </a:graphic>
          </wp:inline>
        </w:drawing>
      </w:r>
    </w:p>
    <w:p>
      <w:pPr>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szCs w:val="24"/>
        </w:rPr>
        <w:t xml:space="preserve">I genomsnitt </w:t>
      </w:r>
      <w:r>
        <w:rPr>
          <w:rFonts w:ascii="Times New Roman" w:hAnsi="Times New Roman"/>
          <w:b/>
          <w:noProof/>
          <w:sz w:val="24"/>
          <w:szCs w:val="24"/>
        </w:rPr>
        <w:t>92 %</w:t>
      </w:r>
      <w:r>
        <w:rPr>
          <w:rFonts w:ascii="Times New Roman" w:hAnsi="Times New Roman"/>
          <w:noProof/>
          <w:sz w:val="24"/>
          <w:szCs w:val="24"/>
        </w:rPr>
        <w:t xml:space="preserve"> av alla ansökningar rör EU-medborgare, och omkring </w:t>
      </w:r>
      <w:r>
        <w:rPr>
          <w:rFonts w:ascii="Times New Roman" w:hAnsi="Times New Roman"/>
          <w:b/>
          <w:noProof/>
          <w:sz w:val="24"/>
          <w:szCs w:val="24"/>
        </w:rPr>
        <w:t>8 % avser tredjelandsmedborgare</w:t>
      </w:r>
      <w:r>
        <w:rPr>
          <w:rFonts w:ascii="Times New Roman" w:hAnsi="Times New Roman"/>
          <w:noProof/>
          <w:sz w:val="24"/>
          <w:szCs w:val="24"/>
        </w:rPr>
        <w:t>. Andelen ansökningar som rör statslösa personer är marginell (0,02 %).</w:t>
      </w:r>
    </w:p>
    <w:p>
      <w:pPr>
        <w:jc w:val="both"/>
        <w:rPr>
          <w:rFonts w:ascii="Times New Roman" w:hAnsi="Times New Roman" w:cs="Times New Roman"/>
          <w:bCs/>
          <w:noProof/>
          <w:sz w:val="24"/>
          <w:szCs w:val="24"/>
        </w:rPr>
      </w:pPr>
      <w:r>
        <w:rPr>
          <w:rFonts w:ascii="Times New Roman" w:hAnsi="Times New Roman"/>
          <w:noProof/>
          <w:sz w:val="24"/>
          <w:szCs w:val="24"/>
        </w:rPr>
        <w:t xml:space="preserve">Även om </w:t>
      </w:r>
      <w:r>
        <w:rPr>
          <w:rFonts w:ascii="Times New Roman" w:hAnsi="Times New Roman"/>
          <w:b/>
          <w:bCs/>
          <w:noProof/>
          <w:sz w:val="24"/>
          <w:szCs w:val="24"/>
        </w:rPr>
        <w:t xml:space="preserve">andelen ansökningar om uppgifter som avser tredjelandsmedborgare </w:t>
      </w:r>
      <w:r>
        <w:rPr>
          <w:rFonts w:ascii="Times New Roman" w:hAnsi="Times New Roman"/>
          <w:noProof/>
          <w:sz w:val="24"/>
          <w:szCs w:val="24"/>
        </w:rPr>
        <w:t xml:space="preserve">har </w:t>
      </w:r>
      <w:r>
        <w:rPr>
          <w:rFonts w:ascii="Times New Roman" w:hAnsi="Times New Roman"/>
          <w:b/>
          <w:bCs/>
          <w:noProof/>
          <w:sz w:val="24"/>
          <w:szCs w:val="24"/>
        </w:rPr>
        <w:t>sjunkit</w:t>
      </w:r>
      <w:r>
        <w:rPr>
          <w:rFonts w:ascii="Times New Roman" w:hAnsi="Times New Roman"/>
          <w:noProof/>
          <w:sz w:val="24"/>
          <w:szCs w:val="24"/>
        </w:rPr>
        <w:t xml:space="preserve"> sedan 2016, från 10 % till</w:t>
      </w:r>
      <w:r>
        <w:rPr>
          <w:rFonts w:ascii="Times New Roman" w:hAnsi="Times New Roman"/>
          <w:b/>
          <w:bCs/>
          <w:noProof/>
          <w:sz w:val="24"/>
          <w:szCs w:val="24"/>
        </w:rPr>
        <w:t xml:space="preserve"> 7 % av alla ansökningar 2019</w:t>
      </w:r>
      <w:r>
        <w:rPr>
          <w:rFonts w:ascii="Times New Roman" w:hAnsi="Times New Roman"/>
          <w:noProof/>
          <w:sz w:val="24"/>
          <w:szCs w:val="24"/>
        </w:rPr>
        <w:t>, har det</w:t>
      </w:r>
      <w:r>
        <w:rPr>
          <w:rFonts w:ascii="Times New Roman" w:hAnsi="Times New Roman"/>
          <w:b/>
          <w:bCs/>
          <w:noProof/>
          <w:sz w:val="24"/>
          <w:szCs w:val="24"/>
        </w:rPr>
        <w:t xml:space="preserve"> faktiska antalet ansökningar växt stadigt</w:t>
      </w:r>
      <w:r>
        <w:rPr>
          <w:rFonts w:ascii="Times New Roman" w:hAnsi="Times New Roman"/>
          <w:bCs/>
          <w:noProof/>
          <w:sz w:val="24"/>
          <w:szCs w:val="24"/>
        </w:rPr>
        <w:t xml:space="preserve"> och översteg </w:t>
      </w:r>
      <w:r>
        <w:rPr>
          <w:rFonts w:ascii="Times New Roman" w:hAnsi="Times New Roman"/>
          <w:b/>
          <w:bCs/>
          <w:noProof/>
          <w:sz w:val="24"/>
          <w:szCs w:val="24"/>
        </w:rPr>
        <w:t>69 000 under 2019.</w:t>
      </w:r>
      <w:r>
        <w:rPr>
          <w:rFonts w:ascii="Times New Roman" w:hAnsi="Times New Roman"/>
          <w:b/>
          <w:noProof/>
          <w:sz w:val="24"/>
          <w:szCs w:val="24"/>
        </w:rPr>
        <w:t xml:space="preserve"> </w:t>
      </w:r>
      <w:r>
        <w:rPr>
          <w:rFonts w:ascii="Times New Roman" w:hAnsi="Times New Roman"/>
          <w:bCs/>
          <w:noProof/>
          <w:sz w:val="24"/>
          <w:szCs w:val="24"/>
        </w:rPr>
        <w:t>Detta fenomen orsakas av den betydande ökningen av ansökningar för andra syften än brottmålsförfaranden som främst rör EU-medborgare.</w:t>
      </w:r>
    </w:p>
    <w:p>
      <w:pPr>
        <w:jc w:val="both"/>
        <w:rPr>
          <w:rFonts w:ascii="Times New Roman" w:hAnsi="Times New Roman" w:cs="Times New Roman"/>
          <w:noProof/>
          <w:sz w:val="24"/>
          <w:szCs w:val="24"/>
        </w:rPr>
      </w:pPr>
      <w:r>
        <w:rPr>
          <w:rFonts w:ascii="Times New Roman" w:hAnsi="Times New Roman"/>
          <w:noProof/>
          <w:sz w:val="24"/>
          <w:szCs w:val="24"/>
        </w:rPr>
        <w:t>Under 2019 antogs kompletterande lagstiftning</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för att inrätta ett centralt system (Ecris-TCN) för effektiv identifiering av de medlemsstater som har uppgifter om tredjelandsmedborgare som dömts i EU i sina kriminalregister. Systemet kommer att tas i drift under 2023 och förväntas ge stöd åt ett effektivare utbyte av uppgifter om tredjelandsmedborgare genom Ecris, vilket kommer att leda till en betydande ökning av sådana ansökningar.</w:t>
      </w:r>
    </w:p>
    <w:p>
      <w:pPr>
        <w:rPr>
          <w:rFonts w:ascii="Times New Roman" w:hAnsi="Times New Roman" w:cs="Times New Roman"/>
          <w:noProof/>
          <w:sz w:val="24"/>
          <w:szCs w:val="24"/>
        </w:rPr>
      </w:pPr>
      <w:bookmarkStart w:id="28" w:name="_Toc479267025"/>
    </w:p>
    <w:p>
      <w:pPr>
        <w:rPr>
          <w:rFonts w:ascii="Times New Roman" w:hAnsi="Times New Roman" w:cs="Times New Roman"/>
          <w:b/>
          <w:noProof/>
          <w:sz w:val="24"/>
          <w:szCs w:val="24"/>
        </w:rPr>
      </w:pPr>
      <w:r>
        <w:rPr>
          <w:rFonts w:ascii="Times New Roman" w:hAnsi="Times New Roman"/>
          <w:b/>
          <w:noProof/>
          <w:sz w:val="24"/>
          <w:szCs w:val="24"/>
        </w:rPr>
        <w:t>2.10</w:t>
      </w:r>
      <w:bookmarkEnd w:id="28"/>
      <w:r>
        <w:rPr>
          <w:rFonts w:ascii="Times New Roman" w:hAnsi="Times New Roman"/>
          <w:b/>
          <w:noProof/>
          <w:sz w:val="24"/>
          <w:szCs w:val="24"/>
        </w:rPr>
        <w:t xml:space="preserve"> Svar som innehåller uppgifter om fällande domar</w:t>
      </w:r>
    </w:p>
    <w:p>
      <w:pPr>
        <w:jc w:val="both"/>
        <w:rPr>
          <w:rFonts w:ascii="Times New Roman" w:hAnsi="Times New Roman" w:cs="Times New Roman"/>
          <w:noProof/>
          <w:sz w:val="24"/>
          <w:szCs w:val="24"/>
        </w:rPr>
      </w:pPr>
      <w:r>
        <w:rPr>
          <w:rFonts w:ascii="Times New Roman" w:hAnsi="Times New Roman"/>
          <w:noProof/>
          <w:sz w:val="24"/>
          <w:szCs w:val="24"/>
        </w:rPr>
        <w:t>I nedanstående diagram visas uppgifter om andelen svar på ansökningar som innehåller en eller flera fällande domar, svar utan fällande domar och andra svar, per år</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och i genomsnitt under den tid som Ecris har varit i drift.</w:t>
      </w:r>
    </w:p>
    <w:p>
      <w:pPr>
        <w:jc w:val="center"/>
        <w:rPr>
          <w:rFonts w:ascii="Times New Roman" w:hAnsi="Times New Roman" w:cs="Times New Roman"/>
          <w:noProof/>
          <w:sz w:val="24"/>
          <w:szCs w:val="24"/>
        </w:rPr>
      </w:pPr>
    </w:p>
    <w:p>
      <w:pPr>
        <w:jc w:val="center"/>
        <w:rPr>
          <w:rFonts w:ascii="Times New Roman" w:hAnsi="Times New Roman" w:cs="Times New Roman"/>
          <w:noProof/>
          <w:sz w:val="24"/>
          <w:szCs w:val="24"/>
        </w:rPr>
      </w:pPr>
      <w:r>
        <w:rPr>
          <w:noProof/>
          <w:lang w:val="en-GB"/>
        </w:rPr>
        <w:drawing>
          <wp:inline distT="0" distB="0" distL="0" distR="0">
            <wp:extent cx="4328158" cy="22444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41442" b="719"/>
                    <a:stretch/>
                  </pic:blipFill>
                  <pic:spPr bwMode="auto">
                    <a:xfrm>
                      <a:off x="0" y="0"/>
                      <a:ext cx="4346342" cy="2253865"/>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r>
        <w:rPr>
          <w:rFonts w:ascii="Times New Roman" w:hAnsi="Times New Roman"/>
          <w:noProof/>
          <w:sz w:val="24"/>
          <w:szCs w:val="24"/>
        </w:rPr>
        <w:t xml:space="preserve">Sedan det första året efter att Ecris togs i drift har </w:t>
      </w:r>
      <w:r>
        <w:rPr>
          <w:rFonts w:ascii="Times New Roman" w:hAnsi="Times New Roman"/>
          <w:b/>
          <w:noProof/>
          <w:sz w:val="24"/>
          <w:szCs w:val="24"/>
        </w:rPr>
        <w:t>i genomsnitt 26 % av svaren innehållit uppgifter om tidigare fällande domar</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Detta innebär att den </w:t>
      </w:r>
      <w:r>
        <w:rPr>
          <w:rFonts w:ascii="Times New Roman" w:hAnsi="Times New Roman"/>
          <w:b/>
          <w:bCs/>
          <w:noProof/>
          <w:sz w:val="24"/>
          <w:szCs w:val="24"/>
        </w:rPr>
        <w:t>berörda personen i var fjärde fall redan hade dömts</w:t>
      </w:r>
      <w:r>
        <w:rPr>
          <w:rFonts w:ascii="Times New Roman" w:hAnsi="Times New Roman"/>
          <w:noProof/>
          <w:sz w:val="24"/>
          <w:szCs w:val="24"/>
        </w:rPr>
        <w:t xml:space="preserve"> en eller flera gånger, vilket visar hur värdefullt Ecris är som verktyg för att få fram uppgifter ur kriminalregister. </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r>
        <w:rPr>
          <w:rFonts w:ascii="Times New Roman" w:hAnsi="Times New Roman"/>
          <w:noProof/>
          <w:sz w:val="24"/>
          <w:szCs w:val="24"/>
        </w:rPr>
        <w:t xml:space="preserve">Under många år, fram till 2018, låg denna andel på en stabil nivå kring 30 % för att plötsligt </w:t>
      </w:r>
      <w:r>
        <w:rPr>
          <w:rFonts w:ascii="Times New Roman" w:hAnsi="Times New Roman"/>
          <w:b/>
          <w:bCs/>
          <w:noProof/>
          <w:sz w:val="24"/>
          <w:szCs w:val="24"/>
        </w:rPr>
        <w:t>sjunka till 19 % under 2019</w:t>
      </w:r>
      <w:r>
        <w:rPr>
          <w:rFonts w:ascii="Times New Roman" w:hAnsi="Times New Roman"/>
          <w:noProof/>
          <w:sz w:val="24"/>
          <w:szCs w:val="24"/>
        </w:rPr>
        <w:t>. Detta skedde parallellt med den dramatiska ökningen av antalet ansökningar för andra ändamål än brottmålsförfaranden. Det är ett positivt tecken att de flesta av de personer som är föremål för ansökningar om uppgifter, däribland vid rekrytering, licensiering och administrativa ändamål, inte har några tidigare fällande domar.</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r>
        <w:rPr>
          <w:rFonts w:ascii="Times New Roman" w:hAnsi="Times New Roman"/>
          <w:noProof/>
          <w:sz w:val="24"/>
          <w:szCs w:val="24"/>
        </w:rPr>
        <w:t xml:space="preserve">Under </w:t>
      </w:r>
      <w:r>
        <w:rPr>
          <w:rFonts w:ascii="Times New Roman" w:hAnsi="Times New Roman"/>
          <w:b/>
          <w:noProof/>
          <w:sz w:val="24"/>
          <w:szCs w:val="24"/>
        </w:rPr>
        <w:t xml:space="preserve">2019 </w:t>
      </w:r>
      <w:r>
        <w:rPr>
          <w:rFonts w:ascii="Times New Roman" w:hAnsi="Times New Roman"/>
          <w:noProof/>
          <w:sz w:val="24"/>
          <w:szCs w:val="24"/>
        </w:rPr>
        <w:t xml:space="preserve">motsvarade detta </w:t>
      </w:r>
      <w:r>
        <w:rPr>
          <w:rFonts w:ascii="Times New Roman" w:hAnsi="Times New Roman"/>
          <w:b/>
          <w:noProof/>
          <w:sz w:val="24"/>
          <w:szCs w:val="24"/>
        </w:rPr>
        <w:t xml:space="preserve">188 000 svar på alla ansökningar, varibland uppgifter om fällande domar </w:t>
      </w:r>
      <w:r>
        <w:rPr>
          <w:rFonts w:ascii="Times New Roman" w:hAnsi="Times New Roman"/>
          <w:bCs/>
          <w:noProof/>
          <w:sz w:val="24"/>
          <w:szCs w:val="24"/>
        </w:rPr>
        <w:t>(jämfört med 105 000 år 2016).</w:t>
      </w:r>
      <w:r>
        <w:rPr>
          <w:rFonts w:ascii="Times New Roman" w:hAnsi="Times New Roman"/>
          <w:b/>
          <w:noProof/>
          <w:sz w:val="24"/>
          <w:szCs w:val="24"/>
        </w:rPr>
        <w:t xml:space="preserve"> </w:t>
      </w:r>
      <w:r>
        <w:rPr>
          <w:rFonts w:ascii="Times New Roman" w:hAnsi="Times New Roman"/>
          <w:noProof/>
          <w:sz w:val="24"/>
          <w:szCs w:val="24"/>
        </w:rPr>
        <w:t>Svaren utan uppgifter om fällande domar utgjorde i genomsnitt 74 %, medan andelen andra svar motsvarade 7 %.</w:t>
      </w:r>
    </w:p>
    <w:p>
      <w:pPr>
        <w:rPr>
          <w:rStyle w:val="Hyperlink"/>
          <w:rFonts w:ascii="Times New Roman" w:hAnsi="Times New Roman" w:cs="Times New Roman"/>
          <w:noProof/>
          <w:color w:val="auto"/>
          <w:sz w:val="24"/>
          <w:szCs w:val="24"/>
          <w:u w:val="none"/>
        </w:rPr>
      </w:pPr>
      <w:bookmarkStart w:id="29" w:name="_Toc479267027"/>
      <w:bookmarkStart w:id="30" w:name="_Toc479267028"/>
      <w:bookmarkStart w:id="31" w:name="_Toc479267029"/>
      <w:bookmarkStart w:id="32" w:name="_Toc479267030"/>
      <w:bookmarkStart w:id="33" w:name="_Toc479267031"/>
      <w:bookmarkStart w:id="34" w:name="_Toc479267032"/>
      <w:bookmarkStart w:id="35" w:name="_Toc479267033"/>
      <w:bookmarkStart w:id="36" w:name="_Toc479267034"/>
      <w:bookmarkStart w:id="37" w:name="_Toc479267035"/>
      <w:bookmarkStart w:id="38" w:name="_Toc479267036"/>
      <w:bookmarkStart w:id="39" w:name="_Toc479267037"/>
      <w:bookmarkStart w:id="40" w:name="_Toc479267038"/>
      <w:bookmarkStart w:id="41" w:name="_Toc479267039"/>
      <w:bookmarkStart w:id="42" w:name="_Toc479267040"/>
      <w:bookmarkStart w:id="43" w:name="_Toc479267041"/>
      <w:bookmarkStart w:id="44" w:name="_Toc479267042"/>
      <w:bookmarkStart w:id="45" w:name="_Toc479267043"/>
      <w:bookmarkStart w:id="46" w:name="_Toc479267044"/>
      <w:bookmarkStart w:id="47" w:name="_Toc479267045"/>
      <w:bookmarkStart w:id="48" w:name="_Toc479267046"/>
      <w:bookmarkStart w:id="49" w:name="_Toc479267047"/>
      <w:bookmarkStart w:id="50" w:name="_Toc479267048"/>
      <w:bookmarkStart w:id="51" w:name="_Toc479267049"/>
      <w:bookmarkStart w:id="52" w:name="_Toc479267050"/>
      <w:bookmarkStart w:id="53" w:name="_Toc479267051"/>
      <w:bookmarkStart w:id="54" w:name="_Toc479267052"/>
      <w:bookmarkStart w:id="55" w:name="_Toc479267053"/>
      <w:bookmarkStart w:id="56" w:name="_Toc479267054"/>
      <w:bookmarkStart w:id="57" w:name="_Toc479267055"/>
      <w:bookmarkStart w:id="58" w:name="_Toc479267056"/>
      <w:bookmarkStart w:id="59" w:name="_Toc479267057"/>
      <w:bookmarkStart w:id="60" w:name="_Toc479267058"/>
      <w:bookmarkStart w:id="61" w:name="_Toc479267059"/>
      <w:bookmarkStart w:id="62" w:name="_Toc479267060"/>
      <w:bookmarkStart w:id="63" w:name="_Toc479267061"/>
      <w:bookmarkStart w:id="64" w:name="_Toc479267062"/>
      <w:bookmarkStart w:id="65" w:name="_Toc479267063"/>
      <w:bookmarkStart w:id="66" w:name="_Toc479267064"/>
      <w:bookmarkStart w:id="67" w:name="_Toc479267065"/>
      <w:bookmarkStart w:id="68" w:name="_Toc479267066"/>
      <w:bookmarkStart w:id="69" w:name="_Toc479267067"/>
      <w:bookmarkStart w:id="70" w:name="_Toc479267068"/>
      <w:bookmarkStart w:id="71" w:name="_Toc479267069"/>
      <w:bookmarkStart w:id="72" w:name="_Toc479267070"/>
      <w:bookmarkStart w:id="73" w:name="_Toc479267071"/>
      <w:bookmarkStart w:id="74" w:name="_Toc479267072"/>
      <w:bookmarkStart w:id="75" w:name="_Toc479267073"/>
      <w:bookmarkStart w:id="76" w:name="_Toc479267074"/>
      <w:bookmarkStart w:id="77" w:name="_Toc479267075"/>
      <w:bookmarkStart w:id="78" w:name="_Toc479267076"/>
      <w:bookmarkStart w:id="79" w:name="_Toc479267077"/>
      <w:bookmarkStart w:id="80" w:name="_Toc479267078"/>
      <w:bookmarkStart w:id="81" w:name="_Toc479267079"/>
      <w:bookmarkStart w:id="82" w:name="_Toc479267080"/>
      <w:bookmarkStart w:id="83" w:name="_Toc479267081"/>
      <w:bookmarkStart w:id="84" w:name="_Toc479267082"/>
      <w:bookmarkStart w:id="85" w:name="_Toc479267083"/>
      <w:bookmarkStart w:id="86" w:name="_Toc479267084"/>
      <w:bookmarkStart w:id="87" w:name="_Toc479267085"/>
      <w:bookmarkStart w:id="88" w:name="_Toc479267086"/>
      <w:bookmarkStart w:id="89" w:name="_Toc479267087"/>
      <w:bookmarkStart w:id="90" w:name="_Toc479267088"/>
      <w:bookmarkStart w:id="91" w:name="_Toc479267089"/>
      <w:bookmarkStart w:id="92" w:name="_Toc479267090"/>
      <w:bookmarkStart w:id="93" w:name="_Toc479267091"/>
      <w:bookmarkStart w:id="94" w:name="_Toc479267092"/>
      <w:bookmarkStart w:id="95" w:name="_Toc479267093"/>
      <w:bookmarkStart w:id="96" w:name="_Toc479267094"/>
      <w:bookmarkStart w:id="97" w:name="_Toc479267095"/>
      <w:bookmarkStart w:id="98" w:name="_Toc479267096"/>
      <w:bookmarkStart w:id="99" w:name="_Toc479267097"/>
      <w:bookmarkStart w:id="100" w:name="_Toc479267098"/>
      <w:bookmarkStart w:id="101" w:name="_Toc479267099"/>
      <w:bookmarkStart w:id="102" w:name="_Toc479267100"/>
      <w:bookmarkStart w:id="103" w:name="_Toc479267101"/>
      <w:bookmarkStart w:id="104" w:name="_Toc479267102"/>
      <w:bookmarkStart w:id="105" w:name="_Toc479267103"/>
      <w:bookmarkStart w:id="106" w:name="_Toc479267104"/>
      <w:bookmarkStart w:id="107" w:name="_Toc479267105"/>
      <w:bookmarkStart w:id="108" w:name="_Toc479267106"/>
      <w:bookmarkStart w:id="109" w:name="_Toc479267107"/>
      <w:bookmarkStart w:id="110" w:name="_Toc479267108"/>
      <w:bookmarkStart w:id="111" w:name="_Toc479267109"/>
      <w:bookmarkStart w:id="112" w:name="_Toc479267110"/>
      <w:bookmarkStart w:id="113" w:name="_Toc479267111"/>
      <w:bookmarkStart w:id="114" w:name="_Toc479267112"/>
      <w:bookmarkStart w:id="115" w:name="_Toc479267113"/>
      <w:bookmarkStart w:id="116" w:name="_Toc479267114"/>
      <w:bookmarkStart w:id="117" w:name="_Toc479267115"/>
      <w:bookmarkStart w:id="118" w:name="_Toc479267116"/>
      <w:bookmarkStart w:id="119" w:name="_Toc479267117"/>
      <w:bookmarkStart w:id="120" w:name="_Toc479267118"/>
      <w:bookmarkStart w:id="121" w:name="_Toc479267119"/>
      <w:bookmarkStart w:id="122" w:name="_Toc479267120"/>
      <w:bookmarkStart w:id="123" w:name="_Toc479267121"/>
      <w:bookmarkStart w:id="124" w:name="_Toc479267122"/>
      <w:bookmarkStart w:id="125" w:name="_Toc479267123"/>
      <w:bookmarkStart w:id="126" w:name="_Toc479267124"/>
      <w:bookmarkStart w:id="127" w:name="_Toc479267125"/>
      <w:bookmarkStart w:id="128" w:name="_Toc479267126"/>
      <w:bookmarkStart w:id="129" w:name="_Toc479267127"/>
      <w:bookmarkStart w:id="130" w:name="_Toc479267128"/>
      <w:bookmarkStart w:id="131" w:name="_Toc479267129"/>
      <w:bookmarkStart w:id="132" w:name="_Toc479267130"/>
      <w:bookmarkStart w:id="133" w:name="_Toc479267131"/>
      <w:bookmarkStart w:id="134" w:name="_Toc479267132"/>
      <w:bookmarkStart w:id="135" w:name="_Toc479267133"/>
      <w:bookmarkStart w:id="136" w:name="_Toc479267134"/>
      <w:bookmarkStart w:id="137" w:name="_Toc479267135"/>
      <w:bookmarkStart w:id="138" w:name="_Toc479267136"/>
      <w:bookmarkStart w:id="139" w:name="_Toc479267137"/>
      <w:bookmarkStart w:id="140" w:name="_Toc479267138"/>
      <w:bookmarkStart w:id="141" w:name="_Toc479267139"/>
      <w:bookmarkStart w:id="142" w:name="_Toc479267140"/>
      <w:bookmarkStart w:id="143" w:name="_Toc479267141"/>
      <w:bookmarkStart w:id="144" w:name="_Toc479267142"/>
      <w:bookmarkStart w:id="145" w:name="_Toc479267143"/>
      <w:bookmarkStart w:id="146" w:name="_Toc479267144"/>
      <w:bookmarkStart w:id="147" w:name="_Toc479267145"/>
      <w:bookmarkStart w:id="148" w:name="_Toc479267146"/>
      <w:bookmarkStart w:id="149" w:name="_Toc479267147"/>
      <w:bookmarkStart w:id="150" w:name="_Toc479267148"/>
      <w:bookmarkStart w:id="151" w:name="_Toc479267149"/>
      <w:bookmarkStart w:id="152" w:name="_Toc479267150"/>
      <w:bookmarkStart w:id="153" w:name="_Toc479267151"/>
      <w:bookmarkStart w:id="154" w:name="_Toc479267152"/>
      <w:bookmarkStart w:id="155" w:name="_Toc479267153"/>
      <w:bookmarkStart w:id="156" w:name="_Toc479267154"/>
      <w:bookmarkStart w:id="157" w:name="_Toc479267155"/>
      <w:bookmarkStart w:id="158" w:name="_Toc479267156"/>
      <w:bookmarkStart w:id="159" w:name="_Toc479267157"/>
      <w:bookmarkStart w:id="160" w:name="_Toc479267158"/>
      <w:bookmarkStart w:id="161" w:name="_Toc479267159"/>
      <w:bookmarkStart w:id="162" w:name="_Toc479267160"/>
      <w:bookmarkStart w:id="163" w:name="_Toc479267161"/>
      <w:bookmarkStart w:id="164" w:name="_Toc479267162"/>
      <w:bookmarkStart w:id="165" w:name="_Toc479267163"/>
      <w:bookmarkStart w:id="166" w:name="_Toc479267164"/>
      <w:bookmarkStart w:id="167" w:name="_Toc479267165"/>
      <w:bookmarkStart w:id="168" w:name="_Toc4792671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jc w:val="both"/>
        <w:rPr>
          <w:rFonts w:ascii="Times New Roman" w:hAnsi="Times New Roman" w:cs="Times New Roman"/>
          <w:b/>
          <w:smallCaps/>
          <w:noProof/>
          <w:kern w:val="28"/>
          <w:sz w:val="24"/>
          <w:szCs w:val="24"/>
        </w:rPr>
      </w:pPr>
      <w:r>
        <w:rPr>
          <w:rFonts w:ascii="Times New Roman" w:hAnsi="Times New Roman"/>
          <w:b/>
          <w:noProof/>
          <w:sz w:val="24"/>
          <w:szCs w:val="24"/>
        </w:rPr>
        <w:t xml:space="preserve">3. Huvudsakliga resultat </w:t>
      </w:r>
    </w:p>
    <w:p>
      <w:pPr>
        <w:numPr>
          <w:ilvl w:val="0"/>
          <w:numId w:val="27"/>
        </w:numPr>
        <w:ind w:left="714" w:hanging="357"/>
        <w:jc w:val="both"/>
        <w:rPr>
          <w:rFonts w:ascii="Times New Roman" w:hAnsi="Times New Roman" w:cs="Times New Roman"/>
          <w:noProof/>
          <w:sz w:val="24"/>
          <w:szCs w:val="24"/>
        </w:rPr>
      </w:pPr>
      <w:r>
        <w:rPr>
          <w:rFonts w:ascii="Times New Roman" w:hAnsi="Times New Roman"/>
          <w:b/>
          <w:noProof/>
          <w:sz w:val="24"/>
          <w:szCs w:val="24"/>
        </w:rPr>
        <w:t>Under 2019 användes Ecris aktivt av samtliga 28 medlemsstater, men 9,8 % av de möjliga sammanlänkningarna saknades fortfarande</w:t>
      </w:r>
    </w:p>
    <w:p>
      <w:pPr>
        <w:jc w:val="both"/>
        <w:rPr>
          <w:rFonts w:ascii="Times New Roman" w:hAnsi="Times New Roman" w:cs="Times New Roman"/>
          <w:noProof/>
          <w:sz w:val="24"/>
          <w:szCs w:val="24"/>
        </w:rPr>
      </w:pPr>
      <w:r>
        <w:rPr>
          <w:rFonts w:ascii="Times New Roman" w:hAnsi="Times New Roman"/>
          <w:noProof/>
          <w:sz w:val="24"/>
          <w:szCs w:val="24"/>
        </w:rPr>
        <w:t xml:space="preserve">När Ecris varit i drift under åtta år hade </w:t>
      </w:r>
      <w:r>
        <w:rPr>
          <w:rFonts w:ascii="Times New Roman" w:hAnsi="Times New Roman"/>
          <w:b/>
          <w:noProof/>
          <w:sz w:val="24"/>
          <w:szCs w:val="24"/>
        </w:rPr>
        <w:t>alla 28 medlemsstater</w:t>
      </w:r>
      <w:r>
        <w:rPr>
          <w:rFonts w:ascii="Times New Roman" w:hAnsi="Times New Roman"/>
          <w:noProof/>
          <w:sz w:val="24"/>
          <w:szCs w:val="24"/>
        </w:rPr>
        <w:t xml:space="preserve"> </w:t>
      </w:r>
      <w:r>
        <w:rPr>
          <w:rFonts w:ascii="Times New Roman" w:hAnsi="Times New Roman"/>
          <w:b/>
          <w:noProof/>
          <w:sz w:val="24"/>
          <w:szCs w:val="24"/>
        </w:rPr>
        <w:t>anslutit sig till systemet</w:t>
      </w:r>
      <w:r>
        <w:rPr>
          <w:rFonts w:ascii="Times New Roman" w:hAnsi="Times New Roman"/>
          <w:noProof/>
          <w:sz w:val="24"/>
          <w:szCs w:val="24"/>
        </w:rPr>
        <w:t xml:space="preserve">. </w:t>
      </w:r>
      <w:r>
        <w:rPr>
          <w:rFonts w:ascii="Times New Roman" w:hAnsi="Times New Roman"/>
          <w:bCs/>
          <w:noProof/>
          <w:sz w:val="24"/>
          <w:szCs w:val="24"/>
        </w:rPr>
        <w:t>Det är emellertid endast en medlemsstat (ES) som utbyter uppgifter med de andra 27 medlemsstaterna.</w:t>
      </w:r>
      <w:r>
        <w:rPr>
          <w:rFonts w:ascii="Times New Roman" w:hAnsi="Times New Roman"/>
          <w:b/>
          <w:noProof/>
          <w:sz w:val="24"/>
          <w:szCs w:val="24"/>
        </w:rPr>
        <w:t xml:space="preserve"> </w:t>
      </w:r>
      <w:r>
        <w:rPr>
          <w:rFonts w:ascii="Times New Roman" w:hAnsi="Times New Roman"/>
          <w:b/>
          <w:bCs/>
          <w:noProof/>
          <w:sz w:val="24"/>
          <w:szCs w:val="24"/>
        </w:rPr>
        <w:t>Varje medlemsstat har i genomsnitt 24 aktiva anslutningar</w:t>
      </w:r>
      <w:r>
        <w:rPr>
          <w:rFonts w:ascii="Times New Roman" w:hAnsi="Times New Roman"/>
          <w:noProof/>
          <w:sz w:val="24"/>
          <w:szCs w:val="24"/>
        </w:rPr>
        <w:t xml:space="preserve"> med de andra. I slutet av 2019 hade </w:t>
      </w:r>
      <w:r>
        <w:rPr>
          <w:rFonts w:ascii="Times New Roman" w:hAnsi="Times New Roman"/>
          <w:b/>
          <w:noProof/>
          <w:sz w:val="24"/>
          <w:szCs w:val="24"/>
        </w:rPr>
        <w:t>90 % av det totala antalet möjliga sammanlänkningar</w:t>
      </w:r>
      <w:r>
        <w:rPr>
          <w:rFonts w:ascii="Times New Roman" w:hAnsi="Times New Roman"/>
          <w:noProof/>
          <w:sz w:val="24"/>
          <w:szCs w:val="24"/>
        </w:rPr>
        <w:t xml:space="preserve"> inrättats.</w:t>
      </w:r>
    </w:p>
    <w:p>
      <w:pPr>
        <w:numPr>
          <w:ilvl w:val="0"/>
          <w:numId w:val="27"/>
        </w:numPr>
        <w:ind w:left="714" w:hanging="357"/>
        <w:jc w:val="both"/>
        <w:rPr>
          <w:rFonts w:ascii="Times New Roman" w:hAnsi="Times New Roman"/>
          <w:b/>
          <w:noProof/>
          <w:sz w:val="24"/>
        </w:rPr>
      </w:pPr>
      <w:r>
        <w:rPr>
          <w:rFonts w:ascii="Times New Roman" w:hAnsi="Times New Roman"/>
          <w:b/>
          <w:noProof/>
          <w:sz w:val="24"/>
          <w:szCs w:val="24"/>
        </w:rPr>
        <w:t>Antalet meddelanden som utbyttes uppgick till 4,2 miljoner år 2019</w:t>
      </w:r>
    </w:p>
    <w:p>
      <w:pPr>
        <w:jc w:val="both"/>
        <w:rPr>
          <w:rFonts w:ascii="Times New Roman" w:hAnsi="Times New Roman" w:cs="Times New Roman"/>
          <w:noProof/>
          <w:sz w:val="24"/>
          <w:szCs w:val="24"/>
        </w:rPr>
      </w:pPr>
      <w:r>
        <w:rPr>
          <w:rFonts w:ascii="Times New Roman" w:hAnsi="Times New Roman"/>
          <w:noProof/>
          <w:sz w:val="24"/>
          <w:szCs w:val="24"/>
        </w:rPr>
        <w:t xml:space="preserve">Från de 2 miljoner meddelanden som utbyttes mellan alla sammanlänkade medlemsstater under 2016 </w:t>
      </w:r>
      <w:r>
        <w:rPr>
          <w:rFonts w:ascii="Times New Roman" w:hAnsi="Times New Roman"/>
          <w:b/>
          <w:bCs/>
          <w:noProof/>
          <w:sz w:val="24"/>
          <w:szCs w:val="24"/>
        </w:rPr>
        <w:t>fördubblades antalet till 4,2 miljoner under 2019</w:t>
      </w:r>
      <w:r>
        <w:rPr>
          <w:rFonts w:ascii="Times New Roman" w:hAnsi="Times New Roman"/>
          <w:noProof/>
          <w:sz w:val="24"/>
          <w:szCs w:val="24"/>
        </w:rPr>
        <w:t xml:space="preserve">, med ett </w:t>
      </w:r>
      <w:r>
        <w:rPr>
          <w:rFonts w:ascii="Times New Roman" w:hAnsi="Times New Roman"/>
          <w:b/>
          <w:bCs/>
          <w:noProof/>
          <w:sz w:val="24"/>
          <w:szCs w:val="24"/>
        </w:rPr>
        <w:t>genomsnitt på 348 000 meddelanden per månad</w:t>
      </w:r>
      <w:r>
        <w:rPr>
          <w:rFonts w:ascii="Times New Roman" w:hAnsi="Times New Roman"/>
          <w:noProof/>
          <w:sz w:val="24"/>
          <w:szCs w:val="24"/>
        </w:rPr>
        <w:t xml:space="preserve">. De senaste tre åren har inneburit en radikal </w:t>
      </w:r>
      <w:r>
        <w:rPr>
          <w:rFonts w:ascii="Times New Roman" w:hAnsi="Times New Roman"/>
          <w:b/>
          <w:bCs/>
          <w:noProof/>
          <w:sz w:val="24"/>
          <w:szCs w:val="24"/>
        </w:rPr>
        <w:t xml:space="preserve">förändring av förhållandena </w:t>
      </w:r>
      <w:r>
        <w:rPr>
          <w:rFonts w:ascii="Times New Roman" w:hAnsi="Times New Roman"/>
          <w:noProof/>
          <w:sz w:val="24"/>
          <w:szCs w:val="24"/>
        </w:rPr>
        <w:t>mellan antalet underrättelser, ansökningar och svar på ansökningar</w:t>
      </w:r>
      <w:r>
        <w:rPr>
          <w:rFonts w:ascii="Times New Roman" w:hAnsi="Times New Roman"/>
          <w:bCs/>
          <w:noProof/>
          <w:sz w:val="24"/>
          <w:szCs w:val="24"/>
        </w:rPr>
        <w:t xml:space="preserve">. </w:t>
      </w:r>
      <w:r>
        <w:rPr>
          <w:rFonts w:ascii="Times New Roman" w:hAnsi="Times New Roman"/>
          <w:b/>
          <w:bCs/>
          <w:noProof/>
          <w:sz w:val="24"/>
          <w:szCs w:val="24"/>
        </w:rPr>
        <w:t xml:space="preserve">Antalet ansökningar om uppgifter </w:t>
      </w:r>
      <w:r>
        <w:rPr>
          <w:rFonts w:ascii="Times New Roman" w:hAnsi="Times New Roman"/>
          <w:bCs/>
          <w:noProof/>
          <w:sz w:val="24"/>
          <w:szCs w:val="24"/>
        </w:rPr>
        <w:t>har blivit</w:t>
      </w:r>
      <w:r>
        <w:rPr>
          <w:rFonts w:ascii="Times New Roman" w:hAnsi="Times New Roman"/>
          <w:b/>
          <w:bCs/>
          <w:noProof/>
          <w:sz w:val="24"/>
          <w:szCs w:val="24"/>
        </w:rPr>
        <w:t xml:space="preserve"> mer än tre gånger högre än antalet underrättelser</w:t>
      </w:r>
      <w:r>
        <w:rPr>
          <w:rFonts w:ascii="Times New Roman" w:hAnsi="Times New Roman"/>
          <w:bCs/>
          <w:noProof/>
          <w:sz w:val="24"/>
          <w:szCs w:val="24"/>
        </w:rPr>
        <w:t>.</w:t>
      </w:r>
    </w:p>
    <w:p>
      <w:pPr>
        <w:numPr>
          <w:ilvl w:val="0"/>
          <w:numId w:val="27"/>
        </w:numPr>
        <w:ind w:left="714" w:hanging="357"/>
        <w:jc w:val="both"/>
        <w:rPr>
          <w:rFonts w:ascii="Times New Roman" w:hAnsi="Times New Roman"/>
          <w:b/>
          <w:noProof/>
          <w:sz w:val="24"/>
        </w:rPr>
      </w:pPr>
      <w:r>
        <w:rPr>
          <w:rFonts w:ascii="Times New Roman" w:hAnsi="Times New Roman"/>
          <w:b/>
          <w:noProof/>
          <w:sz w:val="24"/>
          <w:szCs w:val="24"/>
        </w:rPr>
        <w:t xml:space="preserve">Minskning av antalet underrättelser om nya fällande domar – många fällande domar meddelas inte </w:t>
      </w:r>
    </w:p>
    <w:p>
      <w:pPr>
        <w:jc w:val="both"/>
        <w:rPr>
          <w:rFonts w:ascii="Times New Roman" w:hAnsi="Times New Roman" w:cs="Times New Roman"/>
          <w:noProof/>
          <w:sz w:val="24"/>
          <w:szCs w:val="24"/>
        </w:rPr>
      </w:pPr>
      <w:r>
        <w:rPr>
          <w:rFonts w:ascii="Times New Roman" w:hAnsi="Times New Roman"/>
          <w:b/>
          <w:noProof/>
          <w:sz w:val="24"/>
          <w:szCs w:val="24"/>
        </w:rPr>
        <w:t>Antalet underrättelser om nya fällande domar sjönk</w:t>
      </w:r>
      <w:r>
        <w:rPr>
          <w:rFonts w:ascii="Times New Roman" w:hAnsi="Times New Roman"/>
          <w:noProof/>
          <w:sz w:val="24"/>
          <w:szCs w:val="24"/>
        </w:rPr>
        <w:t xml:space="preserve"> under 2017 och låg på en stabil nivå på omkring </w:t>
      </w:r>
      <w:r>
        <w:rPr>
          <w:rFonts w:ascii="Times New Roman" w:hAnsi="Times New Roman"/>
          <w:b/>
          <w:noProof/>
          <w:sz w:val="24"/>
          <w:szCs w:val="24"/>
        </w:rPr>
        <w:t>310 000 fram till 2019</w:t>
      </w:r>
      <w:r>
        <w:rPr>
          <w:rFonts w:ascii="Times New Roman" w:hAnsi="Times New Roman"/>
          <w:noProof/>
          <w:sz w:val="24"/>
          <w:szCs w:val="24"/>
        </w:rPr>
        <w:t xml:space="preserve">. Denna nedåtgående trend är överraskande mot bakgrund av det stigande antalet sammanlänkningar mellan medlemsstaterna. </w:t>
      </w:r>
    </w:p>
    <w:p>
      <w:pPr>
        <w:jc w:val="both"/>
        <w:rPr>
          <w:rFonts w:ascii="Times New Roman" w:hAnsi="Times New Roman" w:cs="Times New Roman"/>
          <w:noProof/>
          <w:sz w:val="24"/>
          <w:szCs w:val="24"/>
        </w:rPr>
      </w:pPr>
      <w:r>
        <w:rPr>
          <w:rFonts w:ascii="Times New Roman" w:hAnsi="Times New Roman"/>
          <w:b/>
          <w:noProof/>
          <w:sz w:val="24"/>
          <w:szCs w:val="24"/>
        </w:rPr>
        <w:t>Några av medlemsstaterna sände inte några underrättelser alls om nya fällande domar</w:t>
      </w:r>
      <w:r>
        <w:rPr>
          <w:rFonts w:ascii="Times New Roman" w:hAnsi="Times New Roman"/>
          <w:bCs/>
          <w:noProof/>
          <w:sz w:val="24"/>
          <w:szCs w:val="24"/>
        </w:rPr>
        <w:t xml:space="preserve"> under vissa år</w:t>
      </w:r>
      <w:r>
        <w:rPr>
          <w:rFonts w:ascii="Times New Roman" w:hAnsi="Times New Roman"/>
          <w:noProof/>
          <w:sz w:val="24"/>
          <w:szCs w:val="24"/>
        </w:rPr>
        <w:t xml:space="preserve"> (PT, MT, EE, EL), och </w:t>
      </w:r>
      <w:r>
        <w:rPr>
          <w:rFonts w:ascii="Times New Roman" w:hAnsi="Times New Roman"/>
          <w:b/>
          <w:noProof/>
          <w:sz w:val="24"/>
          <w:szCs w:val="24"/>
        </w:rPr>
        <w:t>många sände en låg volym</w:t>
      </w:r>
      <w:r>
        <w:rPr>
          <w:rFonts w:ascii="Times New Roman" w:hAnsi="Times New Roman"/>
          <w:noProof/>
          <w:sz w:val="24"/>
          <w:szCs w:val="24"/>
        </w:rPr>
        <w:t xml:space="preserve"> sådana underrättelser i förhållande till antalet medborgare från andra EU-medlemsstater och antalet fällande domar (BG, EE, EL, IE, LT, LU, MT, RO, SI, SE, PT, UK). Underlåtelse att sända underrättelser strider mot Ecris-lagstiftningen och kan få allvarliga konsekvenser.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Stark ökning av antalet ansökningar om uppgifter, som nu uppgår till 1 miljon</w:t>
      </w:r>
    </w:p>
    <w:p>
      <w:pPr>
        <w:jc w:val="both"/>
        <w:rPr>
          <w:rFonts w:ascii="Times New Roman" w:hAnsi="Times New Roman" w:cs="Times New Roman"/>
          <w:noProof/>
          <w:sz w:val="24"/>
          <w:szCs w:val="24"/>
        </w:rPr>
      </w:pPr>
      <w:r>
        <w:rPr>
          <w:rFonts w:ascii="Times New Roman" w:hAnsi="Times New Roman"/>
          <w:b/>
          <w:noProof/>
          <w:sz w:val="24"/>
          <w:szCs w:val="24"/>
        </w:rPr>
        <w:t>Antalet ansökningar om uppgifter</w:t>
      </w:r>
      <w:r>
        <w:rPr>
          <w:rFonts w:ascii="Times New Roman" w:hAnsi="Times New Roman"/>
          <w:noProof/>
          <w:sz w:val="24"/>
          <w:szCs w:val="24"/>
        </w:rPr>
        <w:t xml:space="preserve"> </w:t>
      </w:r>
      <w:r>
        <w:rPr>
          <w:rFonts w:ascii="Times New Roman" w:hAnsi="Times New Roman"/>
          <w:b/>
          <w:noProof/>
          <w:sz w:val="24"/>
          <w:szCs w:val="24"/>
        </w:rPr>
        <w:t>har tredubblats sedan 2017 och uppgick till 1 miljon</w:t>
      </w:r>
      <w:r>
        <w:rPr>
          <w:rFonts w:ascii="Times New Roman" w:hAnsi="Times New Roman"/>
          <w:noProof/>
          <w:sz w:val="24"/>
          <w:szCs w:val="24"/>
        </w:rPr>
        <w:t xml:space="preserve"> bara under 2019. Denna stora ökning beror främst på</w:t>
      </w:r>
      <w:r>
        <w:rPr>
          <w:rFonts w:ascii="Times New Roman" w:hAnsi="Times New Roman"/>
          <w:b/>
          <w:noProof/>
          <w:sz w:val="24"/>
          <w:szCs w:val="24"/>
        </w:rPr>
        <w:t xml:space="preserve"> </w:t>
      </w:r>
      <w:r>
        <w:rPr>
          <w:rFonts w:ascii="Times New Roman" w:hAnsi="Times New Roman"/>
          <w:b/>
          <w:bCs/>
          <w:noProof/>
          <w:sz w:val="24"/>
          <w:szCs w:val="24"/>
        </w:rPr>
        <w:t xml:space="preserve">den förändrade användningen av Ecris, </w:t>
      </w:r>
      <w:r>
        <w:rPr>
          <w:rFonts w:ascii="Times New Roman" w:hAnsi="Times New Roman"/>
          <w:noProof/>
          <w:sz w:val="24"/>
          <w:szCs w:val="24"/>
        </w:rPr>
        <w:t xml:space="preserve">som inte längre enbart, eller ens huvudsakligen, används för brottmålsförfaranden, utan även – </w:t>
      </w:r>
      <w:r>
        <w:rPr>
          <w:rFonts w:ascii="Times New Roman" w:hAnsi="Times New Roman"/>
          <w:b/>
          <w:noProof/>
          <w:sz w:val="24"/>
          <w:szCs w:val="24"/>
        </w:rPr>
        <w:t>regelbundet – för andra ändamål (t.ex. kontroller före anställning, ansökningar om att få ut egna uppgifter ur kriminalregistret etc.).</w:t>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b/>
          <w:noProof/>
          <w:sz w:val="24"/>
          <w:szCs w:val="24"/>
        </w:rPr>
        <w:t>Volymen ansökningar varierar emellertid avsevärt bland medlemsstaterna</w:t>
      </w:r>
      <w:r>
        <w:rPr>
          <w:rFonts w:ascii="Times New Roman" w:hAnsi="Times New Roman"/>
          <w:noProof/>
          <w:sz w:val="24"/>
          <w:szCs w:val="24"/>
        </w:rPr>
        <w:t xml:space="preserve">, från 745 000 (DE) till sex ansökningar (EL) per år. Ökningen av det totala antalet ansökningar beror främst på ett stort antal ansökningar från DE.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Ecris</w:t>
      </w:r>
      <w:r>
        <w:rPr>
          <w:rFonts w:ascii="Times New Roman" w:hAnsi="Times New Roman"/>
          <w:b/>
          <w:noProof/>
          <w:sz w:val="24"/>
          <w:szCs w:val="24"/>
        </w:rPr>
        <w:t xml:space="preserve"> används för andra ändamål än brottmålsförfaranden lika ofta som för brottmålsförfaranden</w:t>
      </w:r>
    </w:p>
    <w:p>
      <w:pPr>
        <w:jc w:val="both"/>
        <w:rPr>
          <w:rFonts w:ascii="Times New Roman" w:hAnsi="Times New Roman" w:cs="Times New Roman"/>
          <w:bCs/>
          <w:noProof/>
          <w:sz w:val="24"/>
          <w:szCs w:val="24"/>
        </w:rPr>
      </w:pPr>
      <w:r>
        <w:rPr>
          <w:rFonts w:ascii="Times New Roman" w:hAnsi="Times New Roman"/>
          <w:noProof/>
          <w:sz w:val="24"/>
          <w:szCs w:val="24"/>
        </w:rPr>
        <w:t>Under många år låg andelen ansökningar för andra ändamål än brottmålsförfaranden på en genomsnittlig nivå kring 20 %, men på grund av medlemsstaternas förändrade användning av Ecris sedan 2018</w:t>
      </w:r>
      <w:r>
        <w:rPr>
          <w:rFonts w:ascii="Times New Roman" w:hAnsi="Times New Roman"/>
          <w:b/>
          <w:bCs/>
          <w:noProof/>
          <w:sz w:val="24"/>
          <w:szCs w:val="24"/>
        </w:rPr>
        <w:t xml:space="preserve"> används systemet numera lika ofta för brottmålsförfaranden som för andra ändamål (50/50 %).</w:t>
      </w:r>
      <w:r>
        <w:rPr>
          <w:rFonts w:ascii="Times New Roman" w:hAnsi="Times New Roman"/>
          <w:noProof/>
          <w:sz w:val="24"/>
          <w:szCs w:val="24"/>
        </w:rPr>
        <w:t xml:space="preserve"> Antalet </w:t>
      </w:r>
      <w:r>
        <w:rPr>
          <w:rFonts w:ascii="Times New Roman" w:hAnsi="Times New Roman"/>
          <w:b/>
          <w:noProof/>
          <w:sz w:val="24"/>
          <w:szCs w:val="24"/>
        </w:rPr>
        <w:t xml:space="preserve">ansökningar för andra ändamål översteg en halv miljon under 2019 </w:t>
      </w:r>
      <w:r>
        <w:rPr>
          <w:rFonts w:ascii="Times New Roman" w:hAnsi="Times New Roman"/>
          <w:bCs/>
          <w:noProof/>
          <w:sz w:val="24"/>
          <w:szCs w:val="24"/>
        </w:rPr>
        <w:t xml:space="preserve">– </w:t>
      </w:r>
      <w:r>
        <w:rPr>
          <w:rFonts w:ascii="Times New Roman" w:hAnsi="Times New Roman"/>
          <w:noProof/>
          <w:sz w:val="24"/>
          <w:szCs w:val="24"/>
        </w:rPr>
        <w:t>sex gånger mer än 2016.</w:t>
      </w:r>
    </w:p>
    <w:p>
      <w:pPr>
        <w:jc w:val="both"/>
        <w:rPr>
          <w:rFonts w:ascii="Times New Roman" w:hAnsi="Times New Roman" w:cs="Times New Roman"/>
          <w:noProof/>
          <w:sz w:val="24"/>
          <w:szCs w:val="24"/>
        </w:rPr>
      </w:pPr>
      <w:r>
        <w:rPr>
          <w:rFonts w:ascii="Times New Roman" w:hAnsi="Times New Roman"/>
          <w:noProof/>
          <w:sz w:val="24"/>
          <w:szCs w:val="24"/>
        </w:rPr>
        <w:t xml:space="preserve">Denna ökning av antalet ansökningar orsakades främst av </w:t>
      </w:r>
      <w:r>
        <w:rPr>
          <w:rFonts w:ascii="Times New Roman" w:hAnsi="Times New Roman"/>
          <w:b/>
          <w:bCs/>
          <w:noProof/>
          <w:sz w:val="24"/>
          <w:szCs w:val="24"/>
        </w:rPr>
        <w:t>en stor ökning av antalet privatpersoner som ville inhämta uppgifter om sig själva (356 000</w:t>
      </w:r>
      <w:r>
        <w:rPr>
          <w:rFonts w:ascii="Times New Roman" w:hAnsi="Times New Roman"/>
          <w:noProof/>
          <w:sz w:val="24"/>
          <w:szCs w:val="24"/>
        </w:rPr>
        <w:t xml:space="preserve"> under 2019, vilket motsvarade </w:t>
      </w:r>
      <w:r>
        <w:rPr>
          <w:rFonts w:ascii="Times New Roman" w:hAnsi="Times New Roman"/>
          <w:b/>
          <w:bCs/>
          <w:noProof/>
          <w:sz w:val="24"/>
          <w:szCs w:val="24"/>
        </w:rPr>
        <w:t>70 % av ansökningarna för andra ändamål)</w:t>
      </w:r>
      <w:r>
        <w:rPr>
          <w:rFonts w:ascii="Times New Roman" w:hAnsi="Times New Roman"/>
          <w:noProof/>
          <w:sz w:val="24"/>
          <w:szCs w:val="24"/>
        </w:rPr>
        <w:t xml:space="preserve"> och </w:t>
      </w:r>
      <w:r>
        <w:rPr>
          <w:rFonts w:ascii="Times New Roman" w:hAnsi="Times New Roman"/>
          <w:b/>
          <w:bCs/>
          <w:noProof/>
          <w:sz w:val="24"/>
          <w:szCs w:val="24"/>
        </w:rPr>
        <w:t>en ökning av antalet ansökningar i samband med rekrytering</w:t>
      </w:r>
      <w:r>
        <w:rPr>
          <w:rFonts w:ascii="Times New Roman" w:hAnsi="Times New Roman"/>
          <w:b/>
          <w:noProof/>
          <w:sz w:val="24"/>
          <w:szCs w:val="24"/>
        </w:rPr>
        <w:t xml:space="preserve"> </w:t>
      </w:r>
      <w:r>
        <w:rPr>
          <w:rFonts w:ascii="Times New Roman" w:hAnsi="Times New Roman"/>
          <w:noProof/>
          <w:sz w:val="24"/>
          <w:szCs w:val="24"/>
        </w:rPr>
        <w:t xml:space="preserve">för </w:t>
      </w:r>
      <w:r>
        <w:rPr>
          <w:rFonts w:ascii="Times New Roman" w:hAnsi="Times New Roman"/>
          <w:b/>
          <w:noProof/>
          <w:sz w:val="24"/>
          <w:szCs w:val="24"/>
        </w:rPr>
        <w:t>tjänster som innebär kontakt med barn</w:t>
      </w:r>
      <w:r>
        <w:rPr>
          <w:rFonts w:ascii="Times New Roman" w:hAnsi="Times New Roman"/>
          <w:noProof/>
          <w:sz w:val="24"/>
          <w:szCs w:val="24"/>
        </w:rPr>
        <w:t xml:space="preserve"> efter genomförandet av </w:t>
      </w:r>
      <w:r>
        <w:rPr>
          <w:rFonts w:ascii="Times New Roman" w:hAnsi="Times New Roman"/>
          <w:b/>
          <w:noProof/>
          <w:sz w:val="24"/>
          <w:szCs w:val="24"/>
        </w:rPr>
        <w:t>direktiv 2011/93/EU (115 000 </w:t>
      </w:r>
      <w:r>
        <w:rPr>
          <w:rFonts w:ascii="Times New Roman" w:hAnsi="Times New Roman"/>
          <w:noProof/>
          <w:sz w:val="24"/>
          <w:szCs w:val="24"/>
        </w:rPr>
        <w:t xml:space="preserve">ansökningar – </w:t>
      </w:r>
      <w:r>
        <w:rPr>
          <w:rFonts w:ascii="Times New Roman" w:hAnsi="Times New Roman"/>
          <w:b/>
          <w:bCs/>
          <w:noProof/>
          <w:sz w:val="24"/>
          <w:szCs w:val="24"/>
        </w:rPr>
        <w:t xml:space="preserve">22 % </w:t>
      </w:r>
      <w:r>
        <w:rPr>
          <w:rFonts w:ascii="Times New Roman" w:hAnsi="Times New Roman"/>
          <w:noProof/>
          <w:sz w:val="24"/>
          <w:szCs w:val="24"/>
        </w:rPr>
        <w:t xml:space="preserve">av ansökningarna för andra ändamål).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 xml:space="preserve">Ett svar av fyra visar tidigare fällande domar </w:t>
      </w:r>
    </w:p>
    <w:p>
      <w:pPr>
        <w:jc w:val="both"/>
        <w:rPr>
          <w:rFonts w:ascii="Times New Roman" w:hAnsi="Times New Roman" w:cs="Times New Roman"/>
          <w:noProof/>
          <w:sz w:val="24"/>
          <w:szCs w:val="24"/>
        </w:rPr>
      </w:pPr>
      <w:r>
        <w:rPr>
          <w:rFonts w:ascii="Times New Roman" w:hAnsi="Times New Roman"/>
          <w:noProof/>
          <w:sz w:val="24"/>
          <w:szCs w:val="24"/>
        </w:rPr>
        <w:t xml:space="preserve">Sedan det första året efter att Ecris togs i drift har i genomsnitt </w:t>
      </w:r>
      <w:r>
        <w:rPr>
          <w:rFonts w:ascii="Times New Roman" w:hAnsi="Times New Roman"/>
          <w:b/>
          <w:noProof/>
          <w:sz w:val="24"/>
          <w:szCs w:val="24"/>
        </w:rPr>
        <w:t>26 % av ansökningarna om uppgifter om tidigare fällande domar besvarats med uppgifter om tidigare fällande domar</w:t>
      </w:r>
      <w:r>
        <w:rPr>
          <w:rFonts w:ascii="Times New Roman" w:hAnsi="Times New Roman"/>
          <w:noProof/>
          <w:sz w:val="24"/>
          <w:szCs w:val="24"/>
        </w:rPr>
        <w:t xml:space="preserve">. Under många år låg denna andel på en stabil nivå kring 30 % för att plötsligt </w:t>
      </w:r>
      <w:r>
        <w:rPr>
          <w:rFonts w:ascii="Times New Roman" w:hAnsi="Times New Roman"/>
          <w:b/>
          <w:bCs/>
          <w:noProof/>
          <w:sz w:val="24"/>
          <w:szCs w:val="24"/>
        </w:rPr>
        <w:t>sjunka till 19 % under 2019</w:t>
      </w:r>
      <w:r>
        <w:rPr>
          <w:rFonts w:ascii="Times New Roman" w:hAnsi="Times New Roman"/>
          <w:noProof/>
          <w:sz w:val="24"/>
          <w:szCs w:val="24"/>
        </w:rPr>
        <w:t xml:space="preserve">. Detta skedde parallellt med den dramatiska ökningen av antalet ansökningar för andra ändamål än brottmålsförfaranden. Under </w:t>
      </w:r>
      <w:r>
        <w:rPr>
          <w:rFonts w:ascii="Times New Roman" w:hAnsi="Times New Roman"/>
          <w:b/>
          <w:noProof/>
          <w:sz w:val="24"/>
          <w:szCs w:val="24"/>
        </w:rPr>
        <w:t>2019</w:t>
      </w:r>
      <w:r>
        <w:rPr>
          <w:rFonts w:ascii="Times New Roman" w:hAnsi="Times New Roman"/>
          <w:noProof/>
          <w:sz w:val="24"/>
          <w:szCs w:val="24"/>
        </w:rPr>
        <w:t xml:space="preserve"> innehöll fler än </w:t>
      </w:r>
      <w:r>
        <w:rPr>
          <w:rFonts w:ascii="Times New Roman" w:hAnsi="Times New Roman"/>
          <w:b/>
          <w:noProof/>
          <w:sz w:val="24"/>
          <w:szCs w:val="24"/>
        </w:rPr>
        <w:t>188 000 av svaren på alla ansökningar uppgifter om tidigare fällande domar</w:t>
      </w:r>
      <w:r>
        <w:rPr>
          <w:rFonts w:ascii="Times New Roman" w:hAnsi="Times New Roman"/>
          <w:noProof/>
          <w:sz w:val="24"/>
          <w:szCs w:val="24"/>
        </w:rPr>
        <w:t>.</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Trots den generella ökningen av antalet uppdateringar saknas underrättelser om många av uppdateringarna</w:t>
      </w:r>
    </w:p>
    <w:p>
      <w:pPr>
        <w:jc w:val="both"/>
        <w:rPr>
          <w:rFonts w:ascii="Times New Roman" w:hAnsi="Times New Roman" w:cs="Times New Roman"/>
          <w:noProof/>
          <w:sz w:val="24"/>
          <w:szCs w:val="24"/>
        </w:rPr>
      </w:pPr>
      <w:r>
        <w:rPr>
          <w:rFonts w:ascii="Times New Roman" w:hAnsi="Times New Roman"/>
          <w:b/>
          <w:bCs/>
          <w:noProof/>
          <w:sz w:val="24"/>
          <w:szCs w:val="24"/>
        </w:rPr>
        <w:t>Antalet underrättelser om uppdateringar har ökat avsevärt</w:t>
      </w:r>
      <w:r>
        <w:rPr>
          <w:rFonts w:ascii="Times New Roman" w:hAnsi="Times New Roman"/>
          <w:noProof/>
          <w:sz w:val="24"/>
          <w:szCs w:val="24"/>
        </w:rPr>
        <w:t xml:space="preserve">, från 25 % till </w:t>
      </w:r>
      <w:r>
        <w:rPr>
          <w:rFonts w:ascii="Times New Roman" w:hAnsi="Times New Roman"/>
          <w:b/>
          <w:bCs/>
          <w:noProof/>
          <w:sz w:val="24"/>
          <w:szCs w:val="24"/>
        </w:rPr>
        <w:t>42 % av alla underrättelser</w:t>
      </w:r>
      <w:r>
        <w:rPr>
          <w:rFonts w:ascii="Times New Roman" w:hAnsi="Times New Roman"/>
          <w:noProof/>
          <w:sz w:val="24"/>
          <w:szCs w:val="24"/>
        </w:rPr>
        <w:t xml:space="preserve">, och uppgick 2019 till </w:t>
      </w:r>
      <w:r>
        <w:rPr>
          <w:rFonts w:ascii="Times New Roman" w:hAnsi="Times New Roman"/>
          <w:b/>
          <w:bCs/>
          <w:noProof/>
          <w:sz w:val="24"/>
          <w:szCs w:val="24"/>
        </w:rPr>
        <w:t>230 000</w:t>
      </w:r>
      <w:r>
        <w:rPr>
          <w:rFonts w:ascii="Times New Roman" w:hAnsi="Times New Roman"/>
          <w:noProof/>
          <w:sz w:val="24"/>
          <w:szCs w:val="24"/>
        </w:rPr>
        <w:t>. Detta gäller emellertid endast vissa av medlemsstaterna.</w:t>
      </w:r>
    </w:p>
    <w:p>
      <w:pPr>
        <w:jc w:val="both"/>
        <w:rPr>
          <w:rFonts w:ascii="Times New Roman" w:hAnsi="Times New Roman" w:cs="Times New Roman"/>
          <w:noProof/>
          <w:sz w:val="24"/>
          <w:szCs w:val="24"/>
        </w:rPr>
      </w:pPr>
      <w:r>
        <w:rPr>
          <w:rFonts w:ascii="Times New Roman" w:hAnsi="Times New Roman"/>
          <w:noProof/>
          <w:sz w:val="24"/>
          <w:szCs w:val="24"/>
        </w:rPr>
        <w:t>Samtidigt</w:t>
      </w:r>
      <w:r>
        <w:rPr>
          <w:rFonts w:ascii="Times New Roman" w:hAnsi="Times New Roman"/>
          <w:b/>
          <w:bCs/>
          <w:noProof/>
          <w:sz w:val="24"/>
          <w:szCs w:val="24"/>
        </w:rPr>
        <w:t xml:space="preserve"> sände flera av medlemsstaterna inte några uppdateringar alls</w:t>
      </w:r>
      <w:r>
        <w:rPr>
          <w:rFonts w:ascii="Times New Roman" w:hAnsi="Times New Roman"/>
          <w:noProof/>
          <w:sz w:val="24"/>
          <w:szCs w:val="24"/>
        </w:rPr>
        <w:t xml:space="preserve"> om sina tidigare avsända underrättelser under vissa år (BG, DK, EE, EL, IE, LV, LU, MT, PT, SI) eller </w:t>
      </w:r>
      <w:r>
        <w:rPr>
          <w:rFonts w:ascii="Times New Roman" w:hAnsi="Times New Roman"/>
          <w:b/>
          <w:bCs/>
          <w:noProof/>
          <w:sz w:val="24"/>
          <w:szCs w:val="24"/>
        </w:rPr>
        <w:t>en låg volym</w:t>
      </w:r>
      <w:r>
        <w:rPr>
          <w:rFonts w:ascii="Times New Roman" w:hAnsi="Times New Roman"/>
          <w:noProof/>
          <w:sz w:val="24"/>
          <w:szCs w:val="24"/>
        </w:rPr>
        <w:t xml:space="preserve"> av sådana meddelanden (IE, RO, CY, SI, PT, MT). </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rPr>
        <w:t>Ecris används inte alltid för att ansöka om uppgifter om tidigare fällande domar</w:t>
      </w:r>
    </w:p>
    <w:p>
      <w:pPr>
        <w:jc w:val="both"/>
        <w:rPr>
          <w:rFonts w:ascii="Times New Roman" w:hAnsi="Times New Roman" w:cs="Times New Roman"/>
          <w:noProof/>
          <w:sz w:val="24"/>
          <w:szCs w:val="24"/>
        </w:rPr>
      </w:pPr>
      <w:r>
        <w:rPr>
          <w:rFonts w:ascii="Times New Roman" w:hAnsi="Times New Roman"/>
          <w:b/>
          <w:bCs/>
          <w:noProof/>
          <w:sz w:val="24"/>
          <w:szCs w:val="24"/>
        </w:rPr>
        <w:t>Trots den dramatiska ökningen av antalet ansökningar generellt sett</w:t>
      </w:r>
      <w:r>
        <w:rPr>
          <w:rFonts w:ascii="Times New Roman" w:hAnsi="Times New Roman"/>
          <w:noProof/>
          <w:sz w:val="24"/>
          <w:szCs w:val="24"/>
        </w:rPr>
        <w:t xml:space="preserve"> kvarstår det problem som noterades i den första statistiska rapporten, nämligen att </w:t>
      </w:r>
      <w:r>
        <w:rPr>
          <w:rFonts w:ascii="Times New Roman" w:hAnsi="Times New Roman"/>
          <w:b/>
          <w:bCs/>
          <w:noProof/>
          <w:sz w:val="24"/>
          <w:szCs w:val="24"/>
        </w:rPr>
        <w:t>vissa medlemsstater nästan inte sänder några ansökningar alls</w:t>
      </w:r>
      <w:r>
        <w:rPr>
          <w:rFonts w:ascii="Times New Roman" w:hAnsi="Times New Roman"/>
          <w:noProof/>
          <w:sz w:val="24"/>
          <w:szCs w:val="24"/>
        </w:rPr>
        <w:t xml:space="preserve"> (EL, CY, MT) eller</w:t>
      </w:r>
      <w:r>
        <w:rPr>
          <w:rFonts w:ascii="Times New Roman" w:hAnsi="Times New Roman"/>
          <w:b/>
          <w:bCs/>
          <w:noProof/>
          <w:sz w:val="24"/>
          <w:szCs w:val="24"/>
        </w:rPr>
        <w:t xml:space="preserve"> sänder mycket få ansökningar</w:t>
      </w:r>
      <w:r>
        <w:rPr>
          <w:rFonts w:ascii="Times New Roman" w:hAnsi="Times New Roman"/>
          <w:noProof/>
          <w:sz w:val="24"/>
          <w:szCs w:val="24"/>
        </w:rPr>
        <w:t xml:space="preserve"> i förhållande till antalet medborgare från andra EU-medlemsstater (BG, EE, HU, IT, LV, RO, SI).</w:t>
      </w:r>
    </w:p>
    <w:p>
      <w:pPr>
        <w:numPr>
          <w:ilvl w:val="0"/>
          <w:numId w:val="27"/>
        </w:numPr>
        <w:ind w:left="714" w:hanging="357"/>
        <w:jc w:val="both"/>
        <w:rPr>
          <w:rFonts w:ascii="Times New Roman" w:hAnsi="Times New Roman" w:cs="Times New Roman"/>
          <w:b/>
          <w:noProof/>
          <w:sz w:val="24"/>
          <w:szCs w:val="24"/>
        </w:rPr>
      </w:pPr>
      <w:r>
        <w:rPr>
          <w:rFonts w:ascii="Times New Roman" w:hAnsi="Times New Roman"/>
          <w:b/>
          <w:noProof/>
          <w:sz w:val="24"/>
          <w:szCs w:val="24"/>
        </w:rPr>
        <w:t>Ansökningar som besvaras efter den föreskrivna tidsfristen</w:t>
      </w:r>
    </w:p>
    <w:p>
      <w:pPr>
        <w:jc w:val="both"/>
        <w:rPr>
          <w:rFonts w:ascii="Times New Roman" w:hAnsi="Times New Roman" w:cs="Times New Roman"/>
          <w:noProof/>
          <w:sz w:val="24"/>
          <w:szCs w:val="24"/>
        </w:rPr>
      </w:pPr>
      <w:r>
        <w:rPr>
          <w:rFonts w:ascii="Times New Roman" w:hAnsi="Times New Roman"/>
          <w:noProof/>
          <w:sz w:val="24"/>
          <w:szCs w:val="24"/>
        </w:rPr>
        <w:t xml:space="preserve">Under 2019 </w:t>
      </w:r>
      <w:r>
        <w:rPr>
          <w:rFonts w:ascii="Times New Roman" w:hAnsi="Times New Roman"/>
          <w:b/>
          <w:noProof/>
          <w:sz w:val="24"/>
          <w:szCs w:val="24"/>
        </w:rPr>
        <w:t xml:space="preserve">besvarades 190 000 ansökningar inte inom den föreskrivna tidsfristen, </w:t>
      </w:r>
      <w:r>
        <w:rPr>
          <w:rFonts w:ascii="Times New Roman" w:hAnsi="Times New Roman"/>
          <w:noProof/>
          <w:sz w:val="24"/>
          <w:szCs w:val="24"/>
        </w:rPr>
        <w:t xml:space="preserve">vilket motsvarar </w:t>
      </w:r>
      <w:r>
        <w:rPr>
          <w:rFonts w:ascii="Times New Roman" w:hAnsi="Times New Roman"/>
          <w:b/>
          <w:noProof/>
          <w:sz w:val="24"/>
          <w:szCs w:val="24"/>
        </w:rPr>
        <w:t>18,4 % av det totala</w:t>
      </w:r>
      <w:r>
        <w:rPr>
          <w:rFonts w:ascii="Times New Roman" w:hAnsi="Times New Roman"/>
          <w:noProof/>
          <w:sz w:val="24"/>
          <w:szCs w:val="24"/>
        </w:rPr>
        <w:t xml:space="preserve"> antalet ansökningar. Det stora antalet försenade svar är oroväckande, eftersom det </w:t>
      </w:r>
      <w:r>
        <w:rPr>
          <w:rFonts w:ascii="Times New Roman" w:hAnsi="Times New Roman"/>
          <w:b/>
          <w:bCs/>
          <w:noProof/>
          <w:sz w:val="24"/>
          <w:szCs w:val="24"/>
        </w:rPr>
        <w:t>är nästan 14 gånger större</w:t>
      </w:r>
      <w:r>
        <w:rPr>
          <w:rFonts w:ascii="Times New Roman" w:hAnsi="Times New Roman"/>
          <w:noProof/>
          <w:sz w:val="24"/>
          <w:szCs w:val="24"/>
        </w:rPr>
        <w:t xml:space="preserve"> jämfört med 2016. </w:t>
      </w:r>
    </w:p>
    <w:p>
      <w:pPr>
        <w:jc w:val="both"/>
        <w:rPr>
          <w:rFonts w:ascii="Times New Roman" w:hAnsi="Times New Roman" w:cs="Times New Roman"/>
          <w:noProof/>
          <w:sz w:val="24"/>
          <w:szCs w:val="24"/>
        </w:rPr>
      </w:pPr>
      <w:r>
        <w:rPr>
          <w:rFonts w:ascii="Times New Roman" w:hAnsi="Times New Roman"/>
          <w:b/>
          <w:bCs/>
          <w:noProof/>
          <w:sz w:val="24"/>
          <w:szCs w:val="24"/>
        </w:rPr>
        <w:t xml:space="preserve">Detta problem gäller </w:t>
      </w:r>
      <w:r>
        <w:rPr>
          <w:rFonts w:ascii="Times New Roman" w:hAnsi="Times New Roman"/>
          <w:noProof/>
          <w:sz w:val="24"/>
          <w:szCs w:val="24"/>
        </w:rPr>
        <w:t xml:space="preserve">särskilt de </w:t>
      </w:r>
      <w:r>
        <w:rPr>
          <w:rFonts w:ascii="Times New Roman" w:hAnsi="Times New Roman"/>
          <w:b/>
          <w:bCs/>
          <w:noProof/>
          <w:sz w:val="24"/>
          <w:szCs w:val="24"/>
        </w:rPr>
        <w:t>medlemsstater</w:t>
      </w:r>
      <w:r>
        <w:rPr>
          <w:rFonts w:ascii="Times New Roman" w:hAnsi="Times New Roman"/>
          <w:noProof/>
          <w:sz w:val="24"/>
          <w:szCs w:val="24"/>
        </w:rPr>
        <w:t xml:space="preserve"> som </w:t>
      </w:r>
      <w:r>
        <w:rPr>
          <w:rFonts w:ascii="Times New Roman" w:hAnsi="Times New Roman"/>
          <w:b/>
          <w:bCs/>
          <w:noProof/>
          <w:sz w:val="24"/>
          <w:szCs w:val="24"/>
        </w:rPr>
        <w:t xml:space="preserve">tog emot en mycket stor volym ansökningar </w:t>
      </w:r>
      <w:r>
        <w:rPr>
          <w:rFonts w:ascii="Times New Roman" w:hAnsi="Times New Roman"/>
          <w:noProof/>
          <w:sz w:val="24"/>
          <w:szCs w:val="24"/>
        </w:rPr>
        <w:t>om uppgifter: PL, RO, HR, LV, BE och BG.</w:t>
      </w:r>
    </w:p>
    <w:p>
      <w:pPr>
        <w:numPr>
          <w:ilvl w:val="0"/>
          <w:numId w:val="27"/>
        </w:numPr>
        <w:ind w:left="714" w:hanging="357"/>
        <w:jc w:val="both"/>
        <w:rPr>
          <w:rFonts w:ascii="Times New Roman" w:hAnsi="Times New Roman"/>
          <w:b/>
          <w:noProof/>
          <w:sz w:val="24"/>
        </w:rPr>
      </w:pPr>
      <w:r>
        <w:rPr>
          <w:rFonts w:ascii="Times New Roman" w:hAnsi="Times New Roman"/>
          <w:b/>
          <w:noProof/>
          <w:sz w:val="24"/>
        </w:rPr>
        <w:t>Ansökningar om uppgifter som inte besvaras</w:t>
      </w:r>
    </w:p>
    <w:p>
      <w:pPr>
        <w:pStyle w:val="ListParagraph"/>
        <w:spacing w:after="120"/>
        <w:ind w:left="0"/>
        <w:jc w:val="both"/>
        <w:rPr>
          <w:rFonts w:ascii="Times New Roman" w:hAnsi="Times New Roman" w:cs="Times New Roman"/>
          <w:noProof/>
          <w:sz w:val="24"/>
          <w:szCs w:val="24"/>
        </w:rPr>
      </w:pPr>
      <w:r>
        <w:rPr>
          <w:rFonts w:ascii="Times New Roman" w:hAnsi="Times New Roman"/>
          <w:noProof/>
          <w:sz w:val="24"/>
          <w:szCs w:val="24"/>
        </w:rPr>
        <w:t xml:space="preserve">Alla medlemsstater besvarar i allmänhet de mottagna ansökningarna, men under 2019 </w:t>
      </w:r>
      <w:r>
        <w:rPr>
          <w:rFonts w:ascii="Times New Roman" w:hAnsi="Times New Roman"/>
          <w:b/>
          <w:noProof/>
          <w:sz w:val="24"/>
          <w:szCs w:val="24"/>
        </w:rPr>
        <w:t>förblev fler än 42 000 ansökningar om uppgifter obesvarade</w:t>
      </w:r>
      <w:r>
        <w:rPr>
          <w:rFonts w:ascii="Times New Roman" w:hAnsi="Times New Roman"/>
          <w:noProof/>
          <w:sz w:val="24"/>
          <w:szCs w:val="24"/>
        </w:rPr>
        <w:t>. Detta motsvarar</w:t>
      </w:r>
      <w:r>
        <w:rPr>
          <w:rFonts w:ascii="Times New Roman" w:hAnsi="Times New Roman"/>
          <w:b/>
          <w:noProof/>
          <w:sz w:val="24"/>
          <w:szCs w:val="24"/>
        </w:rPr>
        <w:t xml:space="preserve"> 4,1 % av alla ansökningar, </w:t>
      </w:r>
      <w:r>
        <w:rPr>
          <w:rFonts w:ascii="Times New Roman" w:hAnsi="Times New Roman"/>
          <w:bCs/>
          <w:noProof/>
          <w:sz w:val="24"/>
          <w:szCs w:val="24"/>
        </w:rPr>
        <w:t xml:space="preserve">jämfört med 3,6 % under 2016. </w:t>
      </w:r>
      <w:r>
        <w:rPr>
          <w:rFonts w:ascii="Times New Roman" w:hAnsi="Times New Roman"/>
          <w:noProof/>
          <w:sz w:val="24"/>
          <w:szCs w:val="24"/>
        </w:rPr>
        <w:t>Medlemsstaterna med den högsta procentandelen mottagna ansökningar som lämnats obesvarade var MT, CY, BG och EL.</w:t>
      </w:r>
    </w:p>
    <w:p>
      <w:pPr>
        <w:pStyle w:val="ListParagraph"/>
        <w:numPr>
          <w:ilvl w:val="0"/>
          <w:numId w:val="43"/>
        </w:numPr>
        <w:spacing w:after="120"/>
        <w:ind w:left="714" w:hanging="357"/>
        <w:rPr>
          <w:rFonts w:ascii="Times New Roman" w:hAnsi="Times New Roman" w:cs="Times New Roman"/>
          <w:b/>
          <w:noProof/>
          <w:sz w:val="24"/>
          <w:szCs w:val="24"/>
        </w:rPr>
      </w:pPr>
      <w:r>
        <w:rPr>
          <w:rFonts w:ascii="Times New Roman" w:hAnsi="Times New Roman"/>
          <w:b/>
          <w:noProof/>
          <w:sz w:val="24"/>
          <w:szCs w:val="24"/>
        </w:rPr>
        <w:t>Stora skillnader mellan medlemsstaternas Ecris-aktiviteter och arbetsbörda</w:t>
      </w:r>
    </w:p>
    <w:p>
      <w:pPr>
        <w:jc w:val="both"/>
        <w:rPr>
          <w:rFonts w:ascii="Times New Roman" w:hAnsi="Times New Roman" w:cs="Times New Roman"/>
          <w:noProof/>
          <w:sz w:val="24"/>
          <w:szCs w:val="24"/>
        </w:rPr>
      </w:pPr>
      <w:r>
        <w:rPr>
          <w:rFonts w:ascii="Times New Roman" w:hAnsi="Times New Roman"/>
          <w:noProof/>
          <w:sz w:val="24"/>
          <w:szCs w:val="24"/>
        </w:rPr>
        <w:t xml:space="preserve">Vissa medlemsstater sänder ett betydligt större antal </w:t>
      </w:r>
      <w:r>
        <w:rPr>
          <w:rFonts w:ascii="Times New Roman" w:hAnsi="Times New Roman"/>
          <w:b/>
          <w:noProof/>
          <w:sz w:val="24"/>
          <w:szCs w:val="24"/>
        </w:rPr>
        <w:t>ansökningar om uppgifter än de tar emot</w:t>
      </w:r>
      <w:r>
        <w:rPr>
          <w:rFonts w:ascii="Times New Roman" w:hAnsi="Times New Roman"/>
          <w:noProof/>
          <w:sz w:val="24"/>
          <w:szCs w:val="24"/>
        </w:rPr>
        <w:t xml:space="preserve"> (DE, UK och CZ), medan andra har </w:t>
      </w:r>
      <w:r>
        <w:rPr>
          <w:rFonts w:ascii="Times New Roman" w:hAnsi="Times New Roman"/>
          <w:b/>
          <w:noProof/>
          <w:sz w:val="24"/>
          <w:szCs w:val="24"/>
        </w:rPr>
        <w:t>en mycket stor arbetsbörda med att svara på dessa ansökningar</w:t>
      </w:r>
      <w:r>
        <w:rPr>
          <w:rFonts w:ascii="Times New Roman" w:hAnsi="Times New Roman"/>
          <w:noProof/>
          <w:sz w:val="24"/>
          <w:szCs w:val="24"/>
        </w:rPr>
        <w:t xml:space="preserve"> (PL, RO, IT, HR, SK och HU). De andra medlemsstaternas arbetsbörda beror främst på att de sänder ett </w:t>
      </w:r>
      <w:r>
        <w:rPr>
          <w:rFonts w:ascii="Times New Roman" w:hAnsi="Times New Roman"/>
          <w:b/>
          <w:bCs/>
          <w:noProof/>
          <w:sz w:val="24"/>
          <w:szCs w:val="24"/>
        </w:rPr>
        <w:t>stort antal underrättelser</w:t>
      </w:r>
      <w:r>
        <w:rPr>
          <w:rFonts w:ascii="Times New Roman" w:hAnsi="Times New Roman"/>
          <w:noProof/>
          <w:sz w:val="24"/>
          <w:szCs w:val="24"/>
        </w:rPr>
        <w:t xml:space="preserve"> om nya fällande domar till de medlemsstater där förövarna är medborgare (BE och IT).</w:t>
      </w:r>
    </w:p>
    <w:p>
      <w:pPr>
        <w:numPr>
          <w:ilvl w:val="0"/>
          <w:numId w:val="27"/>
        </w:numPr>
        <w:ind w:left="714" w:hanging="357"/>
        <w:jc w:val="both"/>
        <w:rPr>
          <w:rFonts w:ascii="Times New Roman" w:hAnsi="Times New Roman" w:cs="Times New Roman"/>
          <w:noProof/>
          <w:sz w:val="24"/>
          <w:szCs w:val="24"/>
        </w:rPr>
      </w:pPr>
      <w:r>
        <w:rPr>
          <w:rFonts w:ascii="Times New Roman" w:hAnsi="Times New Roman"/>
          <w:b/>
          <w:noProof/>
          <w:sz w:val="24"/>
        </w:rPr>
        <w:t>Ecris-systemet används fortfarande sällan för tredjelandsmedborgare</w:t>
      </w:r>
    </w:p>
    <w:p>
      <w:pPr>
        <w:jc w:val="both"/>
        <w:rPr>
          <w:rFonts w:ascii="Times New Roman" w:hAnsi="Times New Roman" w:cs="Times New Roman"/>
          <w:noProof/>
          <w:sz w:val="24"/>
          <w:szCs w:val="24"/>
        </w:rPr>
      </w:pPr>
      <w:r>
        <w:rPr>
          <w:rFonts w:ascii="Times New Roman" w:hAnsi="Times New Roman"/>
          <w:noProof/>
          <w:sz w:val="24"/>
          <w:szCs w:val="24"/>
        </w:rPr>
        <w:t xml:space="preserve">I genomsnitt </w:t>
      </w:r>
      <w:r>
        <w:rPr>
          <w:rFonts w:ascii="Times New Roman" w:hAnsi="Times New Roman"/>
          <w:b/>
          <w:noProof/>
          <w:sz w:val="24"/>
          <w:szCs w:val="24"/>
        </w:rPr>
        <w:t>92 %</w:t>
      </w:r>
      <w:r>
        <w:rPr>
          <w:rFonts w:ascii="Times New Roman" w:hAnsi="Times New Roman"/>
          <w:noProof/>
          <w:sz w:val="24"/>
          <w:szCs w:val="24"/>
        </w:rPr>
        <w:t xml:space="preserve"> av alla ansökningar rör </w:t>
      </w:r>
      <w:r>
        <w:rPr>
          <w:rFonts w:ascii="Times New Roman" w:hAnsi="Times New Roman"/>
          <w:b/>
          <w:noProof/>
          <w:sz w:val="24"/>
          <w:szCs w:val="24"/>
        </w:rPr>
        <w:t>EU-medborgare</w:t>
      </w:r>
      <w:r>
        <w:rPr>
          <w:rFonts w:ascii="Times New Roman" w:hAnsi="Times New Roman"/>
          <w:noProof/>
          <w:sz w:val="24"/>
          <w:szCs w:val="24"/>
        </w:rPr>
        <w:t xml:space="preserve">, och omkring </w:t>
      </w:r>
      <w:r>
        <w:rPr>
          <w:rFonts w:ascii="Times New Roman" w:hAnsi="Times New Roman"/>
          <w:b/>
          <w:noProof/>
          <w:sz w:val="24"/>
          <w:szCs w:val="24"/>
        </w:rPr>
        <w:t>8 % avser tredjelandsmedborgare eller statslösa personer</w:t>
      </w:r>
      <w:r>
        <w:rPr>
          <w:rFonts w:ascii="Times New Roman" w:hAnsi="Times New Roman"/>
          <w:noProof/>
          <w:sz w:val="24"/>
          <w:szCs w:val="24"/>
        </w:rPr>
        <w:t xml:space="preserve">. Antalet ansökningar om uppgifter om tredjelandsmedborgare har </w:t>
      </w:r>
      <w:r>
        <w:rPr>
          <w:rFonts w:ascii="Times New Roman" w:hAnsi="Times New Roman"/>
          <w:b/>
          <w:noProof/>
          <w:sz w:val="24"/>
          <w:szCs w:val="24"/>
        </w:rPr>
        <w:t>ökat</w:t>
      </w:r>
      <w:r>
        <w:rPr>
          <w:rFonts w:ascii="Times New Roman" w:hAnsi="Times New Roman"/>
          <w:bCs/>
          <w:noProof/>
          <w:sz w:val="24"/>
          <w:szCs w:val="24"/>
        </w:rPr>
        <w:t xml:space="preserve"> stadigt sedan 2017 och översteg </w:t>
      </w:r>
      <w:r>
        <w:rPr>
          <w:rFonts w:ascii="Times New Roman" w:hAnsi="Times New Roman"/>
          <w:b/>
          <w:noProof/>
          <w:sz w:val="24"/>
          <w:szCs w:val="24"/>
        </w:rPr>
        <w:t>69 000 under 2019</w:t>
      </w:r>
      <w:r>
        <w:rPr>
          <w:rFonts w:ascii="Times New Roman" w:hAnsi="Times New Roman"/>
          <w:noProof/>
          <w:sz w:val="24"/>
          <w:szCs w:val="24"/>
        </w:rPr>
        <w:t xml:space="preserve">. </w:t>
      </w:r>
    </w:p>
    <w:p>
      <w:pPr>
        <w:rPr>
          <w:rStyle w:val="Hyperlink"/>
          <w:rFonts w:ascii="Times New Roman" w:hAnsi="Times New Roman" w:cs="Times New Roman"/>
          <w:noProof/>
          <w:color w:val="auto"/>
          <w:sz w:val="24"/>
          <w:szCs w:val="24"/>
          <w:u w:val="none"/>
        </w:rPr>
      </w:pPr>
    </w:p>
    <w:sectPr>
      <w:headerReference w:type="even" r:id="rId33"/>
      <w:headerReference w:type="default" r:id="rId34"/>
      <w:footerReference w:type="even" r:id="rId35"/>
      <w:footerReference w:type="default" r:id="rId36"/>
      <w:headerReference w:type="first" r:id="rId37"/>
      <w:footerReference w:type="first" r:id="rId38"/>
      <w:pgSz w:w="11907" w:h="16840" w:code="9"/>
      <w:pgMar w:top="1418" w:right="1418" w:bottom="1418" w:left="1418" w:header="851" w:footer="255"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614629"/>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3</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531446"/>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w:t>
        </w:r>
        <w:r>
          <w:fldChar w:fldCharType="end"/>
        </w:r>
      </w:p>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EUT L 93, 7.4.2009, s. 23, ändrat genom direktiv (EU) 2019/884, EUT L 151, 7.6.2019, s. 143.</w:t>
      </w:r>
    </w:p>
  </w:footnote>
  <w:footnote w:id="3">
    <w:p>
      <w:pPr>
        <w:pStyle w:val="FootnoteText"/>
        <w:spacing w:after="0"/>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 xml:space="preserve">EUT L 93, 7.4.2009, s. 33. Detta beslut kommer att ersättas med direktiv (EU) 2019/884 med avseende på de </w:t>
      </w:r>
      <w:r>
        <w:tab/>
      </w:r>
      <w:r>
        <w:rPr>
          <w:rFonts w:ascii="Times New Roman" w:hAnsi="Times New Roman"/>
          <w:sz w:val="20"/>
        </w:rPr>
        <w:t>medlemsstater som är bundna av detta direktiv från och med den 28 juni 2022.</w:t>
      </w:r>
    </w:p>
  </w:footnote>
  <w:footnote w:id="4">
    <w:p>
      <w:pPr>
        <w:spacing w:after="0"/>
        <w:ind w:left="709" w:hanging="709"/>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COM/2017/341 final. SWD/2017/242 final.</w:t>
      </w:r>
    </w:p>
  </w:footnote>
  <w:footnote w:id="5">
    <w:p>
      <w:pPr>
        <w:pStyle w:val="FootnoteText"/>
        <w:jc w:val="both"/>
        <w:rPr>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Kommissionen fick inte in några uppgifter från Cypern, Grekland, Danmark, Litauen eller Slovenien.</w:t>
      </w:r>
    </w:p>
  </w:footnote>
  <w:footnote w:id="6">
    <w:p>
      <w:pPr>
        <w:pStyle w:val="FootnoteText"/>
        <w:spacing w:after="0"/>
        <w:ind w:left="709" w:hanging="709"/>
        <w:rPr>
          <w:rFonts w:ascii="Times New Roman" w:hAnsi="Times New Roman" w:cs="Times New Roman"/>
          <w:sz w:val="20"/>
        </w:rPr>
      </w:pPr>
      <w:r>
        <w:rPr>
          <w:rStyle w:val="FootnoteReference"/>
        </w:rPr>
        <w:footnoteRef/>
      </w:r>
      <w:r>
        <w:t xml:space="preserve"> </w:t>
      </w:r>
      <w:r>
        <w:tab/>
      </w:r>
      <w:r>
        <w:rPr>
          <w:rFonts w:ascii="Times New Roman" w:hAnsi="Times New Roman"/>
          <w:sz w:val="20"/>
        </w:rPr>
        <w:t>En detaljerad beskrivning av de allmänna principerna för utbytet av information via Ecris finns i arbetsdokumentet, avsnitt 1.</w:t>
      </w:r>
    </w:p>
  </w:footnote>
  <w:footnote w:id="7">
    <w:p>
      <w:pPr>
        <w:pStyle w:val="FootnoteText"/>
      </w:pPr>
      <w:r>
        <w:rPr>
          <w:rStyle w:val="FootnoteReference"/>
        </w:rPr>
        <w:footnoteRef/>
      </w:r>
      <w:r>
        <w:t xml:space="preserve"> </w:t>
      </w:r>
      <w:r>
        <w:tab/>
      </w:r>
      <w:r>
        <w:rPr>
          <w:rFonts w:ascii="Times New Roman" w:hAnsi="Times New Roman"/>
          <w:sz w:val="20"/>
        </w:rPr>
        <w:t>Uppgifter om historiken av anslutningar till Ecris-nätverket finns i arbetsdokumentet, avsnitt 2.1.</w:t>
      </w:r>
    </w:p>
  </w:footnote>
  <w:footnote w:id="8">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Denna summa bygger på förekomsten av 28 medlemsstater.</w:t>
      </w:r>
    </w:p>
  </w:footnote>
  <w:footnote w:id="9">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Information om utvecklingen av sammanlänkningarna under årens lopp finns i arbetsdokumentet, avsnitt 2.1.</w:t>
      </w:r>
    </w:p>
  </w:footnote>
  <w:footnote w:id="10">
    <w:p>
      <w:pPr>
        <w:pStyle w:val="FootnoteText"/>
        <w:ind w:left="709" w:hanging="709"/>
        <w:rPr>
          <w:rFonts w:ascii="Times New Roman" w:hAnsi="Times New Roman" w:cs="Times New Roman"/>
          <w:sz w:val="20"/>
        </w:rPr>
      </w:pPr>
      <w:r>
        <w:rPr>
          <w:rStyle w:val="FootnoteReference"/>
          <w:rFonts w:ascii="Times New Roman" w:hAnsi="Times New Roman" w:cs="Times New Roman"/>
          <w:sz w:val="20"/>
        </w:rPr>
        <w:footnoteRef/>
      </w:r>
      <w:r>
        <w:t xml:space="preserve"> </w:t>
      </w:r>
      <w:r>
        <w:tab/>
      </w:r>
      <w:r>
        <w:rPr>
          <w:rFonts w:ascii="Times New Roman" w:hAnsi="Times New Roman"/>
          <w:sz w:val="20"/>
        </w:rPr>
        <w:t>Andra svar är exempelvis svar där flera personer påträffats, svar där personen i fråga inte är medborgare i den anmodade medlemsstaten osv.</w:t>
      </w:r>
    </w:p>
  </w:footnote>
  <w:footnote w:id="11">
    <w:p>
      <w:pPr>
        <w:pStyle w:val="FootnoteText"/>
        <w:spacing w:after="0"/>
        <w:ind w:left="709" w:hanging="709"/>
        <w:rPr>
          <w:rFonts w:ascii="Times New Roman" w:hAnsi="Times New Roman" w:cs="Times New Roman"/>
          <w:sz w:val="20"/>
        </w:rPr>
      </w:pPr>
      <w:r>
        <w:rPr>
          <w:rStyle w:val="FootnoteReference"/>
        </w:rPr>
        <w:footnoteRef/>
      </w:r>
      <w:r>
        <w:t xml:space="preserve"> </w:t>
      </w:r>
      <w:r>
        <w:tab/>
      </w:r>
      <w:r>
        <w:rPr>
          <w:rFonts w:ascii="Times New Roman" w:hAnsi="Times New Roman"/>
          <w:sz w:val="20"/>
        </w:rPr>
        <w:t>EUT L 220, 15.8.2008, s. 32.</w:t>
      </w:r>
    </w:p>
  </w:footnote>
  <w:footnote w:id="12">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Uppgifter för åren 2017 och 2018 finns i arbetsdokumentet, avsnitt 2.2.</w:t>
      </w:r>
    </w:p>
  </w:footnote>
  <w:footnote w:id="13">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Uppgifter för åren 2017 och 2018 finns i arbetsdokumentet, avsnitt 2.3.</w:t>
      </w:r>
    </w:p>
  </w:footnote>
  <w:footnote w:id="14">
    <w:p>
      <w:pPr>
        <w:pStyle w:val="FootnoteText"/>
        <w:spacing w:after="0"/>
        <w:ind w:left="709" w:hanging="709"/>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Se Eurostats statistik: https://ec.europa.eu/eurostat/statistics-explained/index.php?title=File:Non-national_population_by_group_of_citizenship,_1_January_2019.png</w:t>
      </w:r>
    </w:p>
    <w:p>
      <w:pPr>
        <w:pStyle w:val="FootnoteText"/>
      </w:pPr>
    </w:p>
  </w:footnote>
  <w:footnote w:id="15">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Mer information finns i arbetsdokumentet från kommissionens avdelningar, avsnitt 2.3.</w:t>
      </w:r>
    </w:p>
  </w:footnote>
  <w:footnote w:id="16">
    <w:p>
      <w:pPr>
        <w:spacing w:after="0"/>
        <w:ind w:left="709" w:hanging="709"/>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En detaljerad analys av de enskilda medlemsstaternas statistik över fällande domar och underrättelser finns i arbetsdokumentet, avsnitt 3.</w:t>
      </w:r>
    </w:p>
  </w:footnote>
  <w:footnote w:id="17">
    <w:p>
      <w:pPr>
        <w:pStyle w:val="FootnoteText"/>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Uppgifter för åren 2017 och 2018 finns i arbetsdokumentet, avsnitt 2.4.</w:t>
      </w:r>
    </w:p>
  </w:footnote>
  <w:footnote w:id="18">
    <w:p>
      <w:pPr>
        <w:jc w:val="both"/>
        <w:rPr>
          <w:rFonts w:ascii="Times New Roman" w:hAnsi="Times New Roman" w:cs="Times New Roman"/>
          <w:noProof/>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Uppgifter för åren 2017 och 2018 finns i arbetsdokumentet, avsnitt 2.5.</w:t>
      </w:r>
    </w:p>
    <w:p>
      <w:pPr>
        <w:pStyle w:val="FootnoteText"/>
      </w:pPr>
    </w:p>
  </w:footnote>
  <w:footnote w:id="19">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ab/>
        <w:t xml:space="preserve">  Se avsnitt 1.2 ovan.</w:t>
      </w:r>
    </w:p>
  </w:footnote>
  <w:footnote w:id="20">
    <w:p>
      <w:pPr>
        <w:pStyle w:val="FootnoteText"/>
        <w:ind w:left="851" w:hanging="851"/>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Mer information finns i arbetsdokumentet från kommissionens avdelningar. tabellen i avsnitt 2.6 och statistiken över försenade svar för enskilda medlemsstater i avsnitt 3.</w:t>
      </w:r>
    </w:p>
  </w:footnote>
  <w:footnote w:id="21">
    <w:p>
      <w:pPr>
        <w:pStyle w:val="FootnoteText"/>
        <w:spacing w:after="0"/>
        <w:rPr>
          <w:sz w:val="20"/>
        </w:rPr>
      </w:pPr>
      <w:r>
        <w:rPr>
          <w:rStyle w:val="FootnoteReference"/>
          <w:sz w:val="20"/>
        </w:rPr>
        <w:footnoteRef/>
      </w:r>
      <w:r>
        <w:rPr>
          <w:sz w:val="20"/>
        </w:rPr>
        <w:t xml:space="preserve"> </w:t>
      </w:r>
      <w:r>
        <w:tab/>
      </w:r>
      <w:r>
        <w:rPr>
          <w:rFonts w:ascii="Times New Roman" w:hAnsi="Times New Roman"/>
          <w:sz w:val="20"/>
        </w:rPr>
        <w:t xml:space="preserve">Direktiv 2011/93/EU om bekämpande av sexuella övergrepp mot barn, sexuell exploatering av barn </w:t>
      </w:r>
      <w:r>
        <w:tab/>
      </w:r>
      <w:r>
        <w:rPr>
          <w:rFonts w:ascii="Times New Roman" w:hAnsi="Times New Roman"/>
          <w:sz w:val="20"/>
        </w:rPr>
        <w:t>och barnpornografi, EUT L 335, 17.12.2011, s. 1.</w:t>
      </w:r>
    </w:p>
  </w:footnote>
  <w:footnote w:id="22">
    <w:p>
      <w:pPr>
        <w:spacing w:after="0"/>
        <w:ind w:left="709" w:hanging="709"/>
        <w:jc w:val="both"/>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Närmare uppgifter om volymerna av ansökningar i de olika kategorierna av ändamål under perioden 2017–2019 finns i arbetsdokumentet, avsnitt 2.7.</w:t>
      </w:r>
    </w:p>
  </w:footnote>
  <w:footnote w:id="23">
    <w:p>
      <w:pPr>
        <w:pStyle w:val="FootnoteTex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Se även tabellen i arbetsdokumentet, avsnitt 2.8.</w:t>
      </w:r>
    </w:p>
  </w:footnote>
  <w:footnote w:id="24">
    <w:p>
      <w:pPr>
        <w:pStyle w:val="FootnoteText"/>
        <w:spacing w:after="0"/>
        <w:ind w:left="680" w:hanging="680"/>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Förordning 2019/816/EU om inrättande av Ecris-TCN, EUT L 135, 22.5.2019, s. 1, samt direktiv 2019/884/EU om ändring av rådets rambeslut 2009/315/RIF, EUT L 151, 7.6.2019, s. 143.</w:t>
      </w:r>
    </w:p>
  </w:footnote>
  <w:footnote w:id="25">
    <w:p>
      <w:pPr>
        <w:pStyle w:val="FootnoteText"/>
        <w:ind w:left="709" w:hanging="709"/>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tab/>
      </w:r>
      <w:r>
        <w:rPr>
          <w:rFonts w:ascii="Times New Roman" w:hAnsi="Times New Roman"/>
          <w:sz w:val="20"/>
        </w:rPr>
        <w:t>Se fotnot 9. Se även tabellen i arbetsdokumentet, avsnitt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7B5"/>
    <w:multiLevelType w:val="hybridMultilevel"/>
    <w:tmpl w:val="587E3CAE"/>
    <w:lvl w:ilvl="0" w:tplc="147079E8">
      <w:start w:val="1"/>
      <w:numFmt w:val="bullet"/>
      <w:pStyle w:val="Listbullet2cm"/>
      <w:lvlText w:val=""/>
      <w:lvlJc w:val="left"/>
      <w:pPr>
        <w:tabs>
          <w:tab w:val="num" w:pos="1494"/>
        </w:tabs>
        <w:ind w:left="1474" w:hanging="340"/>
      </w:pPr>
      <w:rPr>
        <w:rFonts w:ascii="Symbol" w:hAnsi="Symbol" w:hint="default"/>
        <w:sz w:val="20"/>
      </w:rPr>
    </w:lvl>
    <w:lvl w:ilvl="1" w:tplc="2752F458">
      <w:start w:val="1"/>
      <w:numFmt w:val="bullet"/>
      <w:pStyle w:val="Listbullet2cm"/>
      <w:lvlText w:val=""/>
      <w:lvlJc w:val="left"/>
      <w:pPr>
        <w:tabs>
          <w:tab w:val="num" w:pos="1440"/>
        </w:tabs>
        <w:ind w:left="1420" w:hanging="340"/>
      </w:pPr>
      <w:rPr>
        <w:rFonts w:ascii="Symbol" w:hAnsi="Symbol" w:hint="default"/>
      </w:rPr>
    </w:lvl>
    <w:lvl w:ilvl="2" w:tplc="53A40F5C" w:tentative="1">
      <w:start w:val="1"/>
      <w:numFmt w:val="bullet"/>
      <w:lvlText w:val=""/>
      <w:lvlJc w:val="left"/>
      <w:pPr>
        <w:tabs>
          <w:tab w:val="num" w:pos="2160"/>
        </w:tabs>
        <w:ind w:left="2160" w:hanging="360"/>
      </w:pPr>
      <w:rPr>
        <w:rFonts w:ascii="Wingdings" w:hAnsi="Wingdings" w:hint="default"/>
      </w:rPr>
    </w:lvl>
    <w:lvl w:ilvl="3" w:tplc="7A2C8FDE" w:tentative="1">
      <w:start w:val="1"/>
      <w:numFmt w:val="bullet"/>
      <w:lvlText w:val=""/>
      <w:lvlJc w:val="left"/>
      <w:pPr>
        <w:tabs>
          <w:tab w:val="num" w:pos="2880"/>
        </w:tabs>
        <w:ind w:left="2880" w:hanging="360"/>
      </w:pPr>
      <w:rPr>
        <w:rFonts w:ascii="Symbol" w:hAnsi="Symbol" w:hint="default"/>
      </w:rPr>
    </w:lvl>
    <w:lvl w:ilvl="4" w:tplc="B874C7CC" w:tentative="1">
      <w:start w:val="1"/>
      <w:numFmt w:val="bullet"/>
      <w:lvlText w:val="o"/>
      <w:lvlJc w:val="left"/>
      <w:pPr>
        <w:tabs>
          <w:tab w:val="num" w:pos="3600"/>
        </w:tabs>
        <w:ind w:left="3600" w:hanging="360"/>
      </w:pPr>
      <w:rPr>
        <w:rFonts w:ascii="Courier New" w:hAnsi="Courier New" w:hint="default"/>
      </w:rPr>
    </w:lvl>
    <w:lvl w:ilvl="5" w:tplc="63D690E6" w:tentative="1">
      <w:start w:val="1"/>
      <w:numFmt w:val="bullet"/>
      <w:lvlText w:val=""/>
      <w:lvlJc w:val="left"/>
      <w:pPr>
        <w:tabs>
          <w:tab w:val="num" w:pos="4320"/>
        </w:tabs>
        <w:ind w:left="4320" w:hanging="360"/>
      </w:pPr>
      <w:rPr>
        <w:rFonts w:ascii="Wingdings" w:hAnsi="Wingdings" w:hint="default"/>
      </w:rPr>
    </w:lvl>
    <w:lvl w:ilvl="6" w:tplc="2D3E0C88" w:tentative="1">
      <w:start w:val="1"/>
      <w:numFmt w:val="bullet"/>
      <w:lvlText w:val=""/>
      <w:lvlJc w:val="left"/>
      <w:pPr>
        <w:tabs>
          <w:tab w:val="num" w:pos="5040"/>
        </w:tabs>
        <w:ind w:left="5040" w:hanging="360"/>
      </w:pPr>
      <w:rPr>
        <w:rFonts w:ascii="Symbol" w:hAnsi="Symbol" w:hint="default"/>
      </w:rPr>
    </w:lvl>
    <w:lvl w:ilvl="7" w:tplc="0AEC5C3E" w:tentative="1">
      <w:start w:val="1"/>
      <w:numFmt w:val="bullet"/>
      <w:lvlText w:val="o"/>
      <w:lvlJc w:val="left"/>
      <w:pPr>
        <w:tabs>
          <w:tab w:val="num" w:pos="5760"/>
        </w:tabs>
        <w:ind w:left="5760" w:hanging="360"/>
      </w:pPr>
      <w:rPr>
        <w:rFonts w:ascii="Courier New" w:hAnsi="Courier New" w:hint="default"/>
      </w:rPr>
    </w:lvl>
    <w:lvl w:ilvl="8" w:tplc="180A8BE6" w:tentative="1">
      <w:start w:val="1"/>
      <w:numFmt w:val="bullet"/>
      <w:lvlText w:val=""/>
      <w:lvlJc w:val="left"/>
      <w:pPr>
        <w:tabs>
          <w:tab w:val="num" w:pos="6480"/>
        </w:tabs>
        <w:ind w:left="6480" w:hanging="360"/>
      </w:pPr>
      <w:rPr>
        <w:rFonts w:ascii="Wingdings" w:hAnsi="Wingdings" w:hint="default"/>
      </w:rPr>
    </w:lvl>
  </w:abstractNum>
  <w:abstractNum w:abstractNumId="1">
    <w:nsid w:val="01A431A5"/>
    <w:multiLevelType w:val="singleLevel"/>
    <w:tmpl w:val="FCDAD016"/>
    <w:lvl w:ilvl="0">
      <w:start w:val="1"/>
      <w:numFmt w:val="bullet"/>
      <w:pStyle w:val="ListBullet1"/>
      <w:lvlText w:val=""/>
      <w:lvlJc w:val="left"/>
      <w:pPr>
        <w:tabs>
          <w:tab w:val="num" w:pos="360"/>
        </w:tabs>
        <w:ind w:left="360" w:hanging="360"/>
      </w:pPr>
      <w:rPr>
        <w:rFonts w:ascii="Wingdings" w:hAnsi="Wingdings" w:hint="default"/>
      </w:rPr>
    </w:lvl>
  </w:abstractNum>
  <w:abstractNum w:abstractNumId="2">
    <w:nsid w:val="061C00CF"/>
    <w:multiLevelType w:val="hybridMultilevel"/>
    <w:tmpl w:val="ABCA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F20208"/>
    <w:multiLevelType w:val="singleLevel"/>
    <w:tmpl w:val="B5AC3962"/>
    <w:lvl w:ilvl="0">
      <w:start w:val="1"/>
      <w:numFmt w:val="bullet"/>
      <w:pStyle w:val="Bullet"/>
      <w:lvlText w:val=""/>
      <w:lvlJc w:val="left"/>
      <w:pPr>
        <w:tabs>
          <w:tab w:val="num" w:pos="360"/>
        </w:tabs>
        <w:ind w:left="360" w:hanging="360"/>
      </w:pPr>
      <w:rPr>
        <w:rFonts w:ascii="Symbol" w:hAnsi="Symbol" w:hint="default"/>
      </w:rPr>
    </w:lvl>
  </w:abstractNum>
  <w:abstractNum w:abstractNumId="4">
    <w:nsid w:val="0CD14F8D"/>
    <w:multiLevelType w:val="hybridMultilevel"/>
    <w:tmpl w:val="21ECA3CA"/>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EA86DCF"/>
    <w:multiLevelType w:val="hybridMultilevel"/>
    <w:tmpl w:val="023E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D3773A"/>
    <w:multiLevelType w:val="singleLevel"/>
    <w:tmpl w:val="18CA76E8"/>
    <w:lvl w:ilvl="0">
      <w:start w:val="1"/>
      <w:numFmt w:val="bullet"/>
      <w:pStyle w:val="TaBult1"/>
      <w:lvlText w:val=""/>
      <w:lvlJc w:val="left"/>
      <w:pPr>
        <w:tabs>
          <w:tab w:val="num" w:pos="360"/>
        </w:tabs>
        <w:ind w:left="360" w:hanging="360"/>
      </w:pPr>
      <w:rPr>
        <w:rFonts w:ascii="Wingdings" w:hAnsi="Wingdings" w:hint="default"/>
      </w:rPr>
    </w:lvl>
  </w:abstractNum>
  <w:abstractNum w:abstractNumId="7">
    <w:nsid w:val="20231E57"/>
    <w:multiLevelType w:val="singleLevel"/>
    <w:tmpl w:val="B5E20F18"/>
    <w:lvl w:ilvl="0">
      <w:start w:val="1"/>
      <w:numFmt w:val="bullet"/>
      <w:pStyle w:val="Bullet1"/>
      <w:lvlText w:val=""/>
      <w:lvlJc w:val="left"/>
      <w:pPr>
        <w:tabs>
          <w:tab w:val="num" w:pos="360"/>
        </w:tabs>
        <w:ind w:left="360" w:hanging="360"/>
      </w:pPr>
      <w:rPr>
        <w:rFonts w:ascii="Symbol" w:hAnsi="Symbol" w:hint="default"/>
      </w:rPr>
    </w:lvl>
  </w:abstractNum>
  <w:abstractNum w:abstractNumId="8">
    <w:nsid w:val="22E44180"/>
    <w:multiLevelType w:val="multilevel"/>
    <w:tmpl w:val="6C90453A"/>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CF01AE"/>
    <w:multiLevelType w:val="multilevel"/>
    <w:tmpl w:val="1E66B5CC"/>
    <w:lvl w:ilvl="0">
      <w:start w:val="1"/>
      <w:numFmt w:val="bullet"/>
      <w:pStyle w:val="List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B75631B"/>
    <w:multiLevelType w:val="singleLevel"/>
    <w:tmpl w:val="D1F2C4D8"/>
    <w:lvl w:ilvl="0">
      <w:start w:val="1"/>
      <w:numFmt w:val="bullet"/>
      <w:pStyle w:val="ListNumber"/>
      <w:lvlText w:val=""/>
      <w:lvlJc w:val="left"/>
      <w:pPr>
        <w:tabs>
          <w:tab w:val="num" w:pos="765"/>
        </w:tabs>
        <w:ind w:left="765" w:hanging="283"/>
      </w:pPr>
      <w:rPr>
        <w:rFonts w:ascii="Symbol" w:hAnsi="Symbol"/>
      </w:rPr>
    </w:lvl>
  </w:abstractNum>
  <w:abstractNum w:abstractNumId="11">
    <w:nsid w:val="2CD40552"/>
    <w:multiLevelType w:val="hybridMultilevel"/>
    <w:tmpl w:val="726C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ED044C"/>
    <w:multiLevelType w:val="hybridMultilevel"/>
    <w:tmpl w:val="279E5052"/>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144D28"/>
    <w:multiLevelType w:val="singleLevel"/>
    <w:tmpl w:val="6DC45E2C"/>
    <w:lvl w:ilvl="0">
      <w:start w:val="1"/>
      <w:numFmt w:val="bullet"/>
      <w:pStyle w:val="Bullet10"/>
      <w:lvlText w:val=""/>
      <w:lvlJc w:val="left"/>
      <w:pPr>
        <w:tabs>
          <w:tab w:val="num" w:pos="360"/>
        </w:tabs>
        <w:ind w:left="360" w:hanging="360"/>
      </w:pPr>
      <w:rPr>
        <w:rFonts w:ascii="Symbol" w:hAnsi="Symbol" w:hint="default"/>
      </w:rPr>
    </w:lvl>
  </w:abstractNum>
  <w:abstractNum w:abstractNumId="14">
    <w:nsid w:val="3C914D61"/>
    <w:multiLevelType w:val="singleLevel"/>
    <w:tmpl w:val="C2F6FA2A"/>
    <w:lvl w:ilvl="0">
      <w:start w:val="1"/>
      <w:numFmt w:val="decimal"/>
      <w:pStyle w:val="Listnumber2cm"/>
      <w:lvlText w:val="%1"/>
      <w:lvlJc w:val="left"/>
      <w:pPr>
        <w:tabs>
          <w:tab w:val="num" w:pos="1701"/>
        </w:tabs>
        <w:ind w:left="1701" w:hanging="567"/>
      </w:pPr>
      <w:rPr>
        <w:rFonts w:hint="default"/>
      </w:rPr>
    </w:lvl>
  </w:abstractNum>
  <w:abstractNum w:abstractNumId="15">
    <w:nsid w:val="3E503334"/>
    <w:multiLevelType w:val="hybridMultilevel"/>
    <w:tmpl w:val="8744AD0A"/>
    <w:lvl w:ilvl="0" w:tplc="080C0001">
      <w:start w:val="1"/>
      <w:numFmt w:val="bullet"/>
      <w:lvlText w:val=""/>
      <w:lvlJc w:val="left"/>
      <w:pPr>
        <w:ind w:left="643" w:hanging="360"/>
      </w:pPr>
      <w:rPr>
        <w:rFonts w:ascii="Symbol" w:hAnsi="Symbol" w:hint="default"/>
        <w:b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nsid w:val="40A83CEA"/>
    <w:multiLevelType w:val="hybridMultilevel"/>
    <w:tmpl w:val="541C3B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1260B5C"/>
    <w:multiLevelType w:val="hybridMultilevel"/>
    <w:tmpl w:val="46301692"/>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2544AE5"/>
    <w:multiLevelType w:val="hybridMultilevel"/>
    <w:tmpl w:val="072697CC"/>
    <w:lvl w:ilvl="0" w:tplc="08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nsid w:val="44AA7DEB"/>
    <w:multiLevelType w:val="singleLevel"/>
    <w:tmpl w:val="5798E670"/>
    <w:lvl w:ilvl="0">
      <w:start w:val="1"/>
      <w:numFmt w:val="bullet"/>
      <w:pStyle w:val="Puce2"/>
      <w:lvlText w:val=""/>
      <w:lvlJc w:val="left"/>
      <w:pPr>
        <w:tabs>
          <w:tab w:val="num" w:pos="927"/>
        </w:tabs>
        <w:ind w:left="907" w:hanging="340"/>
      </w:pPr>
      <w:rPr>
        <w:rFonts w:ascii="Wingdings" w:hAnsi="Wingdings" w:hint="default"/>
      </w:rPr>
    </w:lvl>
  </w:abstractNum>
  <w:abstractNum w:abstractNumId="20">
    <w:nsid w:val="465D172F"/>
    <w:multiLevelType w:val="multilevel"/>
    <w:tmpl w:val="9CBAF6BE"/>
    <w:lvl w:ilvl="0">
      <w:start w:val="1"/>
      <w:numFmt w:val="decimal"/>
      <w:pStyle w:val="ListNumber1"/>
      <w:lvlText w:val="(%1)"/>
      <w:lvlJc w:val="left"/>
      <w:pPr>
        <w:tabs>
          <w:tab w:val="num" w:pos="1191"/>
        </w:tabs>
        <w:ind w:left="1191" w:hanging="709"/>
      </w:pPr>
      <w:rPr>
        <w:rFonts w:hint="default"/>
      </w:rPr>
    </w:lvl>
    <w:lvl w:ilvl="1">
      <w:start w:val="1"/>
      <w:numFmt w:val="lowerLetter"/>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C3B30B9"/>
    <w:multiLevelType w:val="hybridMultilevel"/>
    <w:tmpl w:val="AD448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F12FAC"/>
    <w:multiLevelType w:val="hybridMultilevel"/>
    <w:tmpl w:val="DA3CDF7E"/>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195C26"/>
    <w:multiLevelType w:val="singleLevel"/>
    <w:tmpl w:val="2A2099E6"/>
    <w:lvl w:ilvl="0">
      <w:start w:val="1"/>
      <w:numFmt w:val="bullet"/>
      <w:pStyle w:val="Lista"/>
      <w:lvlText w:val=""/>
      <w:lvlJc w:val="left"/>
      <w:pPr>
        <w:tabs>
          <w:tab w:val="num" w:pos="360"/>
        </w:tabs>
        <w:ind w:left="360" w:hanging="360"/>
      </w:pPr>
      <w:rPr>
        <w:rFonts w:ascii="Symbol" w:hAnsi="Symbol" w:hint="default"/>
      </w:rPr>
    </w:lvl>
  </w:abstractNum>
  <w:abstractNum w:abstractNumId="24">
    <w:nsid w:val="5687478B"/>
    <w:multiLevelType w:val="hybridMultilevel"/>
    <w:tmpl w:val="DF9CF0A4"/>
    <w:lvl w:ilvl="0" w:tplc="0809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nsid w:val="5BB02CEE"/>
    <w:multiLevelType w:val="hybridMultilevel"/>
    <w:tmpl w:val="A478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EA11F0"/>
    <w:multiLevelType w:val="hybridMultilevel"/>
    <w:tmpl w:val="16D07B52"/>
    <w:lvl w:ilvl="0" w:tplc="E898B9B8">
      <w:start w:val="1"/>
      <w:numFmt w:val="bullet"/>
      <w:pStyle w:val="Listbullet1cm"/>
      <w:lvlText w:val=""/>
      <w:lvlJc w:val="left"/>
      <w:pPr>
        <w:tabs>
          <w:tab w:val="num" w:pos="1647"/>
        </w:tabs>
        <w:ind w:left="1627" w:hanging="340"/>
      </w:pPr>
      <w:rPr>
        <w:rFonts w:ascii="Symbol" w:hAnsi="Symbol" w:hint="default"/>
        <w:sz w:val="20"/>
      </w:rPr>
    </w:lvl>
    <w:lvl w:ilvl="1" w:tplc="387C74FA" w:tentative="1">
      <w:start w:val="1"/>
      <w:numFmt w:val="bullet"/>
      <w:lvlText w:val="o"/>
      <w:lvlJc w:val="left"/>
      <w:pPr>
        <w:tabs>
          <w:tab w:val="num" w:pos="1440"/>
        </w:tabs>
        <w:ind w:left="1440" w:hanging="360"/>
      </w:pPr>
      <w:rPr>
        <w:rFonts w:ascii="Courier New" w:hAnsi="Courier New" w:hint="default"/>
      </w:rPr>
    </w:lvl>
    <w:lvl w:ilvl="2" w:tplc="3B7E9B3E" w:tentative="1">
      <w:start w:val="1"/>
      <w:numFmt w:val="bullet"/>
      <w:lvlText w:val=""/>
      <w:lvlJc w:val="left"/>
      <w:pPr>
        <w:tabs>
          <w:tab w:val="num" w:pos="2160"/>
        </w:tabs>
        <w:ind w:left="2160" w:hanging="360"/>
      </w:pPr>
      <w:rPr>
        <w:rFonts w:ascii="Wingdings" w:hAnsi="Wingdings" w:hint="default"/>
      </w:rPr>
    </w:lvl>
    <w:lvl w:ilvl="3" w:tplc="24345B38" w:tentative="1">
      <w:start w:val="1"/>
      <w:numFmt w:val="bullet"/>
      <w:lvlText w:val=""/>
      <w:lvlJc w:val="left"/>
      <w:pPr>
        <w:tabs>
          <w:tab w:val="num" w:pos="2880"/>
        </w:tabs>
        <w:ind w:left="2880" w:hanging="360"/>
      </w:pPr>
      <w:rPr>
        <w:rFonts w:ascii="Symbol" w:hAnsi="Symbol" w:hint="default"/>
      </w:rPr>
    </w:lvl>
    <w:lvl w:ilvl="4" w:tplc="C8B8E8CC" w:tentative="1">
      <w:start w:val="1"/>
      <w:numFmt w:val="bullet"/>
      <w:lvlText w:val="o"/>
      <w:lvlJc w:val="left"/>
      <w:pPr>
        <w:tabs>
          <w:tab w:val="num" w:pos="3600"/>
        </w:tabs>
        <w:ind w:left="3600" w:hanging="360"/>
      </w:pPr>
      <w:rPr>
        <w:rFonts w:ascii="Courier New" w:hAnsi="Courier New" w:hint="default"/>
      </w:rPr>
    </w:lvl>
    <w:lvl w:ilvl="5" w:tplc="83DABCBE" w:tentative="1">
      <w:start w:val="1"/>
      <w:numFmt w:val="bullet"/>
      <w:lvlText w:val=""/>
      <w:lvlJc w:val="left"/>
      <w:pPr>
        <w:tabs>
          <w:tab w:val="num" w:pos="4320"/>
        </w:tabs>
        <w:ind w:left="4320" w:hanging="360"/>
      </w:pPr>
      <w:rPr>
        <w:rFonts w:ascii="Wingdings" w:hAnsi="Wingdings" w:hint="default"/>
      </w:rPr>
    </w:lvl>
    <w:lvl w:ilvl="6" w:tplc="65D04D92" w:tentative="1">
      <w:start w:val="1"/>
      <w:numFmt w:val="bullet"/>
      <w:lvlText w:val=""/>
      <w:lvlJc w:val="left"/>
      <w:pPr>
        <w:tabs>
          <w:tab w:val="num" w:pos="5040"/>
        </w:tabs>
        <w:ind w:left="5040" w:hanging="360"/>
      </w:pPr>
      <w:rPr>
        <w:rFonts w:ascii="Symbol" w:hAnsi="Symbol" w:hint="default"/>
      </w:rPr>
    </w:lvl>
    <w:lvl w:ilvl="7" w:tplc="476C85D6" w:tentative="1">
      <w:start w:val="1"/>
      <w:numFmt w:val="bullet"/>
      <w:lvlText w:val="o"/>
      <w:lvlJc w:val="left"/>
      <w:pPr>
        <w:tabs>
          <w:tab w:val="num" w:pos="5760"/>
        </w:tabs>
        <w:ind w:left="5760" w:hanging="360"/>
      </w:pPr>
      <w:rPr>
        <w:rFonts w:ascii="Courier New" w:hAnsi="Courier New" w:hint="default"/>
      </w:rPr>
    </w:lvl>
    <w:lvl w:ilvl="8" w:tplc="DF8A4592" w:tentative="1">
      <w:start w:val="1"/>
      <w:numFmt w:val="bullet"/>
      <w:lvlText w:val=""/>
      <w:lvlJc w:val="left"/>
      <w:pPr>
        <w:tabs>
          <w:tab w:val="num" w:pos="6480"/>
        </w:tabs>
        <w:ind w:left="6480" w:hanging="360"/>
      </w:pPr>
      <w:rPr>
        <w:rFonts w:ascii="Wingdings" w:hAnsi="Wingdings" w:hint="default"/>
      </w:rPr>
    </w:lvl>
  </w:abstractNum>
  <w:abstractNum w:abstractNumId="27">
    <w:nsid w:val="662B5C67"/>
    <w:multiLevelType w:val="singleLevel"/>
    <w:tmpl w:val="8F10F890"/>
    <w:lvl w:ilvl="0">
      <w:start w:val="1"/>
      <w:numFmt w:val="bullet"/>
      <w:pStyle w:val="BodyTextIndent"/>
      <w:lvlText w:val="–"/>
      <w:lvlJc w:val="left"/>
      <w:pPr>
        <w:tabs>
          <w:tab w:val="num" w:pos="283"/>
        </w:tabs>
        <w:ind w:left="283" w:hanging="283"/>
      </w:pPr>
      <w:rPr>
        <w:rFonts w:ascii="Times New Roman" w:hAnsi="Times New Roman"/>
      </w:rPr>
    </w:lvl>
  </w:abstractNum>
  <w:abstractNum w:abstractNumId="28">
    <w:nsid w:val="66C02E3F"/>
    <w:multiLevelType w:val="hybridMultilevel"/>
    <w:tmpl w:val="91B0992A"/>
    <w:lvl w:ilvl="0" w:tplc="BE84792A">
      <w:start w:val="1"/>
      <w:numFmt w:val="decimal"/>
      <w:lvlText w:val="%1."/>
      <w:lvlJc w:val="left"/>
      <w:pPr>
        <w:tabs>
          <w:tab w:val="num" w:pos="720"/>
        </w:tabs>
        <w:ind w:left="720" w:hanging="360"/>
      </w:pPr>
    </w:lvl>
    <w:lvl w:ilvl="1" w:tplc="AB4ADF3A">
      <w:start w:val="1"/>
      <w:numFmt w:val="bullet"/>
      <w:pStyle w:val="TableBullet"/>
      <w:lvlText w:val=""/>
      <w:lvlJc w:val="left"/>
      <w:pPr>
        <w:tabs>
          <w:tab w:val="num" w:pos="1440"/>
        </w:tabs>
        <w:ind w:left="1420" w:hanging="340"/>
      </w:pPr>
      <w:rPr>
        <w:rFonts w:ascii="Symbol" w:hAnsi="Symbol" w:hint="default"/>
      </w:rPr>
    </w:lvl>
    <w:lvl w:ilvl="2" w:tplc="728012D0">
      <w:start w:val="1"/>
      <w:numFmt w:val="lowerRoman"/>
      <w:lvlText w:val="%3."/>
      <w:lvlJc w:val="right"/>
      <w:pPr>
        <w:tabs>
          <w:tab w:val="num" w:pos="2160"/>
        </w:tabs>
        <w:ind w:left="2160" w:hanging="180"/>
      </w:pPr>
    </w:lvl>
    <w:lvl w:ilvl="3" w:tplc="188E441A" w:tentative="1">
      <w:start w:val="1"/>
      <w:numFmt w:val="decimal"/>
      <w:lvlText w:val="%4."/>
      <w:lvlJc w:val="left"/>
      <w:pPr>
        <w:tabs>
          <w:tab w:val="num" w:pos="2880"/>
        </w:tabs>
        <w:ind w:left="2880" w:hanging="360"/>
      </w:pPr>
    </w:lvl>
    <w:lvl w:ilvl="4" w:tplc="FD262742" w:tentative="1">
      <w:start w:val="1"/>
      <w:numFmt w:val="lowerLetter"/>
      <w:lvlText w:val="%5."/>
      <w:lvlJc w:val="left"/>
      <w:pPr>
        <w:tabs>
          <w:tab w:val="num" w:pos="3600"/>
        </w:tabs>
        <w:ind w:left="3600" w:hanging="360"/>
      </w:pPr>
    </w:lvl>
    <w:lvl w:ilvl="5" w:tplc="77C2C0B4" w:tentative="1">
      <w:start w:val="1"/>
      <w:numFmt w:val="lowerRoman"/>
      <w:lvlText w:val="%6."/>
      <w:lvlJc w:val="right"/>
      <w:pPr>
        <w:tabs>
          <w:tab w:val="num" w:pos="4320"/>
        </w:tabs>
        <w:ind w:left="4320" w:hanging="180"/>
      </w:pPr>
    </w:lvl>
    <w:lvl w:ilvl="6" w:tplc="38D81E78" w:tentative="1">
      <w:start w:val="1"/>
      <w:numFmt w:val="decimal"/>
      <w:lvlText w:val="%7."/>
      <w:lvlJc w:val="left"/>
      <w:pPr>
        <w:tabs>
          <w:tab w:val="num" w:pos="5040"/>
        </w:tabs>
        <w:ind w:left="5040" w:hanging="360"/>
      </w:pPr>
    </w:lvl>
    <w:lvl w:ilvl="7" w:tplc="20EC8814" w:tentative="1">
      <w:start w:val="1"/>
      <w:numFmt w:val="lowerLetter"/>
      <w:lvlText w:val="%8."/>
      <w:lvlJc w:val="left"/>
      <w:pPr>
        <w:tabs>
          <w:tab w:val="num" w:pos="5760"/>
        </w:tabs>
        <w:ind w:left="5760" w:hanging="360"/>
      </w:pPr>
    </w:lvl>
    <w:lvl w:ilvl="8" w:tplc="EF3C8C46" w:tentative="1">
      <w:start w:val="1"/>
      <w:numFmt w:val="lowerRoman"/>
      <w:lvlText w:val="%9."/>
      <w:lvlJc w:val="right"/>
      <w:pPr>
        <w:tabs>
          <w:tab w:val="num" w:pos="6480"/>
        </w:tabs>
        <w:ind w:left="6480" w:hanging="180"/>
      </w:pPr>
    </w:lvl>
  </w:abstractNum>
  <w:abstractNum w:abstractNumId="29">
    <w:nsid w:val="67381CEE"/>
    <w:multiLevelType w:val="hybridMultilevel"/>
    <w:tmpl w:val="BAF01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58419E"/>
    <w:multiLevelType w:val="multilevel"/>
    <w:tmpl w:val="DDD0F768"/>
    <w:lvl w:ilvl="0">
      <w:start w:val="1"/>
      <w:numFmt w:val="bullet"/>
      <w:pStyle w:val="SteriaBullet"/>
      <w:lvlText w:val=""/>
      <w:lvlJc w:val="left"/>
      <w:pPr>
        <w:tabs>
          <w:tab w:val="num" w:pos="4235"/>
        </w:tabs>
        <w:ind w:left="4235" w:hanging="360"/>
      </w:pPr>
      <w:rPr>
        <w:rFonts w:ascii="Wingdings" w:hAnsi="Wingdings" w:hint="default"/>
        <w:color w:val="FF5900"/>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6AE4708B"/>
    <w:multiLevelType w:val="hybridMultilevel"/>
    <w:tmpl w:val="9654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6764EE"/>
    <w:multiLevelType w:val="multilevel"/>
    <w:tmpl w:val="590CAE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3130"/>
        </w:tabs>
        <w:ind w:left="3130" w:hanging="720"/>
      </w:pPr>
    </w:lvl>
    <w:lvl w:ilvl="3">
      <w:start w:val="1"/>
      <w:numFmt w:val="decimal"/>
      <w:pStyle w:val="Heading4"/>
      <w:lvlText w:val="%1.%2.%3.%4"/>
      <w:lvlJc w:val="left"/>
      <w:pPr>
        <w:tabs>
          <w:tab w:val="num" w:pos="3842"/>
        </w:tabs>
        <w:ind w:left="3842" w:hanging="864"/>
      </w:pPr>
    </w:lvl>
    <w:lvl w:ilvl="4">
      <w:start w:val="1"/>
      <w:numFmt w:val="decimal"/>
      <w:pStyle w:val="Heading5"/>
      <w:lvlText w:val="%1.%2.%3.%4.%5"/>
      <w:lvlJc w:val="left"/>
      <w:pPr>
        <w:tabs>
          <w:tab w:val="num" w:pos="4269"/>
        </w:tabs>
        <w:ind w:left="4269"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nsid w:val="74A06403"/>
    <w:multiLevelType w:val="hybridMultilevel"/>
    <w:tmpl w:val="9F4A8AF2"/>
    <w:lvl w:ilvl="0" w:tplc="DC7AC5D2">
      <w:start w:val="1"/>
      <w:numFmt w:val="decimal"/>
      <w:pStyle w:val="Listnumber1cm"/>
      <w:lvlText w:val="%1"/>
      <w:lvlJc w:val="left"/>
      <w:pPr>
        <w:tabs>
          <w:tab w:val="num" w:pos="927"/>
        </w:tabs>
        <w:ind w:left="851" w:hanging="284"/>
      </w:pPr>
      <w:rPr>
        <w:rFonts w:hint="default"/>
      </w:rPr>
    </w:lvl>
    <w:lvl w:ilvl="1" w:tplc="AFFCEF48" w:tentative="1">
      <w:start w:val="1"/>
      <w:numFmt w:val="lowerLetter"/>
      <w:lvlText w:val="%2."/>
      <w:lvlJc w:val="left"/>
      <w:pPr>
        <w:tabs>
          <w:tab w:val="num" w:pos="1440"/>
        </w:tabs>
        <w:ind w:left="1440" w:hanging="360"/>
      </w:pPr>
    </w:lvl>
    <w:lvl w:ilvl="2" w:tplc="279CE068" w:tentative="1">
      <w:start w:val="1"/>
      <w:numFmt w:val="lowerRoman"/>
      <w:lvlText w:val="%3."/>
      <w:lvlJc w:val="right"/>
      <w:pPr>
        <w:tabs>
          <w:tab w:val="num" w:pos="2160"/>
        </w:tabs>
        <w:ind w:left="2160" w:hanging="180"/>
      </w:pPr>
    </w:lvl>
    <w:lvl w:ilvl="3" w:tplc="BA000492" w:tentative="1">
      <w:start w:val="1"/>
      <w:numFmt w:val="decimal"/>
      <w:lvlText w:val="%4."/>
      <w:lvlJc w:val="left"/>
      <w:pPr>
        <w:tabs>
          <w:tab w:val="num" w:pos="2880"/>
        </w:tabs>
        <w:ind w:left="2880" w:hanging="360"/>
      </w:pPr>
    </w:lvl>
    <w:lvl w:ilvl="4" w:tplc="A1E8A902" w:tentative="1">
      <w:start w:val="1"/>
      <w:numFmt w:val="lowerLetter"/>
      <w:lvlText w:val="%5."/>
      <w:lvlJc w:val="left"/>
      <w:pPr>
        <w:tabs>
          <w:tab w:val="num" w:pos="3600"/>
        </w:tabs>
        <w:ind w:left="3600" w:hanging="360"/>
      </w:pPr>
    </w:lvl>
    <w:lvl w:ilvl="5" w:tplc="4D2E328A" w:tentative="1">
      <w:start w:val="1"/>
      <w:numFmt w:val="lowerRoman"/>
      <w:lvlText w:val="%6."/>
      <w:lvlJc w:val="right"/>
      <w:pPr>
        <w:tabs>
          <w:tab w:val="num" w:pos="4320"/>
        </w:tabs>
        <w:ind w:left="4320" w:hanging="180"/>
      </w:pPr>
    </w:lvl>
    <w:lvl w:ilvl="6" w:tplc="27E29162" w:tentative="1">
      <w:start w:val="1"/>
      <w:numFmt w:val="decimal"/>
      <w:lvlText w:val="%7."/>
      <w:lvlJc w:val="left"/>
      <w:pPr>
        <w:tabs>
          <w:tab w:val="num" w:pos="5040"/>
        </w:tabs>
        <w:ind w:left="5040" w:hanging="360"/>
      </w:pPr>
    </w:lvl>
    <w:lvl w:ilvl="7" w:tplc="D1B82ED0" w:tentative="1">
      <w:start w:val="1"/>
      <w:numFmt w:val="lowerLetter"/>
      <w:lvlText w:val="%8."/>
      <w:lvlJc w:val="left"/>
      <w:pPr>
        <w:tabs>
          <w:tab w:val="num" w:pos="5760"/>
        </w:tabs>
        <w:ind w:left="5760" w:hanging="360"/>
      </w:pPr>
    </w:lvl>
    <w:lvl w:ilvl="8" w:tplc="2C0A0A6A" w:tentative="1">
      <w:start w:val="1"/>
      <w:numFmt w:val="lowerRoman"/>
      <w:lvlText w:val="%9."/>
      <w:lvlJc w:val="right"/>
      <w:pPr>
        <w:tabs>
          <w:tab w:val="num" w:pos="6480"/>
        </w:tabs>
        <w:ind w:left="6480" w:hanging="180"/>
      </w:pPr>
    </w:lvl>
  </w:abstractNum>
  <w:abstractNum w:abstractNumId="34">
    <w:nsid w:val="7EE31169"/>
    <w:multiLevelType w:val="hybridMultilevel"/>
    <w:tmpl w:val="29BED7C2"/>
    <w:lvl w:ilvl="0" w:tplc="E06C52E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8"/>
  </w:num>
  <w:num w:numId="3">
    <w:abstractNumId w:val="0"/>
  </w:num>
  <w:num w:numId="4">
    <w:abstractNumId w:val="14"/>
  </w:num>
  <w:num w:numId="5">
    <w:abstractNumId w:val="26"/>
  </w:num>
  <w:num w:numId="6">
    <w:abstractNumId w:val="33"/>
  </w:num>
  <w:num w:numId="7">
    <w:abstractNumId w:val="20"/>
  </w:num>
  <w:num w:numId="8">
    <w:abstractNumId w:val="3"/>
  </w:num>
  <w:num w:numId="9">
    <w:abstractNumId w:val="7"/>
  </w:num>
  <w:num w:numId="10">
    <w:abstractNumId w:val="13"/>
  </w:num>
  <w:num w:numId="11">
    <w:abstractNumId w:val="23"/>
  </w:num>
  <w:num w:numId="12">
    <w:abstractNumId w:val="9"/>
  </w:num>
  <w:num w:numId="13">
    <w:abstractNumId w:val="1"/>
  </w:num>
  <w:num w:numId="14">
    <w:abstractNumId w:val="10"/>
  </w:num>
  <w:num w:numId="15">
    <w:abstractNumId w:val="19"/>
  </w:num>
  <w:num w:numId="16">
    <w:abstractNumId w:val="30"/>
  </w:num>
  <w:num w:numId="17">
    <w:abstractNumId w:val="6"/>
  </w:num>
  <w:num w:numId="18">
    <w:abstractNumId w:val="27"/>
  </w:num>
  <w:num w:numId="19">
    <w:abstractNumId w:val="11"/>
  </w:num>
  <w:num w:numId="20">
    <w:abstractNumId w:val="31"/>
  </w:num>
  <w:num w:numId="21">
    <w:abstractNumId w:val="8"/>
  </w:num>
  <w:num w:numId="22">
    <w:abstractNumId w:val="21"/>
  </w:num>
  <w:num w:numId="23">
    <w:abstractNumId w:val="32"/>
  </w:num>
  <w:num w:numId="24">
    <w:abstractNumId w:val="32"/>
  </w:num>
  <w:num w:numId="25">
    <w:abstractNumId w:val="32"/>
  </w:num>
  <w:num w:numId="26">
    <w:abstractNumId w:val="32"/>
  </w:num>
  <w:num w:numId="27">
    <w:abstractNumId w:val="15"/>
  </w:num>
  <w:num w:numId="28">
    <w:abstractNumId w:val="22"/>
  </w:num>
  <w:num w:numId="29">
    <w:abstractNumId w:val="34"/>
  </w:num>
  <w:num w:numId="30">
    <w:abstractNumId w:val="32"/>
  </w:num>
  <w:num w:numId="31">
    <w:abstractNumId w:val="25"/>
  </w:num>
  <w:num w:numId="32">
    <w:abstractNumId w:val="5"/>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2"/>
  </w:num>
  <w:num w:numId="42">
    <w:abstractNumId w:val="29"/>
  </w:num>
  <w:num w:numId="43">
    <w:abstractNumId w:val="17"/>
  </w:num>
  <w:num w:numId="44">
    <w:abstractNumId w:val="4"/>
  </w:num>
  <w:num w:numId="45">
    <w:abstractNumId w:val="24"/>
  </w:num>
  <w:num w:numId="46">
    <w:abstractNumId w:val="12"/>
  </w:num>
  <w:num w:numId="47">
    <w:abstractNumId w:val="16"/>
  </w:num>
  <w:num w:numId="4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05C4F41-5C87-46A9-8FAC-451E2BAC131C"/>
    <w:docVar w:name="LW_COVERPAGE_TYPE" w:val="1"/>
    <w:docVar w:name="LW_CROSSREFERENCE" w:val="{SWD(2020) 378 final}"/>
    <w:docVar w:name="LW_DocType" w:val="NORMAL"/>
    <w:docVar w:name="LW_EMISSION" w:val="21.12.2020"/>
    <w:docVar w:name="LW_EMISSION_ISODATE" w:val="2020-12-21"/>
    <w:docVar w:name="LW_EMISSION_LOCATION" w:val="BRX"/>
    <w:docVar w:name="LW_EMISSION_PREFIX" w:val="Bryssel den "/>
    <w:docVar w:name="LW_EMISSION_SUFFIX" w:val=" "/>
    <w:docVar w:name="LW_ID_DOCTYPE_NONLW" w:val="CP-006"/>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20) 77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m utbyte genom det europeiska informationssystemet för utbyte av uppgifter ur kriminalregister (Ecris) av utdrag ur kriminalregister mellan medlemsstaterna_x000d__x000b_"/>
    <w:docVar w:name="LW_TYPE.DOC.CP" w:val="RAPPORT FRÅN KOMMISSIONEN TILL EUROPAPARLAMENTET OCH RÅDET"/>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sv-SE"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style>
  <w:style w:type="paragraph" w:styleId="Heading1">
    <w:name w:val="heading 1"/>
    <w:aliases w:val="t1,TITRE1,heading 1,Titre 11,t1.T1.Titre 1,Titre 1ed,t1.T1.Titre 1Annexe,H1,t1.T1,h1,l1,H,GSA1,Titre 1:,T1,Chapitre 1,1,Level 1,Heading 1 Colored,Chapter title,ch,MIGHeading 1,ch1,Bold 18,CMG H1,NCS-H1,überschrift1,überschrift11,überschrift12"/>
    <w:basedOn w:val="Normal"/>
    <w:next w:val="Normal"/>
    <w:uiPriority w:val="9"/>
    <w:qFormat/>
    <w:pPr>
      <w:keepNext/>
      <w:pageBreakBefore/>
      <w:numPr>
        <w:numId w:val="1"/>
      </w:numPr>
      <w:pBdr>
        <w:bottom w:val="single" w:sz="12" w:space="1" w:color="FF6600"/>
      </w:pBdr>
      <w:spacing w:before="120" w:after="240"/>
      <w:outlineLvl w:val="0"/>
    </w:pPr>
    <w:rPr>
      <w:b/>
      <w:smallCaps/>
      <w:color w:val="000080"/>
      <w:kern w:val="28"/>
      <w:sz w:val="36"/>
    </w:rPr>
  </w:style>
  <w:style w:type="paragraph" w:styleId="Heading2">
    <w:name w:val="heading 2"/>
    <w:aliases w:val="T2,h2,L2,H2,Punt 2,l2,2,Titre 21,t2.T2,t2,Contrat 2,Ctt,t2.T2.Titre 2,TITRE 2,Titre 2ed,Heading 2 Hidden,heading 2,Chapter Number/Appendix Letter,chn,Titre niveau 2,Level 2,Chapitre 2,paragraphe,Titre 2 - RAO,Specf Titre 2,Heading 2a,Header 2"/>
    <w:basedOn w:val="Normal"/>
    <w:next w:val="Normal"/>
    <w:link w:val="Heading2Char"/>
    <w:qFormat/>
    <w:pPr>
      <w:keepNext/>
      <w:numPr>
        <w:ilvl w:val="1"/>
        <w:numId w:val="1"/>
      </w:numPr>
      <w:pBdr>
        <w:bottom w:val="single" w:sz="12" w:space="1" w:color="000080"/>
      </w:pBdr>
      <w:spacing w:before="120"/>
      <w:outlineLvl w:val="1"/>
    </w:pPr>
    <w:rPr>
      <w:b/>
      <w:bCs/>
      <w:smallCaps/>
      <w:color w:val="000080"/>
      <w:sz w:val="32"/>
    </w:rPr>
  </w:style>
  <w:style w:type="paragraph" w:styleId="Heading3">
    <w:name w:val="heading 3"/>
    <w:aliases w:val="3,Titre 31,t3.T3,heading 3,Titre 3+,H3,Titre niveau 3,Titre3,t3,Contrat 3,Titre 3 SQ,Titre 3 SQ1,Titre 3 SQ2,Titre 3 SQ3,Titre 3 SQ4,Titre 3 SQ5,Titre 3 SQ6,Titre 3 SQ7,h3,3rd level,l3,CT,Heading 3 - old,Titre 3 .3,Titre 311,Titre 3 .31,1.2.3."/>
    <w:basedOn w:val="Normal"/>
    <w:next w:val="Normal"/>
    <w:qFormat/>
    <w:pPr>
      <w:keepNext/>
      <w:numPr>
        <w:ilvl w:val="2"/>
        <w:numId w:val="1"/>
      </w:numPr>
      <w:spacing w:before="240" w:after="60"/>
      <w:outlineLvl w:val="2"/>
    </w:pPr>
    <w:rPr>
      <w:b/>
      <w:bCs/>
      <w:smallCaps/>
      <w:color w:val="000080"/>
      <w:sz w:val="28"/>
    </w:rPr>
  </w:style>
  <w:style w:type="paragraph" w:styleId="Heading4">
    <w:name w:val="heading 4"/>
    <w:aliases w:val="4,H4,Titre 41,t4.T4,t4,Chapitre 1.1.1.,Alinéa,dash,h4,Ref Heading 1,rh1,First Subheading,T4,t4.T4.Titre 4,heading 4,l4,I4,(Shift Ctrl 4),Schedules,Heading 4 CFMU"/>
    <w:basedOn w:val="Normal"/>
    <w:next w:val="Normal"/>
    <w:link w:val="Heading4Char"/>
    <w:qFormat/>
    <w:pPr>
      <w:keepNext/>
      <w:numPr>
        <w:ilvl w:val="3"/>
        <w:numId w:val="1"/>
      </w:numPr>
      <w:spacing w:before="240" w:after="60"/>
      <w:outlineLvl w:val="3"/>
    </w:pPr>
    <w:rPr>
      <w:b/>
      <w:smallCaps/>
      <w:color w:val="000080"/>
      <w:sz w:val="24"/>
    </w:rPr>
  </w:style>
  <w:style w:type="paragraph" w:styleId="Heading5">
    <w:name w:val="heading 5"/>
    <w:aliases w:val="H5,Chapitre 1.1.1.1.,Ref Heading 2,rh2,h5,Second Subheading,heading 5,Heading 5 CFMU,Para 5,(Shift Ctrl 5),Appendix A to X,Heading 5   Appendix A to X"/>
    <w:basedOn w:val="Normal"/>
    <w:next w:val="Normal"/>
    <w:qFormat/>
    <w:pPr>
      <w:numPr>
        <w:ilvl w:val="4"/>
        <w:numId w:val="1"/>
      </w:numPr>
      <w:spacing w:before="240" w:after="60"/>
      <w:outlineLvl w:val="4"/>
    </w:pPr>
    <w:rPr>
      <w:b/>
      <w:bCs/>
      <w:smallCaps/>
      <w:color w:val="000080"/>
    </w:rPr>
  </w:style>
  <w:style w:type="paragraph" w:styleId="Heading6">
    <w:name w:val="heading 6"/>
    <w:aliases w:val="6,Heading 6  Appendix Y &amp; Z,h6,Heading 6 CFMU"/>
    <w:basedOn w:val="Normal"/>
    <w:next w:val="Normal"/>
    <w:qFormat/>
    <w:pPr>
      <w:numPr>
        <w:ilvl w:val="5"/>
        <w:numId w:val="1"/>
      </w:numPr>
      <w:spacing w:before="240" w:after="60"/>
      <w:outlineLvl w:val="5"/>
    </w:pPr>
    <w:rPr>
      <w:i/>
      <w:sz w:val="22"/>
    </w:rPr>
  </w:style>
  <w:style w:type="paragraph" w:styleId="Heading7">
    <w:name w:val="heading 7"/>
    <w:aliases w:val="H7,(Shift Ctrl 7),Heading 7 CFMU"/>
    <w:basedOn w:val="Normal"/>
    <w:next w:val="Normal"/>
    <w:qFormat/>
    <w:pPr>
      <w:numPr>
        <w:ilvl w:val="6"/>
        <w:numId w:val="1"/>
      </w:numPr>
      <w:spacing w:before="240" w:after="60"/>
      <w:outlineLvl w:val="6"/>
    </w:pPr>
  </w:style>
  <w:style w:type="paragraph" w:styleId="Heading8">
    <w:name w:val="heading 8"/>
    <w:aliases w:val="Heading 8 CFMU"/>
    <w:basedOn w:val="Normal"/>
    <w:next w:val="Normal"/>
    <w:qFormat/>
    <w:pPr>
      <w:numPr>
        <w:ilvl w:val="7"/>
        <w:numId w:val="1"/>
      </w:numPr>
      <w:spacing w:before="240" w:after="60"/>
      <w:outlineLvl w:val="7"/>
    </w:pPr>
    <w:rPr>
      <w:i/>
    </w:rPr>
  </w:style>
  <w:style w:type="paragraph" w:styleId="Heading9">
    <w:name w:val="heading 9"/>
    <w:aliases w:val="App Heading,Heading 9 CFMU"/>
    <w:basedOn w:val="Normal"/>
    <w:next w:val="Normal"/>
    <w:qFormat/>
    <w:pPr>
      <w:numPr>
        <w:ilvl w:val="8"/>
        <w:numId w:val="1"/>
      </w:num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jc w:val="both"/>
    </w:pPr>
    <w:rPr>
      <w:rFonts w:ascii="Times New Roman" w:eastAsiaTheme="minorHAnsi" w:hAnsi="Times New Roman" w:cs="Times New Roman"/>
      <w:sz w:val="24"/>
      <w:szCs w:val="22"/>
      <w:lang w:eastAsia="en-US"/>
    </w:rPr>
  </w:style>
  <w:style w:type="paragraph" w:customStyle="1" w:styleId="Bullet1">
    <w:name w:val="Bullet 1"/>
    <w:basedOn w:val="Normal"/>
    <w:pPr>
      <w:numPr>
        <w:numId w:val="9"/>
      </w:numPr>
      <w:tabs>
        <w:tab w:val="clear" w:pos="360"/>
        <w:tab w:val="num" w:pos="900"/>
      </w:tabs>
      <w:spacing w:after="0"/>
      <w:ind w:left="900" w:firstLine="0"/>
      <w:jc w:val="both"/>
    </w:pPr>
    <w:rPr>
      <w:sz w:val="22"/>
    </w:rPr>
  </w:style>
  <w:style w:type="paragraph" w:customStyle="1" w:styleId="Listnumber1cm">
    <w:name w:val="List number 1cm"/>
    <w:basedOn w:val="Normal"/>
    <w:pPr>
      <w:numPr>
        <w:numId w:val="6"/>
      </w:numPr>
      <w:tabs>
        <w:tab w:val="clear" w:pos="927"/>
        <w:tab w:val="num" w:pos="360"/>
        <w:tab w:val="left" w:pos="851"/>
      </w:tabs>
      <w:ind w:left="0" w:firstLine="0"/>
    </w:pPr>
  </w:style>
  <w:style w:type="paragraph" w:customStyle="1" w:styleId="Tableheading">
    <w:name w:val="Table heading"/>
    <w:basedOn w:val="Normal"/>
    <w:pPr>
      <w:spacing w:before="120"/>
      <w:jc w:val="center"/>
    </w:pPr>
    <w:rPr>
      <w:b/>
      <w:color w:val="000080"/>
    </w:rPr>
  </w:style>
  <w:style w:type="paragraph" w:customStyle="1" w:styleId="Tabletext">
    <w:name w:val="Table text"/>
    <w:basedOn w:val="Normal"/>
    <w:pPr>
      <w:spacing w:before="60" w:after="60"/>
    </w:pPr>
  </w:style>
  <w:style w:type="paragraph" w:styleId="TOC1">
    <w:name w:val="toc 1"/>
    <w:basedOn w:val="Normal"/>
    <w:next w:val="Normal"/>
    <w:autoRedefine/>
    <w:uiPriority w:val="39"/>
    <w:pPr>
      <w:spacing w:before="120"/>
    </w:pPr>
    <w:rPr>
      <w:b/>
      <w:bCs/>
      <w:caps/>
      <w:szCs w:val="24"/>
    </w:rPr>
  </w:style>
  <w:style w:type="character" w:styleId="Hyperlink">
    <w:name w:val="Hyperlink"/>
    <w:uiPriority w:val="99"/>
    <w:rPr>
      <w:color w:val="0000FF"/>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eastAsiaTheme="minorHAnsi" w:hAnsi="Times New Roman" w:cs="Times New Roman"/>
      <w:sz w:val="24"/>
      <w:szCs w:val="22"/>
      <w:lang w:eastAsia="en-US"/>
    </w:rPr>
  </w:style>
  <w:style w:type="paragraph" w:styleId="Title">
    <w:name w:val="Title"/>
    <w:basedOn w:val="Normal"/>
    <w:next w:val="Normal"/>
    <w:link w:val="TitleChar"/>
    <w:qFormat/>
    <w:pPr>
      <w:keepLines/>
      <w:spacing w:before="480" w:after="480"/>
      <w:jc w:val="center"/>
    </w:pPr>
    <w:rPr>
      <w:b/>
      <w:caps/>
      <w:color w:val="000080"/>
      <w:sz w:val="32"/>
    </w:rPr>
  </w:style>
  <w:style w:type="paragraph" w:styleId="TOC2">
    <w:name w:val="toc 2"/>
    <w:basedOn w:val="Normal"/>
    <w:next w:val="Normal"/>
    <w:autoRedefine/>
    <w:uiPriority w:val="39"/>
    <w:pPr>
      <w:ind w:left="200"/>
    </w:pPr>
    <w:rPr>
      <w:smallCaps/>
      <w:szCs w:val="24"/>
    </w:rPr>
  </w:style>
  <w:style w:type="paragraph" w:styleId="TOC3">
    <w:name w:val="toc 3"/>
    <w:basedOn w:val="Normal"/>
    <w:next w:val="Normal"/>
    <w:autoRedefine/>
    <w:uiPriority w:val="39"/>
    <w:pPr>
      <w:ind w:left="400"/>
    </w:pPr>
    <w:rPr>
      <w:i/>
      <w:iCs/>
      <w:szCs w:val="24"/>
    </w:rPr>
  </w:style>
  <w:style w:type="paragraph" w:styleId="TOC4">
    <w:name w:val="toc 4"/>
    <w:basedOn w:val="Normal"/>
    <w:next w:val="Normal"/>
    <w:autoRedefine/>
    <w:uiPriority w:val="39"/>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customStyle="1" w:styleId="TableBullet">
    <w:name w:val="Table Bullet"/>
    <w:basedOn w:val="Normal"/>
    <w:pPr>
      <w:numPr>
        <w:ilvl w:val="1"/>
        <w:numId w:val="2"/>
      </w:numPr>
      <w:tabs>
        <w:tab w:val="clear" w:pos="1440"/>
        <w:tab w:val="num" w:pos="128"/>
      </w:tabs>
      <w:ind w:left="128" w:hanging="128"/>
    </w:pPr>
  </w:style>
  <w:style w:type="character" w:styleId="FollowedHyperlink">
    <w:name w:val="FollowedHyperlink"/>
    <w:rPr>
      <w:color w:val="800080"/>
      <w:u w:val="single"/>
    </w:rPr>
  </w:style>
  <w:style w:type="paragraph" w:customStyle="1" w:styleId="Listbullet1cm">
    <w:name w:val="List bullet 1cm"/>
    <w:basedOn w:val="Normal"/>
    <w:pPr>
      <w:numPr>
        <w:numId w:val="5"/>
      </w:numPr>
      <w:tabs>
        <w:tab w:val="clear" w:pos="1647"/>
        <w:tab w:val="num" w:pos="851"/>
      </w:tabs>
      <w:ind w:left="851" w:hanging="284"/>
    </w:pPr>
    <w:rPr>
      <w:rFonts w:eastAsia="MS Mincho"/>
      <w:lang w:eastAsia="ja-JP"/>
    </w:rPr>
  </w:style>
  <w:style w:type="paragraph" w:customStyle="1" w:styleId="Listbullet2cm">
    <w:name w:val="List bullet 2cm"/>
    <w:basedOn w:val="Normal"/>
    <w:pPr>
      <w:numPr>
        <w:numId w:val="3"/>
      </w:numPr>
    </w:pPr>
  </w:style>
  <w:style w:type="paragraph" w:styleId="FootnoteText">
    <w:name w:val="footnote text"/>
    <w:basedOn w:val="Normal"/>
    <w:link w:val="FootnoteTextChar"/>
    <w:semiHidden/>
    <w:rPr>
      <w:sz w:val="16"/>
    </w:rPr>
  </w:style>
  <w:style w:type="character" w:styleId="FootnoteReference">
    <w:name w:val="footnote reference"/>
    <w:semiHidden/>
    <w:rPr>
      <w:vertAlign w:val="superscript"/>
    </w:rPr>
  </w:style>
  <w:style w:type="paragraph" w:customStyle="1" w:styleId="Listnumber2cm">
    <w:name w:val="List number 2cm"/>
    <w:basedOn w:val="Listbullet2cm"/>
    <w:pPr>
      <w:numPr>
        <w:numId w:val="4"/>
      </w:numPr>
      <w:tabs>
        <w:tab w:val="clear" w:pos="1701"/>
        <w:tab w:val="num" w:pos="1418"/>
      </w:tabs>
      <w:ind w:left="1418" w:hanging="284"/>
    </w:pPr>
  </w:style>
  <w:style w:type="paragraph" w:customStyle="1" w:styleId="ListNumber1">
    <w:name w:val="List Number 1"/>
    <w:basedOn w:val="Normal"/>
    <w:pPr>
      <w:numPr>
        <w:numId w:val="7"/>
      </w:numPr>
      <w:spacing w:before="240" w:after="240"/>
      <w:jc w:val="both"/>
    </w:pPr>
    <w:rPr>
      <w:sz w:val="22"/>
    </w:rPr>
  </w:style>
  <w:style w:type="paragraph" w:customStyle="1" w:styleId="ListNumber1Level2">
    <w:name w:val="List Number 1 (Level 2)"/>
    <w:basedOn w:val="Normal"/>
    <w:pPr>
      <w:numPr>
        <w:ilvl w:val="1"/>
        <w:numId w:val="7"/>
      </w:numPr>
      <w:spacing w:after="240"/>
      <w:jc w:val="both"/>
    </w:pPr>
    <w:rPr>
      <w:sz w:val="22"/>
    </w:rPr>
  </w:style>
  <w:style w:type="paragraph" w:customStyle="1" w:styleId="ListNumber1Level3">
    <w:name w:val="List Number 1 (Level 3)"/>
    <w:basedOn w:val="Normal"/>
    <w:pPr>
      <w:numPr>
        <w:ilvl w:val="2"/>
        <w:numId w:val="7"/>
      </w:numPr>
      <w:spacing w:after="240"/>
      <w:jc w:val="both"/>
    </w:pPr>
    <w:rPr>
      <w:sz w:val="22"/>
    </w:rPr>
  </w:style>
  <w:style w:type="paragraph" w:customStyle="1" w:styleId="ListNumber1Level4">
    <w:name w:val="List Number 1 (Level 4)"/>
    <w:basedOn w:val="Normal"/>
    <w:pPr>
      <w:numPr>
        <w:ilvl w:val="3"/>
        <w:numId w:val="7"/>
      </w:numPr>
      <w:spacing w:after="240"/>
      <w:jc w:val="both"/>
    </w:pPr>
    <w:rPr>
      <w:sz w:val="22"/>
    </w:rPr>
  </w:style>
  <w:style w:type="paragraph" w:customStyle="1" w:styleId="Bullet">
    <w:name w:val="Bullet"/>
    <w:basedOn w:val="Normal"/>
    <w:pPr>
      <w:numPr>
        <w:numId w:val="8"/>
      </w:numPr>
      <w:ind w:left="357" w:hanging="357"/>
      <w:jc w:val="both"/>
    </w:pPr>
    <w:rPr>
      <w:snapToGrid w:val="0"/>
      <w:color w:val="000000"/>
      <w:sz w:val="22"/>
    </w:rPr>
  </w:style>
  <w:style w:type="paragraph" w:customStyle="1" w:styleId="Bullet10">
    <w:name w:val="Bullet1"/>
    <w:basedOn w:val="Normal"/>
    <w:pPr>
      <w:numPr>
        <w:numId w:val="10"/>
      </w:numPr>
      <w:spacing w:before="40" w:after="0"/>
    </w:pPr>
    <w:rPr>
      <w:rFonts w:ascii="Times New Roman" w:hAnsi="Times New Roman"/>
      <w:snapToGrid w:val="0"/>
    </w:rPr>
  </w:style>
  <w:style w:type="paragraph" w:customStyle="1" w:styleId="Bullet2">
    <w:name w:val="Bullet2"/>
    <w:basedOn w:val="Bullet10"/>
    <w:pPr>
      <w:numPr>
        <w:numId w:val="0"/>
      </w:numPr>
      <w:tabs>
        <w:tab w:val="num" w:pos="720"/>
      </w:tabs>
      <w:ind w:left="720" w:hanging="360"/>
    </w:pPr>
  </w:style>
  <w:style w:type="paragraph" w:customStyle="1" w:styleId="Heading1t1TITRE1Titre11t1T1Titre1Titre1edt1T1Titre1AnnexeH1t1T1h1l1HGSA1Titre1T1Chapitre11Level1Heading1ColoredChaptertitlechMIGHeading1ch1Bold18CMGH1NCS-H1berschrift1berschrift11">
    <w:name w:val="Heading 1.t1.TITRE1.Titre 11.t1.T1.Titre 1.Titre 1ed.t1.T1.Titre 1Annexe.H1.t1.T1.h1.l1.H.GSA1.Titre 1:.T1.Chapitre 1.1.Level 1.Heading 1 Colored.Chapter title.ch.MIGHeading 1.ch1.Bold 18.CMG H1.NCS-H1.überschrift1.überschrift11"/>
    <w:basedOn w:val="Normal"/>
    <w:next w:val="Normal"/>
    <w:pPr>
      <w:keepNext/>
      <w:tabs>
        <w:tab w:val="num" w:pos="432"/>
      </w:tabs>
      <w:spacing w:before="240" w:after="60"/>
      <w:ind w:left="432" w:hanging="432"/>
      <w:outlineLvl w:val="0"/>
    </w:pPr>
    <w:rPr>
      <w:b/>
      <w:kern w:val="28"/>
      <w:sz w:val="28"/>
    </w:rPr>
  </w:style>
  <w:style w:type="paragraph" w:customStyle="1" w:styleId="Lista">
    <w:name w:val="List a)"/>
    <w:basedOn w:val="Normal"/>
    <w:pPr>
      <w:numPr>
        <w:numId w:val="11"/>
      </w:numPr>
      <w:spacing w:before="60" w:after="0"/>
      <w:jc w:val="both"/>
    </w:pPr>
    <w:rPr>
      <w:snapToGrid w:val="0"/>
      <w:color w:val="000000"/>
      <w:sz w:val="22"/>
    </w:rPr>
  </w:style>
  <w:style w:type="paragraph" w:styleId="ListBullet">
    <w:name w:val="List Bullet"/>
    <w:basedOn w:val="Normal"/>
    <w:autoRedefine/>
    <w:pPr>
      <w:numPr>
        <w:numId w:val="12"/>
      </w:numPr>
      <w:tabs>
        <w:tab w:val="clear" w:pos="720"/>
        <w:tab w:val="num" w:pos="1260"/>
      </w:tabs>
      <w:spacing w:after="0"/>
      <w:ind w:left="1260"/>
      <w:jc w:val="both"/>
    </w:pPr>
    <w:rPr>
      <w:noProof/>
      <w:snapToGrid w:val="0"/>
      <w:color w:val="000000"/>
      <w:sz w:val="22"/>
    </w:rPr>
  </w:style>
  <w:style w:type="paragraph" w:customStyle="1" w:styleId="ListBullet1">
    <w:name w:val="List Bullet 1"/>
    <w:basedOn w:val="Normal"/>
    <w:pPr>
      <w:numPr>
        <w:numId w:val="13"/>
      </w:numPr>
      <w:spacing w:before="120" w:after="0"/>
      <w:ind w:left="1276" w:hanging="284"/>
    </w:pPr>
    <w:rPr>
      <w:rFonts w:ascii="Times New Roman" w:hAnsi="Times New Roman"/>
      <w:sz w:val="22"/>
    </w:rPr>
  </w:style>
  <w:style w:type="paragraph" w:styleId="ListNumber">
    <w:name w:val="List Number"/>
    <w:basedOn w:val="Normal"/>
    <w:pPr>
      <w:numPr>
        <w:numId w:val="14"/>
      </w:numPr>
      <w:spacing w:after="240"/>
      <w:jc w:val="both"/>
    </w:pPr>
    <w:rPr>
      <w:sz w:val="22"/>
    </w:rPr>
  </w:style>
  <w:style w:type="paragraph" w:customStyle="1" w:styleId="perso1">
    <w:name w:val="perso1"/>
    <w:pPr>
      <w:tabs>
        <w:tab w:val="num" w:pos="432"/>
      </w:tabs>
      <w:ind w:left="432" w:hanging="432"/>
    </w:pPr>
    <w:rPr>
      <w:b/>
      <w:sz w:val="24"/>
      <w:u w:val="single"/>
      <w:lang w:eastAsia="en-US"/>
    </w:rPr>
  </w:style>
  <w:style w:type="paragraph" w:customStyle="1" w:styleId="Puce2">
    <w:name w:val="Puce2"/>
    <w:basedOn w:val="Normal"/>
    <w:pPr>
      <w:numPr>
        <w:numId w:val="15"/>
      </w:numPr>
      <w:spacing w:after="0"/>
      <w:jc w:val="both"/>
    </w:pPr>
    <w:rPr>
      <w:snapToGrid w:val="0"/>
      <w:color w:val="000000"/>
      <w:sz w:val="22"/>
    </w:rPr>
  </w:style>
  <w:style w:type="paragraph" w:customStyle="1" w:styleId="SteriaBullet">
    <w:name w:val="Steria Bullet"/>
    <w:basedOn w:val="SteriaResponse"/>
    <w:pPr>
      <w:numPr>
        <w:numId w:val="16"/>
      </w:numPr>
      <w:tabs>
        <w:tab w:val="clear" w:pos="4235"/>
      </w:tabs>
      <w:ind w:left="357" w:hanging="357"/>
    </w:pPr>
  </w:style>
  <w:style w:type="paragraph" w:customStyle="1" w:styleId="SteriaResponse">
    <w:name w:val="Steria Response"/>
    <w:pPr>
      <w:spacing w:after="240" w:line="260" w:lineRule="exact"/>
    </w:pPr>
    <w:rPr>
      <w:color w:val="000080"/>
      <w:sz w:val="22"/>
      <w:lang w:eastAsia="en-US"/>
    </w:rPr>
  </w:style>
  <w:style w:type="paragraph" w:customStyle="1" w:styleId="TaBult1">
    <w:name w:val="TaBult 1"/>
    <w:basedOn w:val="Normal"/>
    <w:pPr>
      <w:numPr>
        <w:numId w:val="17"/>
      </w:numPr>
      <w:spacing w:before="60" w:after="60"/>
      <w:ind w:left="426" w:hanging="284"/>
      <w:jc w:val="both"/>
    </w:pPr>
    <w:rPr>
      <w:rFonts w:ascii="Times New Roman" w:hAnsi="Times New Roman"/>
      <w:sz w:val="22"/>
    </w:rPr>
  </w:style>
  <w:style w:type="paragraph" w:customStyle="1" w:styleId="Bullet20">
    <w:name w:val="Bullet 2"/>
    <w:basedOn w:val="Normal"/>
    <w:pPr>
      <w:tabs>
        <w:tab w:val="num" w:pos="1260"/>
      </w:tabs>
      <w:spacing w:after="0"/>
      <w:ind w:left="1260" w:hanging="360"/>
      <w:jc w:val="both"/>
    </w:pPr>
    <w:rPr>
      <w:sz w:val="22"/>
    </w:rPr>
  </w:style>
  <w:style w:type="paragraph" w:customStyle="1" w:styleId="bp">
    <w:name w:val="bp"/>
    <w:basedOn w:val="Normal"/>
    <w:pPr>
      <w:spacing w:before="100" w:after="100"/>
    </w:pPr>
    <w:rPr>
      <w:rFonts w:ascii="Arial Unicode MS" w:eastAsia="Arial Unicode MS" w:hAnsi="Arial Unicode MS"/>
      <w:sz w:val="24"/>
    </w:rPr>
  </w:style>
  <w:style w:type="paragraph" w:styleId="List2">
    <w:name w:val="List 2"/>
    <w:basedOn w:val="Normal"/>
    <w:pPr>
      <w:tabs>
        <w:tab w:val="num" w:pos="360"/>
      </w:tabs>
      <w:spacing w:before="60" w:after="0"/>
      <w:ind w:left="360" w:hanging="360"/>
      <w:jc w:val="both"/>
    </w:pPr>
    <w:rPr>
      <w:snapToGrid w:val="0"/>
      <w:color w:val="000000"/>
      <w:sz w:val="22"/>
    </w:rPr>
  </w:style>
  <w:style w:type="paragraph" w:customStyle="1" w:styleId="BodySingle">
    <w:name w:val="*Body Single"/>
    <w:basedOn w:val="Normal"/>
    <w:pPr>
      <w:spacing w:after="0" w:line="220" w:lineRule="atLeast"/>
      <w:ind w:left="2304"/>
    </w:pPr>
    <w:rPr>
      <w:sz w:val="22"/>
      <w:szCs w:val="24"/>
    </w:rPr>
  </w:style>
  <w:style w:type="paragraph" w:customStyle="1" w:styleId="Text2">
    <w:name w:val="Text 2"/>
    <w:basedOn w:val="Default"/>
    <w:next w:val="Default"/>
    <w:link w:val="Text2Char"/>
    <w:pPr>
      <w:autoSpaceDE/>
      <w:autoSpaceDN/>
      <w:adjustRightInd/>
      <w:spacing w:before="120" w:after="120"/>
    </w:pPr>
  </w:style>
  <w:style w:type="paragraph" w:customStyle="1" w:styleId="Default">
    <w:name w:val="Default"/>
    <w:pPr>
      <w:autoSpaceDE w:val="0"/>
      <w:autoSpaceDN w:val="0"/>
      <w:adjustRightInd w:val="0"/>
    </w:pPr>
    <w:rPr>
      <w:rFonts w:ascii="TimesNewRoman" w:hAnsi="TimesNewRoman"/>
      <w:lang w:eastAsia="en-US"/>
    </w:rPr>
  </w:style>
  <w:style w:type="paragraph" w:styleId="BodyText">
    <w:name w:val="Body Text"/>
    <w:aliases w:val="EDS Question Text"/>
    <w:basedOn w:val="Normal"/>
    <w:pPr>
      <w:spacing w:after="0"/>
      <w:ind w:right="-1054"/>
    </w:pPr>
    <w:rPr>
      <w:noProof/>
    </w:rPr>
  </w:style>
  <w:style w:type="paragraph" w:styleId="BodyText2">
    <w:name w:val="Body Text 2"/>
    <w:basedOn w:val="Normal"/>
    <w:pPr>
      <w:spacing w:after="0"/>
    </w:pPr>
    <w:rPr>
      <w:color w:val="000000"/>
      <w:sz w:val="22"/>
    </w:rPr>
  </w:style>
  <w:style w:type="paragraph" w:styleId="BodyText3">
    <w:name w:val="Body Text 3"/>
    <w:basedOn w:val="Normal"/>
    <w:pPr>
      <w:spacing w:after="0"/>
      <w:jc w:val="both"/>
    </w:pPr>
    <w:rPr>
      <w:snapToGrid w:val="0"/>
      <w:color w:val="000000"/>
      <w:sz w:val="22"/>
    </w:r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0"/>
      <w:ind w:left="720" w:right="720"/>
    </w:pPr>
    <w:rPr>
      <w:rFonts w:ascii="Times New Roman" w:hAnsi="Times New Roman"/>
      <w:b/>
      <w:bCs/>
      <w:color w:val="FF0000"/>
      <w:sz w:val="24"/>
      <w:szCs w:val="24"/>
    </w:rPr>
  </w:style>
  <w:style w:type="paragraph" w:customStyle="1" w:styleId="cellheading">
    <w:name w:val="cellheading"/>
    <w:basedOn w:val="Normal"/>
    <w:pPr>
      <w:spacing w:after="144"/>
    </w:pPr>
    <w:rPr>
      <w:rFonts w:ascii="Verdana" w:eastAsia="Arial Unicode MS" w:hAnsi="Verdana"/>
      <w:b/>
      <w:color w:val="000000"/>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table" w:styleId="TableGrid">
    <w:name w:val="Table Grid"/>
    <w:basedOn w:val="TableNormal"/>
    <w:uiPriority w:val="5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aliases w:val="T2 Char,h2 Char,L2 Char,H2 Char,Punt 2 Char,l2 Char,2 Char,Titre 21 Char,t2.T2 Char,t2 Char,Contrat 2 Char,Ctt Char,t2.T2.Titre 2 Char,TITRE 2 Char,Titre 2ed Char,Heading 2 Hidden Char,heading 2 Char,Chapter Number/Appendix Letter Char"/>
    <w:link w:val="Heading2"/>
    <w:rPr>
      <w:b/>
      <w:bCs/>
      <w:smallCaps/>
      <w:color w:val="000080"/>
      <w:sz w:val="32"/>
    </w:rPr>
  </w:style>
  <w:style w:type="character" w:customStyle="1" w:styleId="Heading4Char">
    <w:name w:val="Heading 4 Char"/>
    <w:aliases w:val="4 Char,H4 Char,Titre 41 Char,t4.T4 Char,t4 Char,Chapitre 1.1.1. Char,Alinéa Char,dash Char,h4 Char,Ref Heading 1 Char,rh1 Char,First Subheading Char,T4 Char,t4.T4.Titre 4 Char,heading 4 Char,l4 Char,I4 Char,(Shift Ctrl 4) Char"/>
    <w:link w:val="Heading4"/>
    <w:rPr>
      <w:b/>
      <w:smallCaps/>
      <w:color w:val="000080"/>
      <w:sz w:val="24"/>
    </w:rPr>
  </w:style>
  <w:style w:type="paragraph" w:styleId="BodyTextIndent">
    <w:name w:val="Body Text Indent"/>
    <w:basedOn w:val="Normal"/>
    <w:pPr>
      <w:numPr>
        <w:numId w:val="18"/>
      </w:numPr>
      <w:tabs>
        <w:tab w:val="clear" w:pos="283"/>
      </w:tabs>
      <w:ind w:firstLine="0"/>
      <w:jc w:val="both"/>
    </w:pPr>
    <w:rPr>
      <w:rFonts w:ascii="Times New Roman" w:hAnsi="Times New Roman"/>
      <w:sz w:val="22"/>
    </w:rPr>
  </w:style>
  <w:style w:type="character" w:customStyle="1" w:styleId="Text2Char">
    <w:name w:val="Text 2 Char"/>
    <w:link w:val="Text2"/>
    <w:rPr>
      <w:rFonts w:ascii="TimesNewRoman" w:hAnsi="TimesNewRoman"/>
      <w:lang w:val="sv-SE" w:eastAsia="en-US" w:bidi="ar-SA"/>
    </w:rPr>
  </w:style>
  <w:style w:type="character" w:styleId="HTMLCode">
    <w:name w:val="HTML Code"/>
    <w:semiHidden/>
    <w:unhideWhenUsed/>
    <w:rPr>
      <w:rFonts w:ascii="Courier New" w:eastAsia="Times New Roman" w:hAnsi="Courier New" w:cs="Courier New"/>
      <w:sz w:val="20"/>
      <w:szCs w:val="20"/>
    </w:rPr>
  </w:style>
  <w:style w:type="character" w:customStyle="1" w:styleId="Heading2Char2">
    <w:name w:val="Heading 2 Char2"/>
    <w:aliases w:val="Heading 2 Char1 Char,Heading 2 Char Char Char,Heading 2 Char Char1"/>
    <w:locked/>
    <w:rPr>
      <w:b/>
      <w:sz w:val="24"/>
      <w:lang w:val="sv-SE" w:eastAsia="en-US" w:bidi="ar-SA"/>
    </w:rPr>
  </w:style>
  <w:style w:type="paragraph" w:customStyle="1" w:styleId="NumPar1">
    <w:name w:val="NumPar 1"/>
    <w:basedOn w:val="Normal"/>
    <w:next w:val="Normal"/>
    <w:pPr>
      <w:numPr>
        <w:numId w:val="21"/>
      </w:numPr>
      <w:spacing w:before="120"/>
      <w:jc w:val="both"/>
    </w:pPr>
    <w:rPr>
      <w:rFonts w:ascii="Times New Roman" w:hAnsi="Times New Roman"/>
      <w:sz w:val="24"/>
      <w:szCs w:val="24"/>
    </w:rPr>
  </w:style>
  <w:style w:type="paragraph" w:customStyle="1" w:styleId="NumPar2">
    <w:name w:val="NumPar 2"/>
    <w:basedOn w:val="Normal"/>
    <w:next w:val="Normal"/>
    <w:pPr>
      <w:numPr>
        <w:ilvl w:val="1"/>
        <w:numId w:val="21"/>
      </w:numPr>
      <w:spacing w:before="120"/>
      <w:jc w:val="both"/>
    </w:pPr>
    <w:rPr>
      <w:rFonts w:ascii="Times New Roman" w:hAnsi="Times New Roman"/>
      <w:sz w:val="24"/>
      <w:szCs w:val="24"/>
    </w:rPr>
  </w:style>
  <w:style w:type="paragraph" w:customStyle="1" w:styleId="NumPar3">
    <w:name w:val="NumPar 3"/>
    <w:basedOn w:val="Normal"/>
    <w:next w:val="Normal"/>
    <w:pPr>
      <w:numPr>
        <w:ilvl w:val="2"/>
        <w:numId w:val="21"/>
      </w:numPr>
      <w:spacing w:before="120"/>
      <w:jc w:val="both"/>
    </w:pPr>
    <w:rPr>
      <w:rFonts w:ascii="Times New Roman" w:hAnsi="Times New Roman"/>
      <w:sz w:val="24"/>
      <w:szCs w:val="24"/>
    </w:rPr>
  </w:style>
  <w:style w:type="paragraph" w:customStyle="1" w:styleId="NumPar4">
    <w:name w:val="NumPar 4"/>
    <w:basedOn w:val="Normal"/>
    <w:next w:val="Normal"/>
    <w:pPr>
      <w:numPr>
        <w:ilvl w:val="3"/>
        <w:numId w:val="21"/>
      </w:numPr>
      <w:spacing w:before="120"/>
      <w:jc w:val="both"/>
    </w:pPr>
    <w:rPr>
      <w:rFonts w:ascii="Times New Roman" w:hAnsi="Times New Roman"/>
      <w:sz w:val="24"/>
      <w:szCs w:val="24"/>
    </w:rPr>
  </w:style>
  <w:style w:type="paragraph" w:styleId="ListParagraph">
    <w:name w:val="List Paragraph"/>
    <w:basedOn w:val="Normal"/>
    <w:uiPriority w:val="34"/>
    <w:qFormat/>
    <w:pPr>
      <w:spacing w:after="0"/>
      <w:ind w:left="720"/>
    </w:pPr>
    <w:rPr>
      <w:rFonts w:ascii="Calibri" w:hAnsi="Calibri"/>
      <w:sz w:val="22"/>
      <w:szCs w:val="22"/>
    </w:rPr>
  </w:style>
  <w:style w:type="character" w:customStyle="1" w:styleId="CommentTextChar">
    <w:name w:val="Comment Text Char"/>
    <w:basedOn w:val="DefaultParagraphFont"/>
    <w:link w:val="CommentText"/>
    <w:semiHidden/>
    <w:rPr>
      <w:rFonts w:ascii="Arial" w:hAnsi="Arial"/>
      <w:lang w:eastAsia="en-US"/>
    </w:rPr>
  </w:style>
  <w:style w:type="paragraph" w:styleId="Revision">
    <w:name w:val="Revision"/>
    <w:hidden/>
    <w:uiPriority w:val="99"/>
    <w:semiHidden/>
    <w:rPr>
      <w:sz w:val="18"/>
      <w:lang w:eastAsia="en-US"/>
    </w:rPr>
  </w:style>
  <w:style w:type="character" w:customStyle="1" w:styleId="FootnoteTextChar">
    <w:name w:val="Footnote Text Char"/>
    <w:basedOn w:val="DefaultParagraphFont"/>
    <w:link w:val="FootnoteText"/>
    <w:semiHidden/>
    <w:rPr>
      <w:rFonts w:ascii="Arial" w:hAnsi="Arial"/>
      <w:sz w:val="16"/>
      <w:lang w:eastAsia="en-US"/>
    </w:rPr>
  </w:style>
  <w:style w:type="paragraph" w:styleId="EndnoteText">
    <w:name w:val="endnote text"/>
    <w:basedOn w:val="Normal"/>
    <w:link w:val="EndnoteTextChar"/>
    <w:semiHidden/>
    <w:unhideWhenUsed/>
    <w:pPr>
      <w:spacing w:after="0"/>
    </w:p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eastAsiaTheme="minorHAnsi" w:hAnsi="Times New Roman" w:cs="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TitleChar">
    <w:name w:val="Title Char"/>
    <w:basedOn w:val="DefaultParagraphFont"/>
    <w:link w:val="Title"/>
    <w:rPr>
      <w:b/>
      <w:caps/>
      <w:color w:val="000080"/>
      <w:sz w:val="32"/>
    </w:rPr>
  </w:style>
  <w:style w:type="character" w:customStyle="1" w:styleId="FooterCoverPageChar">
    <w:name w:val="Footer Cover Page Char"/>
    <w:basedOn w:val="TitleChar"/>
    <w:link w:val="FooterCoverPage"/>
    <w:rPr>
      <w:rFonts w:ascii="Times New Roman" w:hAnsi="Times New Roman" w:cs="Times New Roman"/>
      <w:b w:val="0"/>
      <w:caps w:val="0"/>
      <w:color w:val="000080"/>
      <w:sz w:val="24"/>
    </w:rPr>
  </w:style>
  <w:style w:type="paragraph" w:customStyle="1" w:styleId="HeaderCoverPage">
    <w:name w:val="Header Cover Page"/>
    <w:basedOn w:val="Normal"/>
    <w:link w:val="HeaderCoverPageChar"/>
    <w:pPr>
      <w:tabs>
        <w:tab w:val="center" w:pos="4535"/>
        <w:tab w:val="right" w:pos="9071"/>
      </w:tabs>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hAnsi="Times New Roman" w:cs="Times New Roman"/>
      <w:b w:val="0"/>
      <w:caps w:val="0"/>
      <w:color w:val="000080"/>
      <w:sz w:val="24"/>
    </w:rPr>
  </w:style>
  <w:style w:type="character" w:customStyle="1" w:styleId="FooterChar">
    <w:name w:val="Footer Char"/>
    <w:basedOn w:val="DefaultParagraphFont"/>
    <w:link w:val="Footer"/>
    <w:uiPriority w:val="99"/>
    <w:rPr>
      <w:rFonts w:ascii="Times New Roman" w:eastAsiaTheme="minorHAnsi" w:hAnsi="Times New Roman" w:cs="Times New Roman"/>
      <w:sz w:val="24"/>
      <w:szCs w:val="22"/>
      <w:lang w:eastAsia="en-US"/>
    </w:rPr>
  </w:style>
  <w:style w:type="paragraph" w:customStyle="1" w:styleId="Titreobjet">
    <w:name w:val="Titre objet"/>
    <w:basedOn w:val="Normal"/>
    <w:next w:val="Normal"/>
    <w:pPr>
      <w:spacing w:before="360" w:after="360"/>
      <w:jc w:val="center"/>
    </w:pPr>
    <w:rPr>
      <w:rFonts w:ascii="Times New Roman" w:eastAsiaTheme="minorHAnsi" w:hAnsi="Times New Roman" w:cs="Times New Roman"/>
      <w:b/>
      <w:sz w:val="24"/>
      <w:szCs w:val="22"/>
      <w:lang w:eastAsia="en-US"/>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jc w:val="both"/>
    </w:pPr>
    <w:rPr>
      <w:rFonts w:ascii="Times New Roman" w:eastAsiaTheme="minorHAnsi" w:hAnsi="Times New Roman" w:cs="Times New Roman"/>
      <w:sz w:val="24"/>
      <w:szCs w:val="22"/>
      <w:lang w:eastAsia="en-US"/>
    </w:rPr>
  </w:style>
  <w:style w:type="character" w:customStyle="1" w:styleId="HeaderChar">
    <w:name w:val="Header Char"/>
    <w:basedOn w:val="DefaultParagraphFont"/>
    <w:link w:val="Header"/>
    <w:uiPriority w:val="99"/>
    <w:rPr>
      <w:rFonts w:ascii="Times New Roman" w:eastAsiaTheme="minorHAnsi" w:hAnsi="Times New Roman" w:cs="Times New Roman"/>
      <w:sz w:val="24"/>
      <w:szCs w:val="22"/>
      <w:lang w:eastAsia="en-US"/>
    </w:rPr>
  </w:style>
  <w:style w:type="paragraph" w:customStyle="1" w:styleId="HeaderLandscape">
    <w:name w:val="HeaderLandscape"/>
    <w:basedOn w:val="Normal"/>
    <w:pPr>
      <w:tabs>
        <w:tab w:val="center" w:pos="7285"/>
        <w:tab w:val="right" w:pos="14003"/>
      </w:tabs>
      <w:jc w:val="both"/>
    </w:pPr>
    <w:rPr>
      <w:rFonts w:ascii="Times New Roman" w:eastAsiaTheme="minorHAnsi" w:hAnsi="Times New Roman" w:cs="Times New Roman"/>
      <w:sz w:val="24"/>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HeaderSensitivityRight">
    <w:name w:val="Header Sensitivity Right"/>
    <w:basedOn w:val="Normal"/>
    <w:pPr>
      <w:jc w:val="right"/>
    </w:pPr>
    <w:rPr>
      <w:rFonts w:ascii="Times New Roman" w:hAnsi="Times New Roman" w:cs="Times New Roman"/>
      <w:sz w:val="28"/>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eastAsiaTheme="minorHAnsi" w:hAnsi="Times New Roman" w:cs="Times New Roman"/>
      <w:sz w:val="24"/>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jc w:val="both"/>
    </w:pPr>
    <w:rPr>
      <w:rFonts w:ascii="Times New Roman" w:eastAsiaTheme="minorHAnsi" w:hAnsi="Times New Roman" w:cs="Times New Roman"/>
      <w:sz w:val="24"/>
      <w:szCs w:val="22"/>
      <w:lang w:eastAsia="en-US"/>
    </w:rPr>
  </w:style>
  <w:style w:type="paragraph" w:customStyle="1" w:styleId="SecurityMarking">
    <w:name w:val="SecurityMarking"/>
    <w:basedOn w:val="Normal"/>
    <w:pPr>
      <w:spacing w:after="0" w:line="276" w:lineRule="auto"/>
      <w:ind w:left="5103"/>
    </w:pPr>
    <w:rPr>
      <w:rFonts w:ascii="Times New Roman" w:eastAsiaTheme="minorHAnsi" w:hAnsi="Times New Roman" w:cs="Times New Roman"/>
      <w:sz w:val="28"/>
      <w:szCs w:val="22"/>
      <w:lang w:eastAsia="en-US"/>
    </w:rPr>
  </w:style>
  <w:style w:type="paragraph" w:customStyle="1" w:styleId="DateMarking">
    <w:name w:val="DateMarking"/>
    <w:basedOn w:val="Normal"/>
    <w:pPr>
      <w:spacing w:after="0" w:line="276" w:lineRule="auto"/>
      <w:ind w:left="5103"/>
    </w:pPr>
    <w:rPr>
      <w:rFonts w:ascii="Times New Roman" w:eastAsiaTheme="minorHAnsi" w:hAnsi="Times New Roman" w:cs="Times New Roman"/>
      <w:i/>
      <w:sz w:val="28"/>
      <w:szCs w:val="22"/>
      <w:lang w:eastAsia="en-US"/>
    </w:rPr>
  </w:style>
  <w:style w:type="paragraph" w:customStyle="1" w:styleId="ReleasableTo">
    <w:name w:val="ReleasableTo"/>
    <w:basedOn w:val="Normal"/>
    <w:pPr>
      <w:spacing w:after="0" w:line="276" w:lineRule="auto"/>
      <w:ind w:left="5103"/>
    </w:pPr>
    <w:rPr>
      <w:rFonts w:ascii="Times New Roman" w:eastAsiaTheme="minorHAnsi" w:hAnsi="Times New Roman" w:cs="Times New Roman"/>
      <w:i/>
      <w:sz w:val="28"/>
      <w:szCs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sv-SE"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style>
  <w:style w:type="paragraph" w:styleId="Heading1">
    <w:name w:val="heading 1"/>
    <w:aliases w:val="t1,TITRE1,heading 1,Titre 11,t1.T1.Titre 1,Titre 1ed,t1.T1.Titre 1Annexe,H1,t1.T1,h1,l1,H,GSA1,Titre 1:,T1,Chapitre 1,1,Level 1,Heading 1 Colored,Chapter title,ch,MIGHeading 1,ch1,Bold 18,CMG H1,NCS-H1,überschrift1,überschrift11,überschrift12"/>
    <w:basedOn w:val="Normal"/>
    <w:next w:val="Normal"/>
    <w:uiPriority w:val="9"/>
    <w:qFormat/>
    <w:pPr>
      <w:keepNext/>
      <w:pageBreakBefore/>
      <w:numPr>
        <w:numId w:val="1"/>
      </w:numPr>
      <w:pBdr>
        <w:bottom w:val="single" w:sz="12" w:space="1" w:color="FF6600"/>
      </w:pBdr>
      <w:spacing w:before="120" w:after="240"/>
      <w:outlineLvl w:val="0"/>
    </w:pPr>
    <w:rPr>
      <w:b/>
      <w:smallCaps/>
      <w:color w:val="000080"/>
      <w:kern w:val="28"/>
      <w:sz w:val="36"/>
    </w:rPr>
  </w:style>
  <w:style w:type="paragraph" w:styleId="Heading2">
    <w:name w:val="heading 2"/>
    <w:aliases w:val="T2,h2,L2,H2,Punt 2,l2,2,Titre 21,t2.T2,t2,Contrat 2,Ctt,t2.T2.Titre 2,TITRE 2,Titre 2ed,Heading 2 Hidden,heading 2,Chapter Number/Appendix Letter,chn,Titre niveau 2,Level 2,Chapitre 2,paragraphe,Titre 2 - RAO,Specf Titre 2,Heading 2a,Header 2"/>
    <w:basedOn w:val="Normal"/>
    <w:next w:val="Normal"/>
    <w:link w:val="Heading2Char"/>
    <w:qFormat/>
    <w:pPr>
      <w:keepNext/>
      <w:numPr>
        <w:ilvl w:val="1"/>
        <w:numId w:val="1"/>
      </w:numPr>
      <w:pBdr>
        <w:bottom w:val="single" w:sz="12" w:space="1" w:color="000080"/>
      </w:pBdr>
      <w:spacing w:before="120"/>
      <w:outlineLvl w:val="1"/>
    </w:pPr>
    <w:rPr>
      <w:b/>
      <w:bCs/>
      <w:smallCaps/>
      <w:color w:val="000080"/>
      <w:sz w:val="32"/>
    </w:rPr>
  </w:style>
  <w:style w:type="paragraph" w:styleId="Heading3">
    <w:name w:val="heading 3"/>
    <w:aliases w:val="3,Titre 31,t3.T3,heading 3,Titre 3+,H3,Titre niveau 3,Titre3,t3,Contrat 3,Titre 3 SQ,Titre 3 SQ1,Titre 3 SQ2,Titre 3 SQ3,Titre 3 SQ4,Titre 3 SQ5,Titre 3 SQ6,Titre 3 SQ7,h3,3rd level,l3,CT,Heading 3 - old,Titre 3 .3,Titre 311,Titre 3 .31,1.2.3."/>
    <w:basedOn w:val="Normal"/>
    <w:next w:val="Normal"/>
    <w:qFormat/>
    <w:pPr>
      <w:keepNext/>
      <w:numPr>
        <w:ilvl w:val="2"/>
        <w:numId w:val="1"/>
      </w:numPr>
      <w:spacing w:before="240" w:after="60"/>
      <w:outlineLvl w:val="2"/>
    </w:pPr>
    <w:rPr>
      <w:b/>
      <w:bCs/>
      <w:smallCaps/>
      <w:color w:val="000080"/>
      <w:sz w:val="28"/>
    </w:rPr>
  </w:style>
  <w:style w:type="paragraph" w:styleId="Heading4">
    <w:name w:val="heading 4"/>
    <w:aliases w:val="4,H4,Titre 41,t4.T4,t4,Chapitre 1.1.1.,Alinéa,dash,h4,Ref Heading 1,rh1,First Subheading,T4,t4.T4.Titre 4,heading 4,l4,I4,(Shift Ctrl 4),Schedules,Heading 4 CFMU"/>
    <w:basedOn w:val="Normal"/>
    <w:next w:val="Normal"/>
    <w:link w:val="Heading4Char"/>
    <w:qFormat/>
    <w:pPr>
      <w:keepNext/>
      <w:numPr>
        <w:ilvl w:val="3"/>
        <w:numId w:val="1"/>
      </w:numPr>
      <w:spacing w:before="240" w:after="60"/>
      <w:outlineLvl w:val="3"/>
    </w:pPr>
    <w:rPr>
      <w:b/>
      <w:smallCaps/>
      <w:color w:val="000080"/>
      <w:sz w:val="24"/>
    </w:rPr>
  </w:style>
  <w:style w:type="paragraph" w:styleId="Heading5">
    <w:name w:val="heading 5"/>
    <w:aliases w:val="H5,Chapitre 1.1.1.1.,Ref Heading 2,rh2,h5,Second Subheading,heading 5,Heading 5 CFMU,Para 5,(Shift Ctrl 5),Appendix A to X,Heading 5   Appendix A to X"/>
    <w:basedOn w:val="Normal"/>
    <w:next w:val="Normal"/>
    <w:qFormat/>
    <w:pPr>
      <w:numPr>
        <w:ilvl w:val="4"/>
        <w:numId w:val="1"/>
      </w:numPr>
      <w:spacing w:before="240" w:after="60"/>
      <w:outlineLvl w:val="4"/>
    </w:pPr>
    <w:rPr>
      <w:b/>
      <w:bCs/>
      <w:smallCaps/>
      <w:color w:val="000080"/>
    </w:rPr>
  </w:style>
  <w:style w:type="paragraph" w:styleId="Heading6">
    <w:name w:val="heading 6"/>
    <w:aliases w:val="6,Heading 6  Appendix Y &amp; Z,h6,Heading 6 CFMU"/>
    <w:basedOn w:val="Normal"/>
    <w:next w:val="Normal"/>
    <w:qFormat/>
    <w:pPr>
      <w:numPr>
        <w:ilvl w:val="5"/>
        <w:numId w:val="1"/>
      </w:numPr>
      <w:spacing w:before="240" w:after="60"/>
      <w:outlineLvl w:val="5"/>
    </w:pPr>
    <w:rPr>
      <w:i/>
      <w:sz w:val="22"/>
    </w:rPr>
  </w:style>
  <w:style w:type="paragraph" w:styleId="Heading7">
    <w:name w:val="heading 7"/>
    <w:aliases w:val="H7,(Shift Ctrl 7),Heading 7 CFMU"/>
    <w:basedOn w:val="Normal"/>
    <w:next w:val="Normal"/>
    <w:qFormat/>
    <w:pPr>
      <w:numPr>
        <w:ilvl w:val="6"/>
        <w:numId w:val="1"/>
      </w:numPr>
      <w:spacing w:before="240" w:after="60"/>
      <w:outlineLvl w:val="6"/>
    </w:pPr>
  </w:style>
  <w:style w:type="paragraph" w:styleId="Heading8">
    <w:name w:val="heading 8"/>
    <w:aliases w:val="Heading 8 CFMU"/>
    <w:basedOn w:val="Normal"/>
    <w:next w:val="Normal"/>
    <w:qFormat/>
    <w:pPr>
      <w:numPr>
        <w:ilvl w:val="7"/>
        <w:numId w:val="1"/>
      </w:numPr>
      <w:spacing w:before="240" w:after="60"/>
      <w:outlineLvl w:val="7"/>
    </w:pPr>
    <w:rPr>
      <w:i/>
    </w:rPr>
  </w:style>
  <w:style w:type="paragraph" w:styleId="Heading9">
    <w:name w:val="heading 9"/>
    <w:aliases w:val="App Heading,Heading 9 CFMU"/>
    <w:basedOn w:val="Normal"/>
    <w:next w:val="Normal"/>
    <w:qFormat/>
    <w:pPr>
      <w:numPr>
        <w:ilvl w:val="8"/>
        <w:numId w:val="1"/>
      </w:numPr>
      <w:spacing w:before="240" w:after="60"/>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jc w:val="both"/>
    </w:pPr>
    <w:rPr>
      <w:rFonts w:ascii="Times New Roman" w:eastAsiaTheme="minorHAnsi" w:hAnsi="Times New Roman" w:cs="Times New Roman"/>
      <w:sz w:val="24"/>
      <w:szCs w:val="22"/>
      <w:lang w:eastAsia="en-US"/>
    </w:rPr>
  </w:style>
  <w:style w:type="paragraph" w:customStyle="1" w:styleId="Bullet1">
    <w:name w:val="Bullet 1"/>
    <w:basedOn w:val="Normal"/>
    <w:pPr>
      <w:numPr>
        <w:numId w:val="9"/>
      </w:numPr>
      <w:tabs>
        <w:tab w:val="clear" w:pos="360"/>
        <w:tab w:val="num" w:pos="900"/>
      </w:tabs>
      <w:spacing w:after="0"/>
      <w:ind w:left="900" w:firstLine="0"/>
      <w:jc w:val="both"/>
    </w:pPr>
    <w:rPr>
      <w:sz w:val="22"/>
    </w:rPr>
  </w:style>
  <w:style w:type="paragraph" w:customStyle="1" w:styleId="Listnumber1cm">
    <w:name w:val="List number 1cm"/>
    <w:basedOn w:val="Normal"/>
    <w:pPr>
      <w:numPr>
        <w:numId w:val="6"/>
      </w:numPr>
      <w:tabs>
        <w:tab w:val="clear" w:pos="927"/>
        <w:tab w:val="num" w:pos="360"/>
        <w:tab w:val="left" w:pos="851"/>
      </w:tabs>
      <w:ind w:left="0" w:firstLine="0"/>
    </w:pPr>
  </w:style>
  <w:style w:type="paragraph" w:customStyle="1" w:styleId="Tableheading">
    <w:name w:val="Table heading"/>
    <w:basedOn w:val="Normal"/>
    <w:pPr>
      <w:spacing w:before="120"/>
      <w:jc w:val="center"/>
    </w:pPr>
    <w:rPr>
      <w:b/>
      <w:color w:val="000080"/>
    </w:rPr>
  </w:style>
  <w:style w:type="paragraph" w:customStyle="1" w:styleId="Tabletext">
    <w:name w:val="Table text"/>
    <w:basedOn w:val="Normal"/>
    <w:pPr>
      <w:spacing w:before="60" w:after="60"/>
    </w:pPr>
  </w:style>
  <w:style w:type="paragraph" w:styleId="TOC1">
    <w:name w:val="toc 1"/>
    <w:basedOn w:val="Normal"/>
    <w:next w:val="Normal"/>
    <w:autoRedefine/>
    <w:uiPriority w:val="39"/>
    <w:pPr>
      <w:spacing w:before="120"/>
    </w:pPr>
    <w:rPr>
      <w:b/>
      <w:bCs/>
      <w:caps/>
      <w:szCs w:val="24"/>
    </w:rPr>
  </w:style>
  <w:style w:type="character" w:styleId="Hyperlink">
    <w:name w:val="Hyperlink"/>
    <w:uiPriority w:val="99"/>
    <w:rPr>
      <w:color w:val="0000FF"/>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eastAsiaTheme="minorHAnsi" w:hAnsi="Times New Roman" w:cs="Times New Roman"/>
      <w:sz w:val="24"/>
      <w:szCs w:val="22"/>
      <w:lang w:eastAsia="en-US"/>
    </w:rPr>
  </w:style>
  <w:style w:type="paragraph" w:styleId="Title">
    <w:name w:val="Title"/>
    <w:basedOn w:val="Normal"/>
    <w:next w:val="Normal"/>
    <w:link w:val="TitleChar"/>
    <w:qFormat/>
    <w:pPr>
      <w:keepLines/>
      <w:spacing w:before="480" w:after="480"/>
      <w:jc w:val="center"/>
    </w:pPr>
    <w:rPr>
      <w:b/>
      <w:caps/>
      <w:color w:val="000080"/>
      <w:sz w:val="32"/>
    </w:rPr>
  </w:style>
  <w:style w:type="paragraph" w:styleId="TOC2">
    <w:name w:val="toc 2"/>
    <w:basedOn w:val="Normal"/>
    <w:next w:val="Normal"/>
    <w:autoRedefine/>
    <w:uiPriority w:val="39"/>
    <w:pPr>
      <w:ind w:left="200"/>
    </w:pPr>
    <w:rPr>
      <w:smallCaps/>
      <w:szCs w:val="24"/>
    </w:rPr>
  </w:style>
  <w:style w:type="paragraph" w:styleId="TOC3">
    <w:name w:val="toc 3"/>
    <w:basedOn w:val="Normal"/>
    <w:next w:val="Normal"/>
    <w:autoRedefine/>
    <w:uiPriority w:val="39"/>
    <w:pPr>
      <w:ind w:left="400"/>
    </w:pPr>
    <w:rPr>
      <w:i/>
      <w:iCs/>
      <w:szCs w:val="24"/>
    </w:rPr>
  </w:style>
  <w:style w:type="paragraph" w:styleId="TOC4">
    <w:name w:val="toc 4"/>
    <w:basedOn w:val="Normal"/>
    <w:next w:val="Normal"/>
    <w:autoRedefine/>
    <w:uiPriority w:val="39"/>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customStyle="1" w:styleId="TableBullet">
    <w:name w:val="Table Bullet"/>
    <w:basedOn w:val="Normal"/>
    <w:pPr>
      <w:numPr>
        <w:ilvl w:val="1"/>
        <w:numId w:val="2"/>
      </w:numPr>
      <w:tabs>
        <w:tab w:val="clear" w:pos="1440"/>
        <w:tab w:val="num" w:pos="128"/>
      </w:tabs>
      <w:ind w:left="128" w:hanging="128"/>
    </w:pPr>
  </w:style>
  <w:style w:type="character" w:styleId="FollowedHyperlink">
    <w:name w:val="FollowedHyperlink"/>
    <w:rPr>
      <w:color w:val="800080"/>
      <w:u w:val="single"/>
    </w:rPr>
  </w:style>
  <w:style w:type="paragraph" w:customStyle="1" w:styleId="Listbullet1cm">
    <w:name w:val="List bullet 1cm"/>
    <w:basedOn w:val="Normal"/>
    <w:pPr>
      <w:numPr>
        <w:numId w:val="5"/>
      </w:numPr>
      <w:tabs>
        <w:tab w:val="clear" w:pos="1647"/>
        <w:tab w:val="num" w:pos="851"/>
      </w:tabs>
      <w:ind w:left="851" w:hanging="284"/>
    </w:pPr>
    <w:rPr>
      <w:rFonts w:eastAsia="MS Mincho"/>
      <w:lang w:eastAsia="ja-JP"/>
    </w:rPr>
  </w:style>
  <w:style w:type="paragraph" w:customStyle="1" w:styleId="Listbullet2cm">
    <w:name w:val="List bullet 2cm"/>
    <w:basedOn w:val="Normal"/>
    <w:pPr>
      <w:numPr>
        <w:numId w:val="3"/>
      </w:numPr>
    </w:pPr>
  </w:style>
  <w:style w:type="paragraph" w:styleId="FootnoteText">
    <w:name w:val="footnote text"/>
    <w:basedOn w:val="Normal"/>
    <w:link w:val="FootnoteTextChar"/>
    <w:semiHidden/>
    <w:rPr>
      <w:sz w:val="16"/>
    </w:rPr>
  </w:style>
  <w:style w:type="character" w:styleId="FootnoteReference">
    <w:name w:val="footnote reference"/>
    <w:semiHidden/>
    <w:rPr>
      <w:vertAlign w:val="superscript"/>
    </w:rPr>
  </w:style>
  <w:style w:type="paragraph" w:customStyle="1" w:styleId="Listnumber2cm">
    <w:name w:val="List number 2cm"/>
    <w:basedOn w:val="Listbullet2cm"/>
    <w:pPr>
      <w:numPr>
        <w:numId w:val="4"/>
      </w:numPr>
      <w:tabs>
        <w:tab w:val="clear" w:pos="1701"/>
        <w:tab w:val="num" w:pos="1418"/>
      </w:tabs>
      <w:ind w:left="1418" w:hanging="284"/>
    </w:pPr>
  </w:style>
  <w:style w:type="paragraph" w:customStyle="1" w:styleId="ListNumber1">
    <w:name w:val="List Number 1"/>
    <w:basedOn w:val="Normal"/>
    <w:pPr>
      <w:numPr>
        <w:numId w:val="7"/>
      </w:numPr>
      <w:spacing w:before="240" w:after="240"/>
      <w:jc w:val="both"/>
    </w:pPr>
    <w:rPr>
      <w:sz w:val="22"/>
    </w:rPr>
  </w:style>
  <w:style w:type="paragraph" w:customStyle="1" w:styleId="ListNumber1Level2">
    <w:name w:val="List Number 1 (Level 2)"/>
    <w:basedOn w:val="Normal"/>
    <w:pPr>
      <w:numPr>
        <w:ilvl w:val="1"/>
        <w:numId w:val="7"/>
      </w:numPr>
      <w:spacing w:after="240"/>
      <w:jc w:val="both"/>
    </w:pPr>
    <w:rPr>
      <w:sz w:val="22"/>
    </w:rPr>
  </w:style>
  <w:style w:type="paragraph" w:customStyle="1" w:styleId="ListNumber1Level3">
    <w:name w:val="List Number 1 (Level 3)"/>
    <w:basedOn w:val="Normal"/>
    <w:pPr>
      <w:numPr>
        <w:ilvl w:val="2"/>
        <w:numId w:val="7"/>
      </w:numPr>
      <w:spacing w:after="240"/>
      <w:jc w:val="both"/>
    </w:pPr>
    <w:rPr>
      <w:sz w:val="22"/>
    </w:rPr>
  </w:style>
  <w:style w:type="paragraph" w:customStyle="1" w:styleId="ListNumber1Level4">
    <w:name w:val="List Number 1 (Level 4)"/>
    <w:basedOn w:val="Normal"/>
    <w:pPr>
      <w:numPr>
        <w:ilvl w:val="3"/>
        <w:numId w:val="7"/>
      </w:numPr>
      <w:spacing w:after="240"/>
      <w:jc w:val="both"/>
    </w:pPr>
    <w:rPr>
      <w:sz w:val="22"/>
    </w:rPr>
  </w:style>
  <w:style w:type="paragraph" w:customStyle="1" w:styleId="Bullet">
    <w:name w:val="Bullet"/>
    <w:basedOn w:val="Normal"/>
    <w:pPr>
      <w:numPr>
        <w:numId w:val="8"/>
      </w:numPr>
      <w:ind w:left="357" w:hanging="357"/>
      <w:jc w:val="both"/>
    </w:pPr>
    <w:rPr>
      <w:snapToGrid w:val="0"/>
      <w:color w:val="000000"/>
      <w:sz w:val="22"/>
    </w:rPr>
  </w:style>
  <w:style w:type="paragraph" w:customStyle="1" w:styleId="Bullet10">
    <w:name w:val="Bullet1"/>
    <w:basedOn w:val="Normal"/>
    <w:pPr>
      <w:numPr>
        <w:numId w:val="10"/>
      </w:numPr>
      <w:spacing w:before="40" w:after="0"/>
    </w:pPr>
    <w:rPr>
      <w:rFonts w:ascii="Times New Roman" w:hAnsi="Times New Roman"/>
      <w:snapToGrid w:val="0"/>
    </w:rPr>
  </w:style>
  <w:style w:type="paragraph" w:customStyle="1" w:styleId="Bullet2">
    <w:name w:val="Bullet2"/>
    <w:basedOn w:val="Bullet10"/>
    <w:pPr>
      <w:numPr>
        <w:numId w:val="0"/>
      </w:numPr>
      <w:tabs>
        <w:tab w:val="num" w:pos="720"/>
      </w:tabs>
      <w:ind w:left="720" w:hanging="360"/>
    </w:pPr>
  </w:style>
  <w:style w:type="paragraph" w:customStyle="1" w:styleId="Heading1t1TITRE1Titre11t1T1Titre1Titre1edt1T1Titre1AnnexeH1t1T1h1l1HGSA1Titre1T1Chapitre11Level1Heading1ColoredChaptertitlechMIGHeading1ch1Bold18CMGH1NCS-H1berschrift1berschrift11">
    <w:name w:val="Heading 1.t1.TITRE1.Titre 11.t1.T1.Titre 1.Titre 1ed.t1.T1.Titre 1Annexe.H1.t1.T1.h1.l1.H.GSA1.Titre 1:.T1.Chapitre 1.1.Level 1.Heading 1 Colored.Chapter title.ch.MIGHeading 1.ch1.Bold 18.CMG H1.NCS-H1.überschrift1.überschrift11"/>
    <w:basedOn w:val="Normal"/>
    <w:next w:val="Normal"/>
    <w:pPr>
      <w:keepNext/>
      <w:tabs>
        <w:tab w:val="num" w:pos="432"/>
      </w:tabs>
      <w:spacing w:before="240" w:after="60"/>
      <w:ind w:left="432" w:hanging="432"/>
      <w:outlineLvl w:val="0"/>
    </w:pPr>
    <w:rPr>
      <w:b/>
      <w:kern w:val="28"/>
      <w:sz w:val="28"/>
    </w:rPr>
  </w:style>
  <w:style w:type="paragraph" w:customStyle="1" w:styleId="Lista">
    <w:name w:val="List a)"/>
    <w:basedOn w:val="Normal"/>
    <w:pPr>
      <w:numPr>
        <w:numId w:val="11"/>
      </w:numPr>
      <w:spacing w:before="60" w:after="0"/>
      <w:jc w:val="both"/>
    </w:pPr>
    <w:rPr>
      <w:snapToGrid w:val="0"/>
      <w:color w:val="000000"/>
      <w:sz w:val="22"/>
    </w:rPr>
  </w:style>
  <w:style w:type="paragraph" w:styleId="ListBullet">
    <w:name w:val="List Bullet"/>
    <w:basedOn w:val="Normal"/>
    <w:autoRedefine/>
    <w:pPr>
      <w:numPr>
        <w:numId w:val="12"/>
      </w:numPr>
      <w:tabs>
        <w:tab w:val="clear" w:pos="720"/>
        <w:tab w:val="num" w:pos="1260"/>
      </w:tabs>
      <w:spacing w:after="0"/>
      <w:ind w:left="1260"/>
      <w:jc w:val="both"/>
    </w:pPr>
    <w:rPr>
      <w:noProof/>
      <w:snapToGrid w:val="0"/>
      <w:color w:val="000000"/>
      <w:sz w:val="22"/>
    </w:rPr>
  </w:style>
  <w:style w:type="paragraph" w:customStyle="1" w:styleId="ListBullet1">
    <w:name w:val="List Bullet 1"/>
    <w:basedOn w:val="Normal"/>
    <w:pPr>
      <w:numPr>
        <w:numId w:val="13"/>
      </w:numPr>
      <w:spacing w:before="120" w:after="0"/>
      <w:ind w:left="1276" w:hanging="284"/>
    </w:pPr>
    <w:rPr>
      <w:rFonts w:ascii="Times New Roman" w:hAnsi="Times New Roman"/>
      <w:sz w:val="22"/>
    </w:rPr>
  </w:style>
  <w:style w:type="paragraph" w:styleId="ListNumber">
    <w:name w:val="List Number"/>
    <w:basedOn w:val="Normal"/>
    <w:pPr>
      <w:numPr>
        <w:numId w:val="14"/>
      </w:numPr>
      <w:spacing w:after="240"/>
      <w:jc w:val="both"/>
    </w:pPr>
    <w:rPr>
      <w:sz w:val="22"/>
    </w:rPr>
  </w:style>
  <w:style w:type="paragraph" w:customStyle="1" w:styleId="perso1">
    <w:name w:val="perso1"/>
    <w:pPr>
      <w:tabs>
        <w:tab w:val="num" w:pos="432"/>
      </w:tabs>
      <w:ind w:left="432" w:hanging="432"/>
    </w:pPr>
    <w:rPr>
      <w:b/>
      <w:sz w:val="24"/>
      <w:u w:val="single"/>
      <w:lang w:eastAsia="en-US"/>
    </w:rPr>
  </w:style>
  <w:style w:type="paragraph" w:customStyle="1" w:styleId="Puce2">
    <w:name w:val="Puce2"/>
    <w:basedOn w:val="Normal"/>
    <w:pPr>
      <w:numPr>
        <w:numId w:val="15"/>
      </w:numPr>
      <w:spacing w:after="0"/>
      <w:jc w:val="both"/>
    </w:pPr>
    <w:rPr>
      <w:snapToGrid w:val="0"/>
      <w:color w:val="000000"/>
      <w:sz w:val="22"/>
    </w:rPr>
  </w:style>
  <w:style w:type="paragraph" w:customStyle="1" w:styleId="SteriaBullet">
    <w:name w:val="Steria Bullet"/>
    <w:basedOn w:val="SteriaResponse"/>
    <w:pPr>
      <w:numPr>
        <w:numId w:val="16"/>
      </w:numPr>
      <w:tabs>
        <w:tab w:val="clear" w:pos="4235"/>
      </w:tabs>
      <w:ind w:left="357" w:hanging="357"/>
    </w:pPr>
  </w:style>
  <w:style w:type="paragraph" w:customStyle="1" w:styleId="SteriaResponse">
    <w:name w:val="Steria Response"/>
    <w:pPr>
      <w:spacing w:after="240" w:line="260" w:lineRule="exact"/>
    </w:pPr>
    <w:rPr>
      <w:color w:val="000080"/>
      <w:sz w:val="22"/>
      <w:lang w:eastAsia="en-US"/>
    </w:rPr>
  </w:style>
  <w:style w:type="paragraph" w:customStyle="1" w:styleId="TaBult1">
    <w:name w:val="TaBult 1"/>
    <w:basedOn w:val="Normal"/>
    <w:pPr>
      <w:numPr>
        <w:numId w:val="17"/>
      </w:numPr>
      <w:spacing w:before="60" w:after="60"/>
      <w:ind w:left="426" w:hanging="284"/>
      <w:jc w:val="both"/>
    </w:pPr>
    <w:rPr>
      <w:rFonts w:ascii="Times New Roman" w:hAnsi="Times New Roman"/>
      <w:sz w:val="22"/>
    </w:rPr>
  </w:style>
  <w:style w:type="paragraph" w:customStyle="1" w:styleId="Bullet20">
    <w:name w:val="Bullet 2"/>
    <w:basedOn w:val="Normal"/>
    <w:pPr>
      <w:tabs>
        <w:tab w:val="num" w:pos="1260"/>
      </w:tabs>
      <w:spacing w:after="0"/>
      <w:ind w:left="1260" w:hanging="360"/>
      <w:jc w:val="both"/>
    </w:pPr>
    <w:rPr>
      <w:sz w:val="22"/>
    </w:rPr>
  </w:style>
  <w:style w:type="paragraph" w:customStyle="1" w:styleId="bp">
    <w:name w:val="bp"/>
    <w:basedOn w:val="Normal"/>
    <w:pPr>
      <w:spacing w:before="100" w:after="100"/>
    </w:pPr>
    <w:rPr>
      <w:rFonts w:ascii="Arial Unicode MS" w:eastAsia="Arial Unicode MS" w:hAnsi="Arial Unicode MS"/>
      <w:sz w:val="24"/>
    </w:rPr>
  </w:style>
  <w:style w:type="paragraph" w:styleId="List2">
    <w:name w:val="List 2"/>
    <w:basedOn w:val="Normal"/>
    <w:pPr>
      <w:tabs>
        <w:tab w:val="num" w:pos="360"/>
      </w:tabs>
      <w:spacing w:before="60" w:after="0"/>
      <w:ind w:left="360" w:hanging="360"/>
      <w:jc w:val="both"/>
    </w:pPr>
    <w:rPr>
      <w:snapToGrid w:val="0"/>
      <w:color w:val="000000"/>
      <w:sz w:val="22"/>
    </w:rPr>
  </w:style>
  <w:style w:type="paragraph" w:customStyle="1" w:styleId="BodySingle">
    <w:name w:val="*Body Single"/>
    <w:basedOn w:val="Normal"/>
    <w:pPr>
      <w:spacing w:after="0" w:line="220" w:lineRule="atLeast"/>
      <w:ind w:left="2304"/>
    </w:pPr>
    <w:rPr>
      <w:sz w:val="22"/>
      <w:szCs w:val="24"/>
    </w:rPr>
  </w:style>
  <w:style w:type="paragraph" w:customStyle="1" w:styleId="Text2">
    <w:name w:val="Text 2"/>
    <w:basedOn w:val="Default"/>
    <w:next w:val="Default"/>
    <w:link w:val="Text2Char"/>
    <w:pPr>
      <w:autoSpaceDE/>
      <w:autoSpaceDN/>
      <w:adjustRightInd/>
      <w:spacing w:before="120" w:after="120"/>
    </w:pPr>
  </w:style>
  <w:style w:type="paragraph" w:customStyle="1" w:styleId="Default">
    <w:name w:val="Default"/>
    <w:pPr>
      <w:autoSpaceDE w:val="0"/>
      <w:autoSpaceDN w:val="0"/>
      <w:adjustRightInd w:val="0"/>
    </w:pPr>
    <w:rPr>
      <w:rFonts w:ascii="TimesNewRoman" w:hAnsi="TimesNewRoman"/>
      <w:lang w:eastAsia="en-US"/>
    </w:rPr>
  </w:style>
  <w:style w:type="paragraph" w:styleId="BodyText">
    <w:name w:val="Body Text"/>
    <w:aliases w:val="EDS Question Text"/>
    <w:basedOn w:val="Normal"/>
    <w:pPr>
      <w:spacing w:after="0"/>
      <w:ind w:right="-1054"/>
    </w:pPr>
    <w:rPr>
      <w:noProof/>
    </w:rPr>
  </w:style>
  <w:style w:type="paragraph" w:styleId="BodyText2">
    <w:name w:val="Body Text 2"/>
    <w:basedOn w:val="Normal"/>
    <w:pPr>
      <w:spacing w:after="0"/>
    </w:pPr>
    <w:rPr>
      <w:color w:val="000000"/>
      <w:sz w:val="22"/>
    </w:rPr>
  </w:style>
  <w:style w:type="paragraph" w:styleId="BodyText3">
    <w:name w:val="Body Text 3"/>
    <w:basedOn w:val="Normal"/>
    <w:pPr>
      <w:spacing w:after="0"/>
      <w:jc w:val="both"/>
    </w:pPr>
    <w:rPr>
      <w:snapToGrid w:val="0"/>
      <w:color w:val="000000"/>
      <w:sz w:val="22"/>
    </w:r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0"/>
      <w:ind w:left="720" w:right="720"/>
    </w:pPr>
    <w:rPr>
      <w:rFonts w:ascii="Times New Roman" w:hAnsi="Times New Roman"/>
      <w:b/>
      <w:bCs/>
      <w:color w:val="FF0000"/>
      <w:sz w:val="24"/>
      <w:szCs w:val="24"/>
    </w:rPr>
  </w:style>
  <w:style w:type="paragraph" w:customStyle="1" w:styleId="cellheading">
    <w:name w:val="cellheading"/>
    <w:basedOn w:val="Normal"/>
    <w:pPr>
      <w:spacing w:after="144"/>
    </w:pPr>
    <w:rPr>
      <w:rFonts w:ascii="Verdana" w:eastAsia="Arial Unicode MS" w:hAnsi="Verdana"/>
      <w:b/>
      <w:color w:val="000000"/>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table" w:styleId="TableGrid">
    <w:name w:val="Table Grid"/>
    <w:basedOn w:val="TableNormal"/>
    <w:uiPriority w:val="5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aliases w:val="T2 Char,h2 Char,L2 Char,H2 Char,Punt 2 Char,l2 Char,2 Char,Titre 21 Char,t2.T2 Char,t2 Char,Contrat 2 Char,Ctt Char,t2.T2.Titre 2 Char,TITRE 2 Char,Titre 2ed Char,Heading 2 Hidden Char,heading 2 Char,Chapter Number/Appendix Letter Char"/>
    <w:link w:val="Heading2"/>
    <w:rPr>
      <w:b/>
      <w:bCs/>
      <w:smallCaps/>
      <w:color w:val="000080"/>
      <w:sz w:val="32"/>
    </w:rPr>
  </w:style>
  <w:style w:type="character" w:customStyle="1" w:styleId="Heading4Char">
    <w:name w:val="Heading 4 Char"/>
    <w:aliases w:val="4 Char,H4 Char,Titre 41 Char,t4.T4 Char,t4 Char,Chapitre 1.1.1. Char,Alinéa Char,dash Char,h4 Char,Ref Heading 1 Char,rh1 Char,First Subheading Char,T4 Char,t4.T4.Titre 4 Char,heading 4 Char,l4 Char,I4 Char,(Shift Ctrl 4) Char"/>
    <w:link w:val="Heading4"/>
    <w:rPr>
      <w:b/>
      <w:smallCaps/>
      <w:color w:val="000080"/>
      <w:sz w:val="24"/>
    </w:rPr>
  </w:style>
  <w:style w:type="paragraph" w:styleId="BodyTextIndent">
    <w:name w:val="Body Text Indent"/>
    <w:basedOn w:val="Normal"/>
    <w:pPr>
      <w:numPr>
        <w:numId w:val="18"/>
      </w:numPr>
      <w:tabs>
        <w:tab w:val="clear" w:pos="283"/>
      </w:tabs>
      <w:ind w:firstLine="0"/>
      <w:jc w:val="both"/>
    </w:pPr>
    <w:rPr>
      <w:rFonts w:ascii="Times New Roman" w:hAnsi="Times New Roman"/>
      <w:sz w:val="22"/>
    </w:rPr>
  </w:style>
  <w:style w:type="character" w:customStyle="1" w:styleId="Text2Char">
    <w:name w:val="Text 2 Char"/>
    <w:link w:val="Text2"/>
    <w:rPr>
      <w:rFonts w:ascii="TimesNewRoman" w:hAnsi="TimesNewRoman"/>
      <w:lang w:val="sv-SE" w:eastAsia="en-US" w:bidi="ar-SA"/>
    </w:rPr>
  </w:style>
  <w:style w:type="character" w:styleId="HTMLCode">
    <w:name w:val="HTML Code"/>
    <w:semiHidden/>
    <w:unhideWhenUsed/>
    <w:rPr>
      <w:rFonts w:ascii="Courier New" w:eastAsia="Times New Roman" w:hAnsi="Courier New" w:cs="Courier New"/>
      <w:sz w:val="20"/>
      <w:szCs w:val="20"/>
    </w:rPr>
  </w:style>
  <w:style w:type="character" w:customStyle="1" w:styleId="Heading2Char2">
    <w:name w:val="Heading 2 Char2"/>
    <w:aliases w:val="Heading 2 Char1 Char,Heading 2 Char Char Char,Heading 2 Char Char1"/>
    <w:locked/>
    <w:rPr>
      <w:b/>
      <w:sz w:val="24"/>
      <w:lang w:val="sv-SE" w:eastAsia="en-US" w:bidi="ar-SA"/>
    </w:rPr>
  </w:style>
  <w:style w:type="paragraph" w:customStyle="1" w:styleId="NumPar1">
    <w:name w:val="NumPar 1"/>
    <w:basedOn w:val="Normal"/>
    <w:next w:val="Normal"/>
    <w:pPr>
      <w:numPr>
        <w:numId w:val="21"/>
      </w:numPr>
      <w:spacing w:before="120"/>
      <w:jc w:val="both"/>
    </w:pPr>
    <w:rPr>
      <w:rFonts w:ascii="Times New Roman" w:hAnsi="Times New Roman"/>
      <w:sz w:val="24"/>
      <w:szCs w:val="24"/>
    </w:rPr>
  </w:style>
  <w:style w:type="paragraph" w:customStyle="1" w:styleId="NumPar2">
    <w:name w:val="NumPar 2"/>
    <w:basedOn w:val="Normal"/>
    <w:next w:val="Normal"/>
    <w:pPr>
      <w:numPr>
        <w:ilvl w:val="1"/>
        <w:numId w:val="21"/>
      </w:numPr>
      <w:spacing w:before="120"/>
      <w:jc w:val="both"/>
    </w:pPr>
    <w:rPr>
      <w:rFonts w:ascii="Times New Roman" w:hAnsi="Times New Roman"/>
      <w:sz w:val="24"/>
      <w:szCs w:val="24"/>
    </w:rPr>
  </w:style>
  <w:style w:type="paragraph" w:customStyle="1" w:styleId="NumPar3">
    <w:name w:val="NumPar 3"/>
    <w:basedOn w:val="Normal"/>
    <w:next w:val="Normal"/>
    <w:pPr>
      <w:numPr>
        <w:ilvl w:val="2"/>
        <w:numId w:val="21"/>
      </w:numPr>
      <w:spacing w:before="120"/>
      <w:jc w:val="both"/>
    </w:pPr>
    <w:rPr>
      <w:rFonts w:ascii="Times New Roman" w:hAnsi="Times New Roman"/>
      <w:sz w:val="24"/>
      <w:szCs w:val="24"/>
    </w:rPr>
  </w:style>
  <w:style w:type="paragraph" w:customStyle="1" w:styleId="NumPar4">
    <w:name w:val="NumPar 4"/>
    <w:basedOn w:val="Normal"/>
    <w:next w:val="Normal"/>
    <w:pPr>
      <w:numPr>
        <w:ilvl w:val="3"/>
        <w:numId w:val="21"/>
      </w:numPr>
      <w:spacing w:before="120"/>
      <w:jc w:val="both"/>
    </w:pPr>
    <w:rPr>
      <w:rFonts w:ascii="Times New Roman" w:hAnsi="Times New Roman"/>
      <w:sz w:val="24"/>
      <w:szCs w:val="24"/>
    </w:rPr>
  </w:style>
  <w:style w:type="paragraph" w:styleId="ListParagraph">
    <w:name w:val="List Paragraph"/>
    <w:basedOn w:val="Normal"/>
    <w:uiPriority w:val="34"/>
    <w:qFormat/>
    <w:pPr>
      <w:spacing w:after="0"/>
      <w:ind w:left="720"/>
    </w:pPr>
    <w:rPr>
      <w:rFonts w:ascii="Calibri" w:hAnsi="Calibri"/>
      <w:sz w:val="22"/>
      <w:szCs w:val="22"/>
    </w:rPr>
  </w:style>
  <w:style w:type="character" w:customStyle="1" w:styleId="CommentTextChar">
    <w:name w:val="Comment Text Char"/>
    <w:basedOn w:val="DefaultParagraphFont"/>
    <w:link w:val="CommentText"/>
    <w:semiHidden/>
    <w:rPr>
      <w:rFonts w:ascii="Arial" w:hAnsi="Arial"/>
      <w:lang w:eastAsia="en-US"/>
    </w:rPr>
  </w:style>
  <w:style w:type="paragraph" w:styleId="Revision">
    <w:name w:val="Revision"/>
    <w:hidden/>
    <w:uiPriority w:val="99"/>
    <w:semiHidden/>
    <w:rPr>
      <w:sz w:val="18"/>
      <w:lang w:eastAsia="en-US"/>
    </w:rPr>
  </w:style>
  <w:style w:type="character" w:customStyle="1" w:styleId="FootnoteTextChar">
    <w:name w:val="Footnote Text Char"/>
    <w:basedOn w:val="DefaultParagraphFont"/>
    <w:link w:val="FootnoteText"/>
    <w:semiHidden/>
    <w:rPr>
      <w:rFonts w:ascii="Arial" w:hAnsi="Arial"/>
      <w:sz w:val="16"/>
      <w:lang w:eastAsia="en-US"/>
    </w:rPr>
  </w:style>
  <w:style w:type="paragraph" w:styleId="EndnoteText">
    <w:name w:val="endnote text"/>
    <w:basedOn w:val="Normal"/>
    <w:link w:val="EndnoteTextChar"/>
    <w:semiHidden/>
    <w:unhideWhenUsed/>
    <w:pPr>
      <w:spacing w:after="0"/>
    </w:p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eastAsiaTheme="minorHAnsi" w:hAnsi="Times New Roman" w:cs="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TitleChar">
    <w:name w:val="Title Char"/>
    <w:basedOn w:val="DefaultParagraphFont"/>
    <w:link w:val="Title"/>
    <w:rPr>
      <w:b/>
      <w:caps/>
      <w:color w:val="000080"/>
      <w:sz w:val="32"/>
    </w:rPr>
  </w:style>
  <w:style w:type="character" w:customStyle="1" w:styleId="FooterCoverPageChar">
    <w:name w:val="Footer Cover Page Char"/>
    <w:basedOn w:val="TitleChar"/>
    <w:link w:val="FooterCoverPage"/>
    <w:rPr>
      <w:rFonts w:ascii="Times New Roman" w:hAnsi="Times New Roman" w:cs="Times New Roman"/>
      <w:b w:val="0"/>
      <w:caps w:val="0"/>
      <w:color w:val="000080"/>
      <w:sz w:val="24"/>
    </w:rPr>
  </w:style>
  <w:style w:type="paragraph" w:customStyle="1" w:styleId="HeaderCoverPage">
    <w:name w:val="Header Cover Page"/>
    <w:basedOn w:val="Normal"/>
    <w:link w:val="HeaderCoverPageChar"/>
    <w:pPr>
      <w:tabs>
        <w:tab w:val="center" w:pos="4535"/>
        <w:tab w:val="right" w:pos="9071"/>
      </w:tabs>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hAnsi="Times New Roman" w:cs="Times New Roman"/>
      <w:b w:val="0"/>
      <w:caps w:val="0"/>
      <w:color w:val="000080"/>
      <w:sz w:val="24"/>
    </w:rPr>
  </w:style>
  <w:style w:type="character" w:customStyle="1" w:styleId="FooterChar">
    <w:name w:val="Footer Char"/>
    <w:basedOn w:val="DefaultParagraphFont"/>
    <w:link w:val="Footer"/>
    <w:uiPriority w:val="99"/>
    <w:rPr>
      <w:rFonts w:ascii="Times New Roman" w:eastAsiaTheme="minorHAnsi" w:hAnsi="Times New Roman" w:cs="Times New Roman"/>
      <w:sz w:val="24"/>
      <w:szCs w:val="22"/>
      <w:lang w:eastAsia="en-US"/>
    </w:rPr>
  </w:style>
  <w:style w:type="paragraph" w:customStyle="1" w:styleId="Titreobjet">
    <w:name w:val="Titre objet"/>
    <w:basedOn w:val="Normal"/>
    <w:next w:val="Normal"/>
    <w:pPr>
      <w:spacing w:before="360" w:after="360"/>
      <w:jc w:val="center"/>
    </w:pPr>
    <w:rPr>
      <w:rFonts w:ascii="Times New Roman" w:eastAsiaTheme="minorHAnsi" w:hAnsi="Times New Roman" w:cs="Times New Roman"/>
      <w:b/>
      <w:sz w:val="24"/>
      <w:szCs w:val="22"/>
      <w:lang w:eastAsia="en-US"/>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spacing w:after="0"/>
      <w:jc w:val="both"/>
    </w:pPr>
    <w:rPr>
      <w:rFonts w:ascii="Times New Roman" w:eastAsiaTheme="minorHAnsi" w:hAnsi="Times New Roman" w:cs="Times New Roman"/>
      <w:sz w:val="24"/>
      <w:szCs w:val="22"/>
      <w:lang w:eastAsia="en-US"/>
    </w:rPr>
  </w:style>
  <w:style w:type="character" w:customStyle="1" w:styleId="HeaderChar">
    <w:name w:val="Header Char"/>
    <w:basedOn w:val="DefaultParagraphFont"/>
    <w:link w:val="Header"/>
    <w:uiPriority w:val="99"/>
    <w:rPr>
      <w:rFonts w:ascii="Times New Roman" w:eastAsiaTheme="minorHAnsi" w:hAnsi="Times New Roman" w:cs="Times New Roman"/>
      <w:sz w:val="24"/>
      <w:szCs w:val="22"/>
      <w:lang w:eastAsia="en-US"/>
    </w:rPr>
  </w:style>
  <w:style w:type="paragraph" w:customStyle="1" w:styleId="HeaderLandscape">
    <w:name w:val="HeaderLandscape"/>
    <w:basedOn w:val="Normal"/>
    <w:pPr>
      <w:tabs>
        <w:tab w:val="center" w:pos="7285"/>
        <w:tab w:val="right" w:pos="14003"/>
      </w:tabs>
      <w:jc w:val="both"/>
    </w:pPr>
    <w:rPr>
      <w:rFonts w:ascii="Times New Roman" w:eastAsiaTheme="minorHAnsi" w:hAnsi="Times New Roman" w:cs="Times New Roman"/>
      <w:sz w:val="24"/>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HeaderSensitivityRight">
    <w:name w:val="Header Sensitivity Right"/>
    <w:basedOn w:val="Normal"/>
    <w:pPr>
      <w:jc w:val="right"/>
    </w:pPr>
    <w:rPr>
      <w:rFonts w:ascii="Times New Roman" w:hAnsi="Times New Roman" w:cs="Times New Roman"/>
      <w:sz w:val="28"/>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eastAsiaTheme="minorHAnsi" w:hAnsi="Times New Roman" w:cs="Times New Roman"/>
      <w:sz w:val="24"/>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jc w:val="both"/>
    </w:pPr>
    <w:rPr>
      <w:rFonts w:ascii="Times New Roman" w:eastAsiaTheme="minorHAnsi" w:hAnsi="Times New Roman" w:cs="Times New Roman"/>
      <w:sz w:val="24"/>
      <w:szCs w:val="22"/>
      <w:lang w:eastAsia="en-US"/>
    </w:rPr>
  </w:style>
  <w:style w:type="paragraph" w:customStyle="1" w:styleId="SecurityMarking">
    <w:name w:val="SecurityMarking"/>
    <w:basedOn w:val="Normal"/>
    <w:pPr>
      <w:spacing w:after="0" w:line="276" w:lineRule="auto"/>
      <w:ind w:left="5103"/>
    </w:pPr>
    <w:rPr>
      <w:rFonts w:ascii="Times New Roman" w:eastAsiaTheme="minorHAnsi" w:hAnsi="Times New Roman" w:cs="Times New Roman"/>
      <w:sz w:val="28"/>
      <w:szCs w:val="22"/>
      <w:lang w:eastAsia="en-US"/>
    </w:rPr>
  </w:style>
  <w:style w:type="paragraph" w:customStyle="1" w:styleId="DateMarking">
    <w:name w:val="DateMarking"/>
    <w:basedOn w:val="Normal"/>
    <w:pPr>
      <w:spacing w:after="0" w:line="276" w:lineRule="auto"/>
      <w:ind w:left="5103"/>
    </w:pPr>
    <w:rPr>
      <w:rFonts w:ascii="Times New Roman" w:eastAsiaTheme="minorHAnsi" w:hAnsi="Times New Roman" w:cs="Times New Roman"/>
      <w:i/>
      <w:sz w:val="28"/>
      <w:szCs w:val="22"/>
      <w:lang w:eastAsia="en-US"/>
    </w:rPr>
  </w:style>
  <w:style w:type="paragraph" w:customStyle="1" w:styleId="ReleasableTo">
    <w:name w:val="ReleasableTo"/>
    <w:basedOn w:val="Normal"/>
    <w:pPr>
      <w:spacing w:after="0" w:line="276" w:lineRule="auto"/>
      <w:ind w:left="5103"/>
    </w:pPr>
    <w:rPr>
      <w:rFonts w:ascii="Times New Roman" w:eastAsiaTheme="minorHAnsi" w:hAnsi="Times New Roman" w:cs="Times New Roman"/>
      <w:i/>
      <w:sz w:val="28"/>
      <w:szCs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76491">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605038106">
      <w:bodyDiv w:val="1"/>
      <w:marLeft w:val="0"/>
      <w:marRight w:val="0"/>
      <w:marTop w:val="0"/>
      <w:marBottom w:val="0"/>
      <w:divBdr>
        <w:top w:val="none" w:sz="0" w:space="0" w:color="auto"/>
        <w:left w:val="none" w:sz="0" w:space="0" w:color="auto"/>
        <w:bottom w:val="none" w:sz="0" w:space="0" w:color="auto"/>
        <w:right w:val="none" w:sz="0" w:space="0" w:color="auto"/>
      </w:divBdr>
    </w:div>
    <w:div w:id="640689684">
      <w:bodyDiv w:val="1"/>
      <w:marLeft w:val="0"/>
      <w:marRight w:val="0"/>
      <w:marTop w:val="0"/>
      <w:marBottom w:val="0"/>
      <w:divBdr>
        <w:top w:val="none" w:sz="0" w:space="0" w:color="auto"/>
        <w:left w:val="none" w:sz="0" w:space="0" w:color="auto"/>
        <w:bottom w:val="none" w:sz="0" w:space="0" w:color="auto"/>
        <w:right w:val="none" w:sz="0" w:space="0" w:color="auto"/>
      </w:divBdr>
    </w:div>
    <w:div w:id="662397485">
      <w:bodyDiv w:val="1"/>
      <w:marLeft w:val="0"/>
      <w:marRight w:val="0"/>
      <w:marTop w:val="0"/>
      <w:marBottom w:val="0"/>
      <w:divBdr>
        <w:top w:val="none" w:sz="0" w:space="0" w:color="auto"/>
        <w:left w:val="none" w:sz="0" w:space="0" w:color="auto"/>
        <w:bottom w:val="none" w:sz="0" w:space="0" w:color="auto"/>
        <w:right w:val="none" w:sz="0" w:space="0" w:color="auto"/>
      </w:divBdr>
    </w:div>
    <w:div w:id="814957810">
      <w:bodyDiv w:val="1"/>
      <w:marLeft w:val="0"/>
      <w:marRight w:val="0"/>
      <w:marTop w:val="0"/>
      <w:marBottom w:val="0"/>
      <w:divBdr>
        <w:top w:val="none" w:sz="0" w:space="0" w:color="auto"/>
        <w:left w:val="none" w:sz="0" w:space="0" w:color="auto"/>
        <w:bottom w:val="none" w:sz="0" w:space="0" w:color="auto"/>
        <w:right w:val="none" w:sz="0" w:space="0" w:color="auto"/>
      </w:divBdr>
    </w:div>
    <w:div w:id="852457057">
      <w:bodyDiv w:val="1"/>
      <w:marLeft w:val="0"/>
      <w:marRight w:val="0"/>
      <w:marTop w:val="0"/>
      <w:marBottom w:val="0"/>
      <w:divBdr>
        <w:top w:val="none" w:sz="0" w:space="0" w:color="auto"/>
        <w:left w:val="none" w:sz="0" w:space="0" w:color="auto"/>
        <w:bottom w:val="none" w:sz="0" w:space="0" w:color="auto"/>
        <w:right w:val="none" w:sz="0" w:space="0" w:color="auto"/>
      </w:divBdr>
    </w:div>
    <w:div w:id="937715902">
      <w:bodyDiv w:val="1"/>
      <w:marLeft w:val="0"/>
      <w:marRight w:val="0"/>
      <w:marTop w:val="0"/>
      <w:marBottom w:val="0"/>
      <w:divBdr>
        <w:top w:val="none" w:sz="0" w:space="0" w:color="auto"/>
        <w:left w:val="none" w:sz="0" w:space="0" w:color="auto"/>
        <w:bottom w:val="none" w:sz="0" w:space="0" w:color="auto"/>
        <w:right w:val="none" w:sz="0" w:space="0" w:color="auto"/>
      </w:divBdr>
    </w:div>
    <w:div w:id="976498224">
      <w:bodyDiv w:val="1"/>
      <w:marLeft w:val="0"/>
      <w:marRight w:val="0"/>
      <w:marTop w:val="0"/>
      <w:marBottom w:val="0"/>
      <w:divBdr>
        <w:top w:val="none" w:sz="0" w:space="0" w:color="auto"/>
        <w:left w:val="none" w:sz="0" w:space="0" w:color="auto"/>
        <w:bottom w:val="none" w:sz="0" w:space="0" w:color="auto"/>
        <w:right w:val="none" w:sz="0" w:space="0" w:color="auto"/>
      </w:divBdr>
    </w:div>
    <w:div w:id="1193766090">
      <w:bodyDiv w:val="1"/>
      <w:marLeft w:val="0"/>
      <w:marRight w:val="0"/>
      <w:marTop w:val="0"/>
      <w:marBottom w:val="0"/>
      <w:divBdr>
        <w:top w:val="none" w:sz="0" w:space="0" w:color="auto"/>
        <w:left w:val="none" w:sz="0" w:space="0" w:color="auto"/>
        <w:bottom w:val="none" w:sz="0" w:space="0" w:color="auto"/>
        <w:right w:val="none" w:sz="0" w:space="0" w:color="auto"/>
      </w:divBdr>
    </w:div>
    <w:div w:id="1221405828">
      <w:bodyDiv w:val="1"/>
      <w:marLeft w:val="0"/>
      <w:marRight w:val="0"/>
      <w:marTop w:val="0"/>
      <w:marBottom w:val="0"/>
      <w:divBdr>
        <w:top w:val="none" w:sz="0" w:space="0" w:color="auto"/>
        <w:left w:val="none" w:sz="0" w:space="0" w:color="auto"/>
        <w:bottom w:val="none" w:sz="0" w:space="0" w:color="auto"/>
        <w:right w:val="none" w:sz="0" w:space="0" w:color="auto"/>
      </w:divBdr>
    </w:div>
    <w:div w:id="1259944273">
      <w:bodyDiv w:val="1"/>
      <w:marLeft w:val="0"/>
      <w:marRight w:val="0"/>
      <w:marTop w:val="0"/>
      <w:marBottom w:val="0"/>
      <w:divBdr>
        <w:top w:val="none" w:sz="0" w:space="0" w:color="auto"/>
        <w:left w:val="none" w:sz="0" w:space="0" w:color="auto"/>
        <w:bottom w:val="none" w:sz="0" w:space="0" w:color="auto"/>
        <w:right w:val="none" w:sz="0" w:space="0" w:color="auto"/>
      </w:divBdr>
    </w:div>
    <w:div w:id="1512455331">
      <w:bodyDiv w:val="1"/>
      <w:marLeft w:val="0"/>
      <w:marRight w:val="0"/>
      <w:marTop w:val="0"/>
      <w:marBottom w:val="0"/>
      <w:divBdr>
        <w:top w:val="none" w:sz="0" w:space="0" w:color="auto"/>
        <w:left w:val="none" w:sz="0" w:space="0" w:color="auto"/>
        <w:bottom w:val="none" w:sz="0" w:space="0" w:color="auto"/>
        <w:right w:val="none" w:sz="0" w:space="0" w:color="auto"/>
      </w:divBdr>
    </w:div>
    <w:div w:id="1599176383">
      <w:bodyDiv w:val="1"/>
      <w:marLeft w:val="0"/>
      <w:marRight w:val="0"/>
      <w:marTop w:val="0"/>
      <w:marBottom w:val="0"/>
      <w:divBdr>
        <w:top w:val="none" w:sz="0" w:space="0" w:color="auto"/>
        <w:left w:val="none" w:sz="0" w:space="0" w:color="auto"/>
        <w:bottom w:val="none" w:sz="0" w:space="0" w:color="auto"/>
        <w:right w:val="none" w:sz="0" w:space="0" w:color="auto"/>
      </w:divBdr>
    </w:div>
    <w:div w:id="1737556785">
      <w:bodyDiv w:val="1"/>
      <w:marLeft w:val="0"/>
      <w:marRight w:val="0"/>
      <w:marTop w:val="0"/>
      <w:marBottom w:val="0"/>
      <w:divBdr>
        <w:top w:val="none" w:sz="0" w:space="0" w:color="auto"/>
        <w:left w:val="none" w:sz="0" w:space="0" w:color="auto"/>
        <w:bottom w:val="none" w:sz="0" w:space="0" w:color="auto"/>
        <w:right w:val="none" w:sz="0" w:space="0" w:color="auto"/>
      </w:divBdr>
    </w:div>
    <w:div w:id="1895656447">
      <w:bodyDiv w:val="1"/>
      <w:marLeft w:val="0"/>
      <w:marRight w:val="0"/>
      <w:marTop w:val="0"/>
      <w:marBottom w:val="0"/>
      <w:divBdr>
        <w:top w:val="none" w:sz="0" w:space="0" w:color="auto"/>
        <w:left w:val="none" w:sz="0" w:space="0" w:color="auto"/>
        <w:bottom w:val="none" w:sz="0" w:space="0" w:color="auto"/>
        <w:right w:val="none" w:sz="0" w:space="0" w:color="auto"/>
      </w:divBdr>
    </w:div>
    <w:div w:id="1955672307">
      <w:bodyDiv w:val="1"/>
      <w:marLeft w:val="0"/>
      <w:marRight w:val="0"/>
      <w:marTop w:val="0"/>
      <w:marBottom w:val="0"/>
      <w:divBdr>
        <w:top w:val="none" w:sz="0" w:space="0" w:color="auto"/>
        <w:left w:val="none" w:sz="0" w:space="0" w:color="auto"/>
        <w:bottom w:val="none" w:sz="0" w:space="0" w:color="auto"/>
        <w:right w:val="none" w:sz="0" w:space="0" w:color="auto"/>
      </w:divBdr>
    </w:div>
    <w:div w:id="2029091440">
      <w:bodyDiv w:val="1"/>
      <w:marLeft w:val="0"/>
      <w:marRight w:val="0"/>
      <w:marTop w:val="0"/>
      <w:marBottom w:val="0"/>
      <w:divBdr>
        <w:top w:val="none" w:sz="0" w:space="0" w:color="auto"/>
        <w:left w:val="none" w:sz="0" w:space="0" w:color="auto"/>
        <w:bottom w:val="none" w:sz="0" w:space="0" w:color="auto"/>
        <w:right w:val="none" w:sz="0" w:space="0" w:color="auto"/>
      </w:divBdr>
    </w:div>
    <w:div w:id="21058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09888-386A-40A4-86AA-622F0C50F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4479</Words>
  <Characters>25267</Characters>
  <Application>Microsoft Office Word</Application>
  <DocSecurity>0</DocSecurity>
  <Lines>451</Lines>
  <Paragraphs>122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29624</CharactersWithSpaces>
  <SharedDoc>false</SharedDoc>
  <HLinks>
    <vt:vector size="198" baseType="variant">
      <vt:variant>
        <vt:i4>3604575</vt:i4>
      </vt:variant>
      <vt:variant>
        <vt:i4>204</vt:i4>
      </vt:variant>
      <vt:variant>
        <vt:i4>0</vt:i4>
      </vt:variant>
      <vt:variant>
        <vt:i4>5</vt:i4>
      </vt:variant>
      <vt:variant>
        <vt:lpwstr>mailto:JUST-CRIMINAL-RECORD@ec.europa.eu</vt:lpwstr>
      </vt:variant>
      <vt:variant>
        <vt:lpwstr/>
      </vt:variant>
      <vt:variant>
        <vt:i4>786523</vt:i4>
      </vt:variant>
      <vt:variant>
        <vt:i4>201</vt:i4>
      </vt:variant>
      <vt:variant>
        <vt:i4>0</vt:i4>
      </vt:variant>
      <vt:variant>
        <vt:i4>5</vt:i4>
      </vt:variant>
      <vt:variant>
        <vt:lpwstr>http://www.statistics.be/</vt:lpwstr>
      </vt:variant>
      <vt:variant>
        <vt:lpwstr/>
      </vt:variant>
      <vt:variant>
        <vt:i4>1376314</vt:i4>
      </vt:variant>
      <vt:variant>
        <vt:i4>191</vt:i4>
      </vt:variant>
      <vt:variant>
        <vt:i4>0</vt:i4>
      </vt:variant>
      <vt:variant>
        <vt:i4>5</vt:i4>
      </vt:variant>
      <vt:variant>
        <vt:lpwstr/>
      </vt:variant>
      <vt:variant>
        <vt:lpwstr>_Toc366161943</vt:lpwstr>
      </vt:variant>
      <vt:variant>
        <vt:i4>1376314</vt:i4>
      </vt:variant>
      <vt:variant>
        <vt:i4>185</vt:i4>
      </vt:variant>
      <vt:variant>
        <vt:i4>0</vt:i4>
      </vt:variant>
      <vt:variant>
        <vt:i4>5</vt:i4>
      </vt:variant>
      <vt:variant>
        <vt:lpwstr/>
      </vt:variant>
      <vt:variant>
        <vt:lpwstr>_Toc366161943</vt:lpwstr>
      </vt:variant>
      <vt:variant>
        <vt:i4>1376314</vt:i4>
      </vt:variant>
      <vt:variant>
        <vt:i4>179</vt:i4>
      </vt:variant>
      <vt:variant>
        <vt:i4>0</vt:i4>
      </vt:variant>
      <vt:variant>
        <vt:i4>5</vt:i4>
      </vt:variant>
      <vt:variant>
        <vt:lpwstr/>
      </vt:variant>
      <vt:variant>
        <vt:lpwstr>_Toc366161942</vt:lpwstr>
      </vt:variant>
      <vt:variant>
        <vt:i4>1376314</vt:i4>
      </vt:variant>
      <vt:variant>
        <vt:i4>173</vt:i4>
      </vt:variant>
      <vt:variant>
        <vt:i4>0</vt:i4>
      </vt:variant>
      <vt:variant>
        <vt:i4>5</vt:i4>
      </vt:variant>
      <vt:variant>
        <vt:lpwstr/>
      </vt:variant>
      <vt:variant>
        <vt:lpwstr>_Toc366161941</vt:lpwstr>
      </vt:variant>
      <vt:variant>
        <vt:i4>1376314</vt:i4>
      </vt:variant>
      <vt:variant>
        <vt:i4>167</vt:i4>
      </vt:variant>
      <vt:variant>
        <vt:i4>0</vt:i4>
      </vt:variant>
      <vt:variant>
        <vt:i4>5</vt:i4>
      </vt:variant>
      <vt:variant>
        <vt:lpwstr/>
      </vt:variant>
      <vt:variant>
        <vt:lpwstr>_Toc366161940</vt:lpwstr>
      </vt:variant>
      <vt:variant>
        <vt:i4>1179706</vt:i4>
      </vt:variant>
      <vt:variant>
        <vt:i4>161</vt:i4>
      </vt:variant>
      <vt:variant>
        <vt:i4>0</vt:i4>
      </vt:variant>
      <vt:variant>
        <vt:i4>5</vt:i4>
      </vt:variant>
      <vt:variant>
        <vt:lpwstr/>
      </vt:variant>
      <vt:variant>
        <vt:lpwstr>_Toc366161939</vt:lpwstr>
      </vt:variant>
      <vt:variant>
        <vt:i4>1179706</vt:i4>
      </vt:variant>
      <vt:variant>
        <vt:i4>155</vt:i4>
      </vt:variant>
      <vt:variant>
        <vt:i4>0</vt:i4>
      </vt:variant>
      <vt:variant>
        <vt:i4>5</vt:i4>
      </vt:variant>
      <vt:variant>
        <vt:lpwstr/>
      </vt:variant>
      <vt:variant>
        <vt:lpwstr>_Toc366161938</vt:lpwstr>
      </vt:variant>
      <vt:variant>
        <vt:i4>1179706</vt:i4>
      </vt:variant>
      <vt:variant>
        <vt:i4>149</vt:i4>
      </vt:variant>
      <vt:variant>
        <vt:i4>0</vt:i4>
      </vt:variant>
      <vt:variant>
        <vt:i4>5</vt:i4>
      </vt:variant>
      <vt:variant>
        <vt:lpwstr/>
      </vt:variant>
      <vt:variant>
        <vt:lpwstr>_Toc366161937</vt:lpwstr>
      </vt:variant>
      <vt:variant>
        <vt:i4>1179706</vt:i4>
      </vt:variant>
      <vt:variant>
        <vt:i4>143</vt:i4>
      </vt:variant>
      <vt:variant>
        <vt:i4>0</vt:i4>
      </vt:variant>
      <vt:variant>
        <vt:i4>5</vt:i4>
      </vt:variant>
      <vt:variant>
        <vt:lpwstr/>
      </vt:variant>
      <vt:variant>
        <vt:lpwstr>_Toc366161936</vt:lpwstr>
      </vt:variant>
      <vt:variant>
        <vt:i4>1179706</vt:i4>
      </vt:variant>
      <vt:variant>
        <vt:i4>137</vt:i4>
      </vt:variant>
      <vt:variant>
        <vt:i4>0</vt:i4>
      </vt:variant>
      <vt:variant>
        <vt:i4>5</vt:i4>
      </vt:variant>
      <vt:variant>
        <vt:lpwstr/>
      </vt:variant>
      <vt:variant>
        <vt:lpwstr>_Toc366161935</vt:lpwstr>
      </vt:variant>
      <vt:variant>
        <vt:i4>1179706</vt:i4>
      </vt:variant>
      <vt:variant>
        <vt:i4>131</vt:i4>
      </vt:variant>
      <vt:variant>
        <vt:i4>0</vt:i4>
      </vt:variant>
      <vt:variant>
        <vt:i4>5</vt:i4>
      </vt:variant>
      <vt:variant>
        <vt:lpwstr/>
      </vt:variant>
      <vt:variant>
        <vt:lpwstr>_Toc366161934</vt:lpwstr>
      </vt:variant>
      <vt:variant>
        <vt:i4>1179706</vt:i4>
      </vt:variant>
      <vt:variant>
        <vt:i4>125</vt:i4>
      </vt:variant>
      <vt:variant>
        <vt:i4>0</vt:i4>
      </vt:variant>
      <vt:variant>
        <vt:i4>5</vt:i4>
      </vt:variant>
      <vt:variant>
        <vt:lpwstr/>
      </vt:variant>
      <vt:variant>
        <vt:lpwstr>_Toc366161933</vt:lpwstr>
      </vt:variant>
      <vt:variant>
        <vt:i4>1179706</vt:i4>
      </vt:variant>
      <vt:variant>
        <vt:i4>119</vt:i4>
      </vt:variant>
      <vt:variant>
        <vt:i4>0</vt:i4>
      </vt:variant>
      <vt:variant>
        <vt:i4>5</vt:i4>
      </vt:variant>
      <vt:variant>
        <vt:lpwstr/>
      </vt:variant>
      <vt:variant>
        <vt:lpwstr>_Toc366161932</vt:lpwstr>
      </vt:variant>
      <vt:variant>
        <vt:i4>1179706</vt:i4>
      </vt:variant>
      <vt:variant>
        <vt:i4>113</vt:i4>
      </vt:variant>
      <vt:variant>
        <vt:i4>0</vt:i4>
      </vt:variant>
      <vt:variant>
        <vt:i4>5</vt:i4>
      </vt:variant>
      <vt:variant>
        <vt:lpwstr/>
      </vt:variant>
      <vt:variant>
        <vt:lpwstr>_Toc366161931</vt:lpwstr>
      </vt:variant>
      <vt:variant>
        <vt:i4>1179706</vt:i4>
      </vt:variant>
      <vt:variant>
        <vt:i4>107</vt:i4>
      </vt:variant>
      <vt:variant>
        <vt:i4>0</vt:i4>
      </vt:variant>
      <vt:variant>
        <vt:i4>5</vt:i4>
      </vt:variant>
      <vt:variant>
        <vt:lpwstr/>
      </vt:variant>
      <vt:variant>
        <vt:lpwstr>_Toc366161930</vt:lpwstr>
      </vt:variant>
      <vt:variant>
        <vt:i4>1245242</vt:i4>
      </vt:variant>
      <vt:variant>
        <vt:i4>101</vt:i4>
      </vt:variant>
      <vt:variant>
        <vt:i4>0</vt:i4>
      </vt:variant>
      <vt:variant>
        <vt:i4>5</vt:i4>
      </vt:variant>
      <vt:variant>
        <vt:lpwstr/>
      </vt:variant>
      <vt:variant>
        <vt:lpwstr>_Toc366161929</vt:lpwstr>
      </vt:variant>
      <vt:variant>
        <vt:i4>1245242</vt:i4>
      </vt:variant>
      <vt:variant>
        <vt:i4>95</vt:i4>
      </vt:variant>
      <vt:variant>
        <vt:i4>0</vt:i4>
      </vt:variant>
      <vt:variant>
        <vt:i4>5</vt:i4>
      </vt:variant>
      <vt:variant>
        <vt:lpwstr/>
      </vt:variant>
      <vt:variant>
        <vt:lpwstr>_Toc366161928</vt:lpwstr>
      </vt:variant>
      <vt:variant>
        <vt:i4>1245242</vt:i4>
      </vt:variant>
      <vt:variant>
        <vt:i4>89</vt:i4>
      </vt:variant>
      <vt:variant>
        <vt:i4>0</vt:i4>
      </vt:variant>
      <vt:variant>
        <vt:i4>5</vt:i4>
      </vt:variant>
      <vt:variant>
        <vt:lpwstr/>
      </vt:variant>
      <vt:variant>
        <vt:lpwstr>_Toc366161927</vt:lpwstr>
      </vt:variant>
      <vt:variant>
        <vt:i4>1245242</vt:i4>
      </vt:variant>
      <vt:variant>
        <vt:i4>83</vt:i4>
      </vt:variant>
      <vt:variant>
        <vt:i4>0</vt:i4>
      </vt:variant>
      <vt:variant>
        <vt:i4>5</vt:i4>
      </vt:variant>
      <vt:variant>
        <vt:lpwstr/>
      </vt:variant>
      <vt:variant>
        <vt:lpwstr>_Toc366161926</vt:lpwstr>
      </vt:variant>
      <vt:variant>
        <vt:i4>1245242</vt:i4>
      </vt:variant>
      <vt:variant>
        <vt:i4>77</vt:i4>
      </vt:variant>
      <vt:variant>
        <vt:i4>0</vt:i4>
      </vt:variant>
      <vt:variant>
        <vt:i4>5</vt:i4>
      </vt:variant>
      <vt:variant>
        <vt:lpwstr/>
      </vt:variant>
      <vt:variant>
        <vt:lpwstr>_Toc366161925</vt:lpwstr>
      </vt:variant>
      <vt:variant>
        <vt:i4>1245242</vt:i4>
      </vt:variant>
      <vt:variant>
        <vt:i4>71</vt:i4>
      </vt:variant>
      <vt:variant>
        <vt:i4>0</vt:i4>
      </vt:variant>
      <vt:variant>
        <vt:i4>5</vt:i4>
      </vt:variant>
      <vt:variant>
        <vt:lpwstr/>
      </vt:variant>
      <vt:variant>
        <vt:lpwstr>_Toc366161924</vt:lpwstr>
      </vt:variant>
      <vt:variant>
        <vt:i4>1245242</vt:i4>
      </vt:variant>
      <vt:variant>
        <vt:i4>65</vt:i4>
      </vt:variant>
      <vt:variant>
        <vt:i4>0</vt:i4>
      </vt:variant>
      <vt:variant>
        <vt:i4>5</vt:i4>
      </vt:variant>
      <vt:variant>
        <vt:lpwstr/>
      </vt:variant>
      <vt:variant>
        <vt:lpwstr>_Toc366161923</vt:lpwstr>
      </vt:variant>
      <vt:variant>
        <vt:i4>1245242</vt:i4>
      </vt:variant>
      <vt:variant>
        <vt:i4>59</vt:i4>
      </vt:variant>
      <vt:variant>
        <vt:i4>0</vt:i4>
      </vt:variant>
      <vt:variant>
        <vt:i4>5</vt:i4>
      </vt:variant>
      <vt:variant>
        <vt:lpwstr/>
      </vt:variant>
      <vt:variant>
        <vt:lpwstr>_Toc366161922</vt:lpwstr>
      </vt:variant>
      <vt:variant>
        <vt:i4>1245242</vt:i4>
      </vt:variant>
      <vt:variant>
        <vt:i4>53</vt:i4>
      </vt:variant>
      <vt:variant>
        <vt:i4>0</vt:i4>
      </vt:variant>
      <vt:variant>
        <vt:i4>5</vt:i4>
      </vt:variant>
      <vt:variant>
        <vt:lpwstr/>
      </vt:variant>
      <vt:variant>
        <vt:lpwstr>_Toc366161921</vt:lpwstr>
      </vt:variant>
      <vt:variant>
        <vt:i4>1245242</vt:i4>
      </vt:variant>
      <vt:variant>
        <vt:i4>47</vt:i4>
      </vt:variant>
      <vt:variant>
        <vt:i4>0</vt:i4>
      </vt:variant>
      <vt:variant>
        <vt:i4>5</vt:i4>
      </vt:variant>
      <vt:variant>
        <vt:lpwstr/>
      </vt:variant>
      <vt:variant>
        <vt:lpwstr>_Toc366161920</vt:lpwstr>
      </vt:variant>
      <vt:variant>
        <vt:i4>1048634</vt:i4>
      </vt:variant>
      <vt:variant>
        <vt:i4>41</vt:i4>
      </vt:variant>
      <vt:variant>
        <vt:i4>0</vt:i4>
      </vt:variant>
      <vt:variant>
        <vt:i4>5</vt:i4>
      </vt:variant>
      <vt:variant>
        <vt:lpwstr/>
      </vt:variant>
      <vt:variant>
        <vt:lpwstr>_Toc366161919</vt:lpwstr>
      </vt:variant>
      <vt:variant>
        <vt:i4>1048634</vt:i4>
      </vt:variant>
      <vt:variant>
        <vt:i4>35</vt:i4>
      </vt:variant>
      <vt:variant>
        <vt:i4>0</vt:i4>
      </vt:variant>
      <vt:variant>
        <vt:i4>5</vt:i4>
      </vt:variant>
      <vt:variant>
        <vt:lpwstr/>
      </vt:variant>
      <vt:variant>
        <vt:lpwstr>_Toc366161918</vt:lpwstr>
      </vt:variant>
      <vt:variant>
        <vt:i4>1048634</vt:i4>
      </vt:variant>
      <vt:variant>
        <vt:i4>29</vt:i4>
      </vt:variant>
      <vt:variant>
        <vt:i4>0</vt:i4>
      </vt:variant>
      <vt:variant>
        <vt:i4>5</vt:i4>
      </vt:variant>
      <vt:variant>
        <vt:lpwstr/>
      </vt:variant>
      <vt:variant>
        <vt:lpwstr>_Toc366161917</vt:lpwstr>
      </vt:variant>
      <vt:variant>
        <vt:i4>1048634</vt:i4>
      </vt:variant>
      <vt:variant>
        <vt:i4>23</vt:i4>
      </vt:variant>
      <vt:variant>
        <vt:i4>0</vt:i4>
      </vt:variant>
      <vt:variant>
        <vt:i4>5</vt:i4>
      </vt:variant>
      <vt:variant>
        <vt:lpwstr/>
      </vt:variant>
      <vt:variant>
        <vt:lpwstr>_Toc366161916</vt:lpwstr>
      </vt:variant>
      <vt:variant>
        <vt:i4>1048634</vt:i4>
      </vt:variant>
      <vt:variant>
        <vt:i4>17</vt:i4>
      </vt:variant>
      <vt:variant>
        <vt:i4>0</vt:i4>
      </vt:variant>
      <vt:variant>
        <vt:i4>5</vt:i4>
      </vt:variant>
      <vt:variant>
        <vt:lpwstr/>
      </vt:variant>
      <vt:variant>
        <vt:lpwstr>_Toc366161915</vt:lpwstr>
      </vt:variant>
      <vt:variant>
        <vt:i4>1048634</vt:i4>
      </vt:variant>
      <vt:variant>
        <vt:i4>11</vt:i4>
      </vt:variant>
      <vt:variant>
        <vt:i4>0</vt:i4>
      </vt:variant>
      <vt:variant>
        <vt:i4>5</vt:i4>
      </vt:variant>
      <vt:variant>
        <vt:lpwstr/>
      </vt:variant>
      <vt:variant>
        <vt:lpwstr>_Toc366161914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2020-12-09T14:24:00Z</dcterms:created>
  <dcterms:modified xsi:type="dcterms:W3CDTF">2021-01-09T07:45:00Z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CP-006</vt:lpwstr>
  </property>
</Properties>
</file>