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5613A0" w14:textId="4AF553CE" w:rsidR="008D3CBA" w:rsidRDefault="00191A08" w:rsidP="00191A08">
      <w:pPr>
        <w:pStyle w:val="Pagedecouverture"/>
        <w:rPr>
          <w:noProof/>
        </w:rPr>
      </w:pPr>
      <w:bookmarkStart w:id="0" w:name="LW_BM_COVERPAGE"/>
      <w:r>
        <w:rPr>
          <w:noProof/>
        </w:rPr>
        <w:pict w14:anchorId="4E89A4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99913891-C197-43E4-8ED4-8FDEE55A93A7" style="width:450.6pt;height:321pt">
            <v:imagedata r:id="rId8" o:title=""/>
          </v:shape>
        </w:pict>
      </w:r>
    </w:p>
    <w:bookmarkEnd w:id="0"/>
    <w:p w14:paraId="7D5613A1" w14:textId="77777777" w:rsidR="008D3CBA" w:rsidRDefault="008D3CBA">
      <w:pPr>
        <w:rPr>
          <w:rFonts w:eastAsiaTheme="minorHAnsi"/>
          <w:noProof/>
          <w:lang w:eastAsia="en-US"/>
        </w:rPr>
        <w:sectPr w:rsidR="008D3CBA" w:rsidSect="00191A08">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1"/>
          <w:cols w:space="720"/>
          <w:docGrid w:linePitch="360"/>
        </w:sectPr>
      </w:pPr>
    </w:p>
    <w:p w14:paraId="7D5613A2" w14:textId="77777777" w:rsidR="008D3CBA" w:rsidRDefault="00A81CAF">
      <w:pPr>
        <w:spacing w:after="0"/>
        <w:jc w:val="both"/>
        <w:rPr>
          <w:rFonts w:ascii="Times New Roman" w:hAnsi="Times New Roman" w:cs="Times New Roman"/>
          <w:b/>
          <w:noProof/>
          <w:sz w:val="24"/>
          <w:szCs w:val="24"/>
        </w:rPr>
      </w:pPr>
      <w:bookmarkStart w:id="1" w:name="_GoBack"/>
      <w:bookmarkEnd w:id="1"/>
      <w:r>
        <w:rPr>
          <w:rFonts w:ascii="Times New Roman" w:hAnsi="Times New Roman"/>
          <w:b/>
          <w:sz w:val="24"/>
          <w:szCs w:val="24"/>
        </w:rPr>
        <w:lastRenderedPageBreak/>
        <w:t>1. Úvod</w:t>
      </w:r>
    </w:p>
    <w:p w14:paraId="7D5613A3" w14:textId="77777777" w:rsidR="00F36687" w:rsidRPr="00D778CE" w:rsidRDefault="00F36687">
      <w:pPr>
        <w:spacing w:after="0"/>
        <w:jc w:val="both"/>
        <w:rPr>
          <w:rFonts w:ascii="Times New Roman" w:hAnsi="Times New Roman" w:cs="Times New Roman"/>
          <w:b/>
          <w:noProof/>
          <w:sz w:val="24"/>
          <w:szCs w:val="24"/>
        </w:rPr>
      </w:pPr>
    </w:p>
    <w:p w14:paraId="7D5613A4" w14:textId="40F91EC3" w:rsidR="008D3CBA" w:rsidRPr="00D778CE" w:rsidRDefault="00A81CAF">
      <w:pPr>
        <w:jc w:val="both"/>
        <w:rPr>
          <w:rFonts w:ascii="Times New Roman" w:hAnsi="Times New Roman" w:cs="Times New Roman"/>
          <w:noProof/>
          <w:sz w:val="24"/>
          <w:szCs w:val="24"/>
        </w:rPr>
      </w:pPr>
      <w:r>
        <w:rPr>
          <w:rFonts w:ascii="Times New Roman" w:hAnsi="Times New Roman"/>
          <w:sz w:val="24"/>
          <w:szCs w:val="24"/>
        </w:rPr>
        <w:t>Účelem Evropského informačního systému rejstříku trestů (ECRIS) je zlepšit bezpečnost občanů v prostoru svobody, bezpečnosti a práva v EU umožněním účinné výměny informací mezi členskými státy o předchozích odsouzeních v trestním řízení, která byla vynesena trestními soudy v EU. Systém ECRIS byl uveden do provozu v dubnu 2012. Řídí se rámcovým rozhodnutím Rady 2009/315/SVV ze dne 26. února 2009 o organizaci a obsahu výměny informací z rejstříku trestů mezi členskými státy</w:t>
      </w:r>
      <w:r>
        <w:rPr>
          <w:rStyle w:val="FootnoteReference"/>
          <w:rFonts w:ascii="Times New Roman" w:hAnsi="Times New Roman" w:cs="Times New Roman"/>
          <w:noProof/>
          <w:sz w:val="24"/>
          <w:szCs w:val="24"/>
        </w:rPr>
        <w:footnoteReference w:id="2"/>
      </w:r>
      <w:r>
        <w:rPr>
          <w:rFonts w:ascii="Times New Roman" w:hAnsi="Times New Roman"/>
          <w:sz w:val="24"/>
          <w:szCs w:val="24"/>
        </w:rPr>
        <w:t xml:space="preserve"> a rozhodnutím Rady 2009/316/SVV ze dne 6. dubna 2009 o zřízení Evropského informačního systému rejstříků trestů</w:t>
      </w:r>
      <w:r>
        <w:rPr>
          <w:rStyle w:val="FootnoteReference"/>
          <w:rFonts w:ascii="Times New Roman" w:hAnsi="Times New Roman" w:cs="Times New Roman"/>
          <w:noProof/>
          <w:sz w:val="24"/>
          <w:szCs w:val="24"/>
        </w:rPr>
        <w:footnoteReference w:id="3"/>
      </w:r>
      <w:r>
        <w:rPr>
          <w:rFonts w:ascii="Times New Roman" w:hAnsi="Times New Roman"/>
          <w:sz w:val="24"/>
          <w:szCs w:val="24"/>
        </w:rPr>
        <w:t xml:space="preserve">.  </w:t>
      </w:r>
    </w:p>
    <w:p w14:paraId="379D014B" w14:textId="69AFE13F" w:rsidR="00BF79AB" w:rsidRPr="00E128DA" w:rsidRDefault="00BF79AB" w:rsidP="00BF79AB">
      <w:pPr>
        <w:jc w:val="both"/>
        <w:rPr>
          <w:rFonts w:ascii="Times New Roman" w:hAnsi="Times New Roman" w:cs="Times New Roman"/>
          <w:noProof/>
          <w:sz w:val="24"/>
          <w:szCs w:val="24"/>
        </w:rPr>
      </w:pPr>
      <w:r>
        <w:rPr>
          <w:rFonts w:ascii="Times New Roman" w:hAnsi="Times New Roman"/>
          <w:sz w:val="24"/>
          <w:szCs w:val="24"/>
        </w:rPr>
        <w:t>Dne 29. června 2017 přijala Komise svou první statistickou zprávu v souladu s článkem 7 rozhodnutí Rady 2009/316/SVV, která se týkala období od</w:t>
      </w:r>
      <w:r>
        <w:rPr>
          <w:rFonts w:ascii="Times New Roman" w:hAnsi="Times New Roman"/>
          <w:sz w:val="24"/>
        </w:rPr>
        <w:t xml:space="preserve"> dubna 2012 do 31. prosince 2016</w:t>
      </w:r>
      <w:r>
        <w:rPr>
          <w:rFonts w:ascii="Times New Roman" w:hAnsi="Times New Roman"/>
          <w:sz w:val="24"/>
          <w:szCs w:val="24"/>
        </w:rPr>
        <w:t>.</w:t>
      </w:r>
      <w:r>
        <w:rPr>
          <w:rFonts w:ascii="Times New Roman" w:hAnsi="Times New Roman"/>
          <w:sz w:val="24"/>
          <w:szCs w:val="24"/>
          <w:vertAlign w:val="superscript"/>
        </w:rPr>
        <w:t xml:space="preserve"> </w:t>
      </w:r>
      <w:r>
        <w:rPr>
          <w:rFonts w:ascii="Times New Roman" w:hAnsi="Times New Roman" w:cs="Times New Roman"/>
          <w:noProof/>
          <w:sz w:val="24"/>
          <w:szCs w:val="24"/>
          <w:vertAlign w:val="superscript"/>
        </w:rPr>
        <w:footnoteReference w:id="4"/>
      </w:r>
      <w:r>
        <w:rPr>
          <w:rFonts w:ascii="Times New Roman" w:hAnsi="Times New Roman"/>
          <w:sz w:val="24"/>
          <w:szCs w:val="24"/>
        </w:rPr>
        <w:t xml:space="preserve"> </w:t>
      </w:r>
    </w:p>
    <w:p w14:paraId="50AA7B22" w14:textId="6ECC3626" w:rsidR="00A112D4" w:rsidRPr="007827D1" w:rsidRDefault="00A81CAF" w:rsidP="00A112D4">
      <w:pPr>
        <w:jc w:val="both"/>
        <w:rPr>
          <w:rFonts w:ascii="Times New Roman" w:hAnsi="Times New Roman"/>
          <w:noProof/>
          <w:sz w:val="24"/>
        </w:rPr>
      </w:pPr>
      <w:r>
        <w:rPr>
          <w:rFonts w:ascii="Times New Roman" w:hAnsi="Times New Roman"/>
          <w:sz w:val="24"/>
          <w:szCs w:val="24"/>
        </w:rPr>
        <w:t xml:space="preserve">Tato zpráva je druhá statistická zpráva Komise týkající se výměny informací získaných z rejstříků trestů prostřednictvím systému ECRIS mezi členskými státy. </w:t>
      </w:r>
      <w:r>
        <w:rPr>
          <w:rFonts w:ascii="Times New Roman" w:hAnsi="Times New Roman"/>
          <w:sz w:val="24"/>
        </w:rPr>
        <w:t>Účelem zprávy je představit, jak výměny informací mezi členskými státy dodržují právní rámec systému ECRIS, a určit případné problémy v oblasti účinnosti systému s cílem napravit stav. Komise si vyhrazuje právo přijmout veškerá vhodná opatření k zajištění toho, aby členské státy plnily tyto právní povinnosti, jak jsou stanoveny v rámcovém rozhodnutí 2009/315/SVV.</w:t>
      </w:r>
    </w:p>
    <w:p w14:paraId="7D5613A7" w14:textId="77777777" w:rsidR="00E6350F" w:rsidRPr="00D778CE" w:rsidRDefault="00E6350F">
      <w:pPr>
        <w:jc w:val="both"/>
        <w:rPr>
          <w:rFonts w:ascii="Times New Roman" w:hAnsi="Times New Roman" w:cs="Times New Roman"/>
          <w:noProof/>
          <w:sz w:val="24"/>
          <w:szCs w:val="24"/>
        </w:rPr>
      </w:pPr>
    </w:p>
    <w:p w14:paraId="7D5613A8" w14:textId="2B463004" w:rsidR="008D3CBA" w:rsidRDefault="00A81CAF">
      <w:pPr>
        <w:jc w:val="both"/>
        <w:rPr>
          <w:rFonts w:ascii="Times New Roman" w:hAnsi="Times New Roman" w:cs="Times New Roman"/>
          <w:noProof/>
          <w:sz w:val="24"/>
          <w:szCs w:val="24"/>
        </w:rPr>
      </w:pPr>
      <w:bookmarkStart w:id="2" w:name="_Toc479267018"/>
      <w:r>
        <w:rPr>
          <w:rFonts w:ascii="Times New Roman" w:hAnsi="Times New Roman"/>
          <w:b/>
          <w:sz w:val="24"/>
          <w:szCs w:val="24"/>
        </w:rPr>
        <w:t>1.1 Statistiky systému ECRIS</w:t>
      </w:r>
      <w:bookmarkEnd w:id="2"/>
      <w:r>
        <w:rPr>
          <w:rFonts w:ascii="Times New Roman" w:hAnsi="Times New Roman"/>
          <w:b/>
          <w:sz w:val="24"/>
          <w:szCs w:val="24"/>
        </w:rPr>
        <w:t xml:space="preserve"> </w:t>
      </w:r>
    </w:p>
    <w:p w14:paraId="7D5613AC" w14:textId="7D721C31" w:rsidR="008D3CBA" w:rsidRPr="00E128DA" w:rsidRDefault="009119AF">
      <w:pPr>
        <w:jc w:val="both"/>
        <w:rPr>
          <w:rFonts w:ascii="Times New Roman" w:hAnsi="Times New Roman" w:cs="Times New Roman"/>
          <w:noProof/>
          <w:sz w:val="24"/>
          <w:szCs w:val="24"/>
        </w:rPr>
      </w:pPr>
      <w:r>
        <w:rPr>
          <w:rFonts w:ascii="Times New Roman" w:hAnsi="Times New Roman"/>
          <w:sz w:val="24"/>
        </w:rPr>
        <w:t xml:space="preserve">Tato zpráva poskytuje přehled o používání systému ECRIS od </w:t>
      </w:r>
      <w:r>
        <w:rPr>
          <w:rFonts w:ascii="Times New Roman" w:hAnsi="Times New Roman"/>
          <w:b/>
          <w:sz w:val="24"/>
        </w:rPr>
        <w:t>1. ledna 2017 do 31. prosince 2019, s důrazem na rok 2019</w:t>
      </w:r>
      <w:r>
        <w:rPr>
          <w:rFonts w:ascii="Times New Roman" w:hAnsi="Times New Roman"/>
          <w:sz w:val="24"/>
        </w:rPr>
        <w:t>.</w:t>
      </w:r>
      <w:r>
        <w:rPr>
          <w:rFonts w:ascii="Times New Roman" w:hAnsi="Times New Roman"/>
          <w:sz w:val="24"/>
          <w:szCs w:val="24"/>
        </w:rPr>
        <w:t xml:space="preserve"> Je k ní přiložen pracovní dokument útvarů Komise SWD(2020) 378 (dále jen „pracovní dokument útvarů Komise“). </w:t>
      </w:r>
      <w:r>
        <w:rPr>
          <w:rFonts w:ascii="Times New Roman" w:hAnsi="Times New Roman"/>
          <w:iCs/>
          <w:sz w:val="24"/>
          <w:szCs w:val="24"/>
        </w:rPr>
        <w:t>Většina tabulek a grafů ve zprávě se týká roku 2019, tabulky a grafy pro roky 2017 a 2018 lze nalézt v přiloženém pracovním dokumentu útvarů Komise.</w:t>
      </w:r>
      <w:r>
        <w:rPr>
          <w:rFonts w:ascii="Calibri" w:hAnsi="Calibri"/>
          <w:i/>
          <w:iCs/>
          <w:sz w:val="22"/>
          <w:szCs w:val="22"/>
        </w:rPr>
        <w:t xml:space="preserve"> </w:t>
      </w:r>
      <w:r>
        <w:rPr>
          <w:rFonts w:ascii="Times New Roman" w:hAnsi="Times New Roman"/>
          <w:sz w:val="24"/>
          <w:szCs w:val="24"/>
        </w:rPr>
        <w:t>Některé statistiky uvedené ve zprávě poskytují obecný přehled o osmiletém období fungování systému ECRIS od jeho uvedení do ostrého provozu v dubnu 2012.  Srovnávací statistické údaje o všech členských státech a statistické tabulky jednotlivých členských států (uvedené v oddíle 3 pracovního dokumentu útvarů Komise) se však vztahují na výměnu informací prostřednictvím systému ECRIS v letech 2017–2019. Jako referenční bod byly případně použity statistiky z roku 2016.</w:t>
      </w:r>
      <w:r>
        <w:rPr>
          <w:rFonts w:ascii="Times New Roman" w:hAnsi="Times New Roman"/>
          <w:sz w:val="24"/>
        </w:rPr>
        <w:t xml:space="preserve"> Zpráva rovněž obsahuje údaje o Spojeném království jako členském státě EU do roku 2019.  </w:t>
      </w:r>
    </w:p>
    <w:p w14:paraId="7D5613AF" w14:textId="457F963D" w:rsidR="008D3CBA" w:rsidRDefault="00A81CAF">
      <w:pPr>
        <w:jc w:val="both"/>
        <w:rPr>
          <w:rFonts w:ascii="Times New Roman" w:hAnsi="Times New Roman" w:cs="Times New Roman"/>
          <w:noProof/>
          <w:sz w:val="24"/>
          <w:szCs w:val="24"/>
        </w:rPr>
      </w:pPr>
      <w:r>
        <w:rPr>
          <w:rFonts w:ascii="Times New Roman" w:hAnsi="Times New Roman"/>
          <w:sz w:val="24"/>
          <w:szCs w:val="24"/>
        </w:rPr>
        <w:t>Zpráva vychází ze statistik, které systém automaticky generuje a členské státy je zasílají Komisi. Z 233 statistických ukazatelů stanovených pro systém ECRIS byl proveden výběr, aby byly zveřejněny pouze nejpodstatnější a nejsmysluplnější informace. Členské státy byly také požádány, aby sdělily počet odsouzení státních příslušníků jiných členských států EU vynesených na jejich území, aby bylo možno poskytnout přehled o provádění oznamovacího postupu. Zpráva zahrnuje údaje o odsouzeních přijaté od 23 členských států</w:t>
      </w:r>
      <w:r>
        <w:rPr>
          <w:rStyle w:val="FootnoteReference"/>
          <w:rFonts w:ascii="Times New Roman" w:hAnsi="Times New Roman" w:cs="Times New Roman"/>
          <w:noProof/>
          <w:sz w:val="24"/>
          <w:szCs w:val="24"/>
        </w:rPr>
        <w:footnoteReference w:id="5"/>
      </w:r>
      <w:r>
        <w:rPr>
          <w:rFonts w:ascii="Times New Roman" w:hAnsi="Times New Roman"/>
          <w:sz w:val="24"/>
          <w:szCs w:val="24"/>
        </w:rPr>
        <w:t xml:space="preserve">. </w:t>
      </w:r>
    </w:p>
    <w:p w14:paraId="7D5613B0" w14:textId="7A3FA934" w:rsidR="00E6350F" w:rsidRDefault="00E6350F">
      <w:pPr>
        <w:jc w:val="both"/>
        <w:rPr>
          <w:rFonts w:ascii="Times New Roman" w:hAnsi="Times New Roman" w:cs="Times New Roman"/>
          <w:noProof/>
          <w:sz w:val="24"/>
          <w:szCs w:val="24"/>
        </w:rPr>
      </w:pPr>
    </w:p>
    <w:p w14:paraId="7D5613B1" w14:textId="77777777" w:rsidR="00BB7D1A" w:rsidRDefault="009241BF" w:rsidP="001F7E0E">
      <w:pPr>
        <w:jc w:val="both"/>
        <w:rPr>
          <w:rFonts w:ascii="Times New Roman" w:hAnsi="Times New Roman" w:cs="Times New Roman"/>
          <w:b/>
          <w:noProof/>
          <w:sz w:val="24"/>
          <w:szCs w:val="24"/>
        </w:rPr>
      </w:pPr>
      <w:r>
        <w:rPr>
          <w:rFonts w:ascii="Times New Roman" w:hAnsi="Times New Roman"/>
          <w:b/>
          <w:sz w:val="24"/>
          <w:szCs w:val="24"/>
        </w:rPr>
        <w:t>1.2 Obecné zásady systému ECRIS</w:t>
      </w:r>
    </w:p>
    <w:p w14:paraId="7D5613B2" w14:textId="77777777" w:rsidR="0017411D" w:rsidRPr="008F6269" w:rsidRDefault="0017411D" w:rsidP="001F7E0E">
      <w:pPr>
        <w:jc w:val="both"/>
        <w:rPr>
          <w:rFonts w:ascii="Times New Roman" w:hAnsi="Times New Roman" w:cs="Times New Roman"/>
          <w:noProof/>
          <w:sz w:val="24"/>
          <w:szCs w:val="24"/>
        </w:rPr>
      </w:pPr>
      <w:r>
        <w:rPr>
          <w:rFonts w:ascii="Times New Roman" w:hAnsi="Times New Roman"/>
          <w:sz w:val="24"/>
          <w:szCs w:val="24"/>
        </w:rPr>
        <w:t>Systém ECRIS je založen na decentralizované struktuře, kde se informace z rejstříku trestů vyměňují elektronicky, výlučně mezi ústředními orgány členských států.</w:t>
      </w:r>
    </w:p>
    <w:p w14:paraId="7D5613B3" w14:textId="75D6FD12" w:rsidR="00BB7D1A" w:rsidRPr="001F7E0E" w:rsidRDefault="001F7E0E" w:rsidP="00BB7D1A">
      <w:pPr>
        <w:jc w:val="both"/>
        <w:rPr>
          <w:rFonts w:ascii="Times New Roman" w:hAnsi="Times New Roman" w:cs="Times New Roman"/>
          <w:b/>
          <w:noProof/>
          <w:sz w:val="24"/>
          <w:szCs w:val="24"/>
        </w:rPr>
      </w:pPr>
      <w:r>
        <w:rPr>
          <w:rFonts w:ascii="Times New Roman" w:hAnsi="Times New Roman"/>
          <w:sz w:val="24"/>
          <w:szCs w:val="24"/>
        </w:rPr>
        <w:t>Každý členský stát, který odsoudil občana jiného členského státu, má povinnost co nejdříve oznámit veškeré informace týkající se odsouzení (</w:t>
      </w:r>
      <w:r>
        <w:rPr>
          <w:rFonts w:ascii="Times New Roman" w:hAnsi="Times New Roman"/>
          <w:b/>
          <w:sz w:val="24"/>
          <w:szCs w:val="24"/>
        </w:rPr>
        <w:t>oznámení o nových odsouzeních</w:t>
      </w:r>
      <w:r>
        <w:rPr>
          <w:rFonts w:ascii="Times New Roman" w:hAnsi="Times New Roman"/>
          <w:sz w:val="24"/>
          <w:szCs w:val="24"/>
        </w:rPr>
        <w:t>) v systému ECRIS dotčenému členskému státu (dále jen „členskému státu, jehož je daná osoba státním příslušníkem“), a to včetně následných aktualizací (</w:t>
      </w:r>
      <w:r>
        <w:rPr>
          <w:rFonts w:ascii="Times New Roman" w:hAnsi="Times New Roman"/>
          <w:b/>
          <w:sz w:val="24"/>
          <w:szCs w:val="24"/>
        </w:rPr>
        <w:t>oznámení o aktualizacích</w:t>
      </w:r>
      <w:r>
        <w:rPr>
          <w:rFonts w:ascii="Times New Roman" w:hAnsi="Times New Roman"/>
          <w:sz w:val="24"/>
          <w:szCs w:val="24"/>
        </w:rPr>
        <w:t>).</w:t>
      </w:r>
    </w:p>
    <w:p w14:paraId="7D5613B4" w14:textId="359E8CD2" w:rsidR="00E106B5" w:rsidRPr="0007298E" w:rsidRDefault="00E106B5" w:rsidP="00BB7D1A">
      <w:pPr>
        <w:jc w:val="both"/>
        <w:rPr>
          <w:rFonts w:ascii="Times New Roman" w:hAnsi="Times New Roman" w:cs="Times New Roman"/>
          <w:noProof/>
          <w:sz w:val="24"/>
          <w:szCs w:val="24"/>
        </w:rPr>
      </w:pPr>
      <w:r>
        <w:rPr>
          <w:rFonts w:ascii="Times New Roman" w:hAnsi="Times New Roman"/>
          <w:sz w:val="24"/>
          <w:szCs w:val="24"/>
        </w:rPr>
        <w:t>Členský stát, jehož je daná osoba státním příslušníkem, tedy vede centrální archiv všech odsouzení, která vedle odsouzení v daném členském státě vynesly nad jeho státními příslušníky trestní soudy v jiných členských státech EU. Členský stát, jehož je daná osoba státním příslušníkem, je tedy povinen uchovávat a aktualizovat všechny informace přijaté přes systém ECRIS a </w:t>
      </w:r>
      <w:r>
        <w:rPr>
          <w:rFonts w:ascii="Times New Roman" w:hAnsi="Times New Roman"/>
          <w:b/>
          <w:sz w:val="24"/>
          <w:szCs w:val="24"/>
        </w:rPr>
        <w:t>v krátkých lhůtách 10 nebo 20 dnů</w:t>
      </w:r>
      <w:r>
        <w:rPr>
          <w:rFonts w:ascii="Times New Roman" w:hAnsi="Times New Roman"/>
          <w:sz w:val="24"/>
          <w:szCs w:val="24"/>
        </w:rPr>
        <w:t xml:space="preserve"> poskytovat úplné informace z rejstříku trestů (</w:t>
      </w:r>
      <w:r>
        <w:rPr>
          <w:rFonts w:ascii="Times New Roman" w:hAnsi="Times New Roman"/>
          <w:b/>
          <w:sz w:val="24"/>
          <w:szCs w:val="24"/>
        </w:rPr>
        <w:t>odpovědi na žádost</w:t>
      </w:r>
      <w:r>
        <w:rPr>
          <w:rFonts w:ascii="Times New Roman" w:hAnsi="Times New Roman"/>
          <w:sz w:val="24"/>
          <w:szCs w:val="24"/>
        </w:rPr>
        <w:t>), když je požaduje jiný členský stát (</w:t>
      </w:r>
      <w:r>
        <w:rPr>
          <w:rFonts w:ascii="Times New Roman" w:hAnsi="Times New Roman"/>
          <w:b/>
          <w:sz w:val="24"/>
          <w:szCs w:val="24"/>
        </w:rPr>
        <w:t>žádosti o informace</w:t>
      </w:r>
      <w:r>
        <w:rPr>
          <w:rFonts w:ascii="Times New Roman" w:hAnsi="Times New Roman"/>
          <w:sz w:val="24"/>
          <w:szCs w:val="24"/>
        </w:rPr>
        <w:t>)</w:t>
      </w:r>
      <w:r>
        <w:rPr>
          <w:rStyle w:val="FootnoteReference"/>
          <w:rFonts w:ascii="Times New Roman" w:hAnsi="Times New Roman" w:cs="Times New Roman"/>
          <w:b/>
          <w:noProof/>
          <w:sz w:val="24"/>
          <w:szCs w:val="24"/>
        </w:rPr>
        <w:footnoteReference w:id="6"/>
      </w:r>
      <w:r>
        <w:rPr>
          <w:rFonts w:ascii="Times New Roman" w:hAnsi="Times New Roman"/>
          <w:sz w:val="24"/>
          <w:szCs w:val="24"/>
        </w:rPr>
        <w:t>.</w:t>
      </w:r>
    </w:p>
    <w:p w14:paraId="7D5613B6" w14:textId="3823E4D2" w:rsidR="00136DDE" w:rsidRDefault="00136DDE" w:rsidP="00B625B4">
      <w:pPr>
        <w:spacing w:after="0"/>
        <w:jc w:val="both"/>
        <w:rPr>
          <w:rFonts w:ascii="Times New Roman" w:hAnsi="Times New Roman" w:cs="Times New Roman"/>
          <w:noProof/>
          <w:sz w:val="24"/>
          <w:szCs w:val="24"/>
        </w:rPr>
      </w:pPr>
      <w:bookmarkStart w:id="3" w:name="_Hlk480363534"/>
    </w:p>
    <w:p w14:paraId="540E163E" w14:textId="77777777" w:rsidR="0075767E" w:rsidRDefault="0075767E" w:rsidP="00B625B4">
      <w:pPr>
        <w:spacing w:after="0"/>
        <w:jc w:val="both"/>
        <w:rPr>
          <w:rFonts w:ascii="Times New Roman" w:hAnsi="Times New Roman" w:cs="Times New Roman"/>
          <w:noProof/>
          <w:sz w:val="24"/>
          <w:szCs w:val="24"/>
        </w:rPr>
      </w:pPr>
    </w:p>
    <w:p w14:paraId="138857DE" w14:textId="77777777" w:rsidR="001B0C71" w:rsidRDefault="001B0C71" w:rsidP="00B625B4">
      <w:pPr>
        <w:spacing w:after="0"/>
        <w:jc w:val="both"/>
        <w:rPr>
          <w:rFonts w:ascii="Times New Roman" w:hAnsi="Times New Roman" w:cs="Times New Roman"/>
          <w:noProof/>
          <w:sz w:val="24"/>
          <w:szCs w:val="24"/>
        </w:rPr>
      </w:pPr>
    </w:p>
    <w:p w14:paraId="7D5613B7" w14:textId="77777777" w:rsidR="008D3CBA" w:rsidRDefault="00C26AF2">
      <w:pPr>
        <w:jc w:val="both"/>
        <w:rPr>
          <w:rFonts w:ascii="Times New Roman" w:hAnsi="Times New Roman" w:cs="Times New Roman"/>
          <w:b/>
          <w:noProof/>
          <w:sz w:val="24"/>
          <w:szCs w:val="24"/>
        </w:rPr>
      </w:pPr>
      <w:bookmarkStart w:id="4" w:name="_Toc479267019"/>
      <w:bookmarkEnd w:id="3"/>
      <w:r>
        <w:rPr>
          <w:rFonts w:ascii="Times New Roman" w:hAnsi="Times New Roman"/>
          <w:b/>
          <w:sz w:val="24"/>
          <w:szCs w:val="24"/>
        </w:rPr>
        <w:t>2. Výměny v rámci systému ECRIS v číslech</w:t>
      </w:r>
      <w:bookmarkStart w:id="5" w:name="_Ref366147146"/>
      <w:bookmarkStart w:id="6" w:name="_Toc479267020"/>
      <w:bookmarkEnd w:id="4"/>
    </w:p>
    <w:p w14:paraId="7D5613B8" w14:textId="50F43C2A" w:rsidR="0067520E" w:rsidRDefault="0067520E">
      <w:pPr>
        <w:jc w:val="both"/>
        <w:rPr>
          <w:rFonts w:ascii="Times New Roman" w:hAnsi="Times New Roman" w:cs="Times New Roman"/>
          <w:bCs/>
          <w:smallCaps/>
          <w:noProof/>
          <w:sz w:val="24"/>
          <w:szCs w:val="24"/>
        </w:rPr>
      </w:pPr>
    </w:p>
    <w:p w14:paraId="7D5613B9" w14:textId="77777777" w:rsidR="008D3CBA" w:rsidRDefault="00C26AF2">
      <w:pPr>
        <w:jc w:val="both"/>
        <w:rPr>
          <w:rFonts w:ascii="Times New Roman" w:hAnsi="Times New Roman" w:cs="Times New Roman"/>
          <w:b/>
          <w:noProof/>
          <w:sz w:val="24"/>
          <w:szCs w:val="24"/>
        </w:rPr>
      </w:pPr>
      <w:r>
        <w:rPr>
          <w:rFonts w:ascii="Times New Roman" w:hAnsi="Times New Roman"/>
          <w:b/>
          <w:bCs/>
          <w:smallCaps/>
          <w:sz w:val="24"/>
          <w:szCs w:val="24"/>
        </w:rPr>
        <w:t xml:space="preserve">2.1 </w:t>
      </w:r>
      <w:r>
        <w:rPr>
          <w:rFonts w:ascii="Times New Roman" w:hAnsi="Times New Roman"/>
          <w:b/>
          <w:sz w:val="24"/>
          <w:szCs w:val="24"/>
        </w:rPr>
        <w:t>Připojené členské státy</w:t>
      </w:r>
      <w:bookmarkEnd w:id="5"/>
      <w:bookmarkEnd w:id="6"/>
    </w:p>
    <w:p w14:paraId="7D5613BA" w14:textId="3ABDBF5E" w:rsidR="008D3CBA" w:rsidRDefault="00E71274">
      <w:pPr>
        <w:jc w:val="both"/>
        <w:rPr>
          <w:rFonts w:ascii="Times New Roman" w:hAnsi="Times New Roman" w:cs="Times New Roman"/>
          <w:noProof/>
          <w:sz w:val="24"/>
          <w:szCs w:val="24"/>
        </w:rPr>
      </w:pPr>
      <w:r>
        <w:rPr>
          <w:rFonts w:ascii="Times New Roman" w:hAnsi="Times New Roman"/>
          <w:sz w:val="24"/>
          <w:szCs w:val="24"/>
        </w:rPr>
        <w:t xml:space="preserve">Systém ECRIS je decentralizovaný systém, kde by všechny členské státy měly být vzájemně propojeny. Členský stát je považován za připojený k systému ECRIS, jestliže si vyměňuje informace z rejstříků trestů alespoň s jedním připojeným členským státem. </w:t>
      </w:r>
      <w:bookmarkStart w:id="7" w:name="_Hlk481158166"/>
      <w:r>
        <w:rPr>
          <w:rFonts w:ascii="Times New Roman" w:hAnsi="Times New Roman"/>
          <w:b/>
          <w:sz w:val="24"/>
          <w:szCs w:val="24"/>
        </w:rPr>
        <w:t>Na systém ECRIS jsou v současné době připojeny všechny členské státy</w:t>
      </w:r>
      <w:r>
        <w:rPr>
          <w:rFonts w:ascii="Times New Roman" w:hAnsi="Times New Roman"/>
          <w:sz w:val="24"/>
          <w:szCs w:val="24"/>
        </w:rPr>
        <w:t xml:space="preserve"> a vyměňují si informace z rejstříku trestů</w:t>
      </w:r>
      <w:r>
        <w:rPr>
          <w:rFonts w:ascii="Times New Roman" w:hAnsi="Times New Roman"/>
          <w:b/>
          <w:sz w:val="24"/>
          <w:szCs w:val="24"/>
        </w:rPr>
        <w:t xml:space="preserve"> v průměru s 24 dalšími členskými státy</w:t>
      </w:r>
      <w:r>
        <w:rPr>
          <w:rFonts w:ascii="Times New Roman" w:hAnsi="Times New Roman"/>
          <w:sz w:val="24"/>
          <w:szCs w:val="24"/>
        </w:rPr>
        <w:t>.</w:t>
      </w:r>
      <w:bookmarkEnd w:id="7"/>
      <w:r>
        <w:rPr>
          <w:rStyle w:val="FootnoteReference"/>
          <w:rFonts w:ascii="Times New Roman" w:hAnsi="Times New Roman" w:cs="Times New Roman"/>
          <w:noProof/>
          <w:sz w:val="24"/>
          <w:szCs w:val="24"/>
        </w:rPr>
        <w:footnoteReference w:id="7"/>
      </w:r>
    </w:p>
    <w:p w14:paraId="7D5613BE" w14:textId="23A795B1" w:rsidR="0067520E" w:rsidRDefault="00A81CAF">
      <w:pPr>
        <w:jc w:val="both"/>
        <w:rPr>
          <w:rFonts w:ascii="Times New Roman" w:hAnsi="Times New Roman" w:cs="Times New Roman"/>
          <w:noProof/>
          <w:sz w:val="24"/>
          <w:szCs w:val="24"/>
        </w:rPr>
      </w:pPr>
      <w:r>
        <w:rPr>
          <w:rFonts w:ascii="Times New Roman" w:hAnsi="Times New Roman"/>
          <w:sz w:val="24"/>
          <w:szCs w:val="24"/>
        </w:rPr>
        <w:t>Celkový možný počet propojení je 756 (27*28)</w:t>
      </w:r>
      <w:r>
        <w:rPr>
          <w:rStyle w:val="FootnoteReference"/>
          <w:rFonts w:ascii="Times New Roman" w:hAnsi="Times New Roman" w:cs="Times New Roman"/>
          <w:noProof/>
          <w:sz w:val="24"/>
          <w:szCs w:val="24"/>
        </w:rPr>
        <w:footnoteReference w:id="8"/>
      </w:r>
      <w:r>
        <w:rPr>
          <w:rFonts w:ascii="Times New Roman" w:hAnsi="Times New Roman"/>
          <w:sz w:val="24"/>
          <w:szCs w:val="24"/>
        </w:rPr>
        <w:t>.</w:t>
      </w:r>
      <w:bookmarkStart w:id="8" w:name="_Hlk481160969"/>
      <w:r>
        <w:rPr>
          <w:rFonts w:ascii="Times New Roman" w:hAnsi="Times New Roman"/>
          <w:sz w:val="24"/>
          <w:szCs w:val="24"/>
        </w:rPr>
        <w:t xml:space="preserve"> Ačkoli jsou nyní k systému ECRIS připojeny všechny členské státy, </w:t>
      </w:r>
      <w:r>
        <w:rPr>
          <w:rFonts w:ascii="Times New Roman" w:hAnsi="Times New Roman"/>
          <w:b/>
          <w:sz w:val="24"/>
          <w:szCs w:val="24"/>
        </w:rPr>
        <w:t>pouze jeden členský stát si prostřednictvím systému ECRIS účinně vyměňuje informace se všemi ostatními (ES)</w:t>
      </w:r>
      <w:r>
        <w:rPr>
          <w:rFonts w:ascii="Times New Roman" w:hAnsi="Times New Roman"/>
          <w:sz w:val="24"/>
          <w:szCs w:val="24"/>
        </w:rPr>
        <w:t>.</w:t>
      </w:r>
      <w:r>
        <w:rPr>
          <w:rFonts w:ascii="Times New Roman" w:hAnsi="Times New Roman"/>
          <w:b/>
          <w:sz w:val="24"/>
          <w:szCs w:val="24"/>
        </w:rPr>
        <w:t xml:space="preserve"> </w:t>
      </w:r>
      <w:r>
        <w:rPr>
          <w:rFonts w:ascii="Times New Roman" w:hAnsi="Times New Roman"/>
          <w:sz w:val="24"/>
          <w:szCs w:val="24"/>
        </w:rPr>
        <w:t>U většiny členských států stále chybí jedno nebo dvě propojení.</w:t>
      </w:r>
      <w:bookmarkEnd w:id="8"/>
    </w:p>
    <w:p w14:paraId="7D5613BF" w14:textId="233EAD24" w:rsidR="008D3CBA" w:rsidRDefault="00A81CAF">
      <w:pPr>
        <w:jc w:val="both"/>
        <w:rPr>
          <w:rFonts w:ascii="Times New Roman" w:hAnsi="Times New Roman" w:cs="Times New Roman"/>
          <w:noProof/>
          <w:sz w:val="24"/>
          <w:szCs w:val="24"/>
        </w:rPr>
      </w:pPr>
      <w:r>
        <w:rPr>
          <w:rFonts w:ascii="Times New Roman" w:hAnsi="Times New Roman"/>
          <w:sz w:val="24"/>
          <w:szCs w:val="24"/>
        </w:rPr>
        <w:t xml:space="preserve">Systém ECRIS byl spuštěn v roce 2012 s celkovým počtem 173 propojení z celkového počtu 756 možných propojení (při 28 připojených členských státech). </w:t>
      </w:r>
      <w:bookmarkStart w:id="9" w:name="_Hlk481158260"/>
      <w:r>
        <w:rPr>
          <w:rFonts w:ascii="Times New Roman" w:hAnsi="Times New Roman"/>
          <w:sz w:val="24"/>
          <w:szCs w:val="24"/>
        </w:rPr>
        <w:t xml:space="preserve">Do konce roku 2019 bylo zřízeno </w:t>
      </w:r>
      <w:r>
        <w:rPr>
          <w:rFonts w:ascii="Times New Roman" w:hAnsi="Times New Roman"/>
          <w:b/>
          <w:bCs/>
          <w:sz w:val="24"/>
          <w:szCs w:val="24"/>
        </w:rPr>
        <w:t>670 propojení</w:t>
      </w:r>
      <w:r>
        <w:rPr>
          <w:rFonts w:ascii="Times New Roman" w:hAnsi="Times New Roman"/>
          <w:sz w:val="24"/>
          <w:szCs w:val="24"/>
        </w:rPr>
        <w:t xml:space="preserve">, což představuje </w:t>
      </w:r>
      <w:r>
        <w:rPr>
          <w:rFonts w:ascii="Times New Roman" w:hAnsi="Times New Roman"/>
          <w:b/>
          <w:bCs/>
          <w:sz w:val="24"/>
          <w:szCs w:val="24"/>
        </w:rPr>
        <w:t>90 % z celkového počtu možných propojení</w:t>
      </w:r>
      <w:r>
        <w:rPr>
          <w:rStyle w:val="FootnoteReference"/>
          <w:rFonts w:ascii="Times New Roman" w:hAnsi="Times New Roman" w:cs="Times New Roman"/>
          <w:b/>
          <w:noProof/>
          <w:sz w:val="24"/>
          <w:szCs w:val="24"/>
        </w:rPr>
        <w:footnoteReference w:id="9"/>
      </w:r>
      <w:r>
        <w:rPr>
          <w:rFonts w:ascii="Times New Roman" w:hAnsi="Times New Roman"/>
          <w:sz w:val="24"/>
          <w:szCs w:val="24"/>
        </w:rPr>
        <w:t xml:space="preserve">. </w:t>
      </w:r>
      <w:bookmarkStart w:id="10" w:name="_Hlk481160416"/>
    </w:p>
    <w:bookmarkEnd w:id="10"/>
    <w:p w14:paraId="7D5613C0" w14:textId="76A36AC0" w:rsidR="008D3CBA" w:rsidRDefault="00991427">
      <w:pPr>
        <w:jc w:val="both"/>
        <w:rPr>
          <w:rFonts w:ascii="Times New Roman" w:hAnsi="Times New Roman" w:cs="Times New Roman"/>
          <w:noProof/>
          <w:sz w:val="24"/>
          <w:szCs w:val="24"/>
        </w:rPr>
      </w:pPr>
      <w:r>
        <w:rPr>
          <w:rFonts w:ascii="Times New Roman" w:hAnsi="Times New Roman"/>
          <w:sz w:val="24"/>
          <w:szCs w:val="24"/>
        </w:rPr>
        <w:t>Konečného cíle však dosud nebylo zcela dosaženo, protože některé členské státy připojeny nejsou a nevyměňují si informace se všemi ostatními členskými státy prostřednictvím systému ECRIS. </w:t>
      </w:r>
    </w:p>
    <w:p w14:paraId="7D5613C1" w14:textId="77777777" w:rsidR="00E6350F" w:rsidRDefault="00E6350F">
      <w:pPr>
        <w:jc w:val="both"/>
        <w:rPr>
          <w:rFonts w:ascii="Times New Roman" w:hAnsi="Times New Roman" w:cs="Times New Roman"/>
          <w:b/>
          <w:bCs/>
          <w:smallCaps/>
          <w:noProof/>
          <w:sz w:val="24"/>
          <w:szCs w:val="24"/>
        </w:rPr>
      </w:pPr>
      <w:bookmarkStart w:id="11" w:name="_Toc479267021"/>
      <w:bookmarkEnd w:id="9"/>
    </w:p>
    <w:p w14:paraId="7D5613C2" w14:textId="77777777" w:rsidR="008D3CBA" w:rsidRDefault="002C2C15">
      <w:pPr>
        <w:jc w:val="both"/>
        <w:rPr>
          <w:rFonts w:ascii="Times New Roman" w:hAnsi="Times New Roman" w:cs="Times New Roman"/>
          <w:b/>
          <w:noProof/>
          <w:sz w:val="24"/>
          <w:szCs w:val="24"/>
        </w:rPr>
      </w:pPr>
      <w:r>
        <w:rPr>
          <w:rFonts w:ascii="Times New Roman" w:hAnsi="Times New Roman"/>
          <w:b/>
          <w:bCs/>
          <w:smallCaps/>
          <w:sz w:val="24"/>
          <w:szCs w:val="24"/>
        </w:rPr>
        <w:t xml:space="preserve">2.2 </w:t>
      </w:r>
      <w:r>
        <w:rPr>
          <w:rFonts w:ascii="Times New Roman" w:hAnsi="Times New Roman"/>
          <w:b/>
          <w:sz w:val="24"/>
          <w:szCs w:val="24"/>
        </w:rPr>
        <w:t>Celkový počet vyměněných</w:t>
      </w:r>
      <w:bookmarkEnd w:id="11"/>
      <w:r>
        <w:rPr>
          <w:rFonts w:ascii="Times New Roman" w:hAnsi="Times New Roman"/>
          <w:b/>
          <w:sz w:val="24"/>
          <w:szCs w:val="24"/>
        </w:rPr>
        <w:t xml:space="preserve"> zpráv</w:t>
      </w:r>
    </w:p>
    <w:p w14:paraId="7D5613C3" w14:textId="40A503F0" w:rsidR="008D3CBA" w:rsidRDefault="00A81CAF">
      <w:pPr>
        <w:jc w:val="both"/>
        <w:rPr>
          <w:rFonts w:ascii="Times New Roman" w:hAnsi="Times New Roman" w:cs="Times New Roman"/>
          <w:noProof/>
          <w:sz w:val="24"/>
          <w:szCs w:val="24"/>
        </w:rPr>
      </w:pPr>
      <w:r>
        <w:rPr>
          <w:rFonts w:ascii="Times New Roman" w:hAnsi="Times New Roman"/>
          <w:sz w:val="24"/>
          <w:szCs w:val="24"/>
        </w:rPr>
        <w:t>Na následujícím grafu je znázorněn rychle rostoucí roční objem zpráv vyměněných mezi připojenými členskými státy od doby, kdy byl v dubnu 2012 systém ECRIS uveden do ostrého provozu, až do 31. prosince 2019. Je třeba poznamenat, že v roce 2012 byl systém v provozu pouze osm měsíců.</w:t>
      </w:r>
    </w:p>
    <w:p w14:paraId="7D5613C4" w14:textId="0E61DA82" w:rsidR="008D3CBA" w:rsidRDefault="00E66BD7" w:rsidP="006216BC">
      <w:pPr>
        <w:rPr>
          <w:rFonts w:ascii="Times New Roman" w:hAnsi="Times New Roman" w:cs="Times New Roman"/>
          <w:noProof/>
          <w:sz w:val="24"/>
          <w:szCs w:val="24"/>
          <w:highlight w:val="yellow"/>
        </w:rPr>
      </w:pPr>
      <w:r w:rsidRPr="00E66BD7">
        <w:rPr>
          <w:noProof/>
          <w:lang w:val="fr-BE" w:eastAsia="fr-BE"/>
        </w:rPr>
        <w:drawing>
          <wp:inline distT="0" distB="0" distL="0" distR="0" wp14:anchorId="4FD1A7E9" wp14:editId="43EEA9D6">
            <wp:extent cx="5164455" cy="34645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4455" cy="3464560"/>
                    </a:xfrm>
                    <a:prstGeom prst="rect">
                      <a:avLst/>
                    </a:prstGeom>
                    <a:noFill/>
                    <a:ln>
                      <a:noFill/>
                    </a:ln>
                  </pic:spPr>
                </pic:pic>
              </a:graphicData>
            </a:graphic>
          </wp:inline>
        </w:drawing>
      </w:r>
    </w:p>
    <w:p w14:paraId="7D5613C5" w14:textId="77777777" w:rsidR="008D3CBA" w:rsidRDefault="00A81CAF">
      <w:pPr>
        <w:jc w:val="both"/>
        <w:rPr>
          <w:rFonts w:ascii="Times New Roman" w:hAnsi="Times New Roman" w:cs="Times New Roman"/>
          <w:noProof/>
          <w:sz w:val="24"/>
          <w:szCs w:val="24"/>
        </w:rPr>
      </w:pPr>
      <w:bookmarkStart w:id="12" w:name="_Hlk481162649"/>
      <w:bookmarkStart w:id="13" w:name="_Hlk481160518"/>
      <w:r>
        <w:rPr>
          <w:rFonts w:ascii="Times New Roman" w:hAnsi="Times New Roman"/>
          <w:sz w:val="24"/>
          <w:szCs w:val="24"/>
        </w:rPr>
        <w:t xml:space="preserve">Z dvou milionů zpráv, které si všechny připojené členské státy v roce 2016 vyměnily, se tento počet zvýšil na téměř </w:t>
      </w:r>
      <w:r>
        <w:rPr>
          <w:rFonts w:ascii="Times New Roman" w:hAnsi="Times New Roman"/>
          <w:b/>
          <w:sz w:val="24"/>
          <w:szCs w:val="24"/>
        </w:rPr>
        <w:t>4,2 milionu v roce 2019</w:t>
      </w:r>
      <w:r>
        <w:rPr>
          <w:rFonts w:ascii="Times New Roman" w:hAnsi="Times New Roman"/>
          <w:sz w:val="24"/>
          <w:szCs w:val="24"/>
        </w:rPr>
        <w:t xml:space="preserve"> s </w:t>
      </w:r>
      <w:r>
        <w:rPr>
          <w:rFonts w:ascii="Times New Roman" w:hAnsi="Times New Roman"/>
          <w:b/>
          <w:sz w:val="24"/>
          <w:szCs w:val="24"/>
        </w:rPr>
        <w:t>průměrným počtem 348 000 zpráv za měsíc</w:t>
      </w:r>
      <w:r>
        <w:rPr>
          <w:rFonts w:ascii="Times New Roman" w:hAnsi="Times New Roman"/>
          <w:sz w:val="24"/>
          <w:szCs w:val="24"/>
        </w:rPr>
        <w:t>.</w:t>
      </w:r>
      <w:bookmarkEnd w:id="12"/>
      <w:r>
        <w:rPr>
          <w:rFonts w:ascii="Times New Roman" w:hAnsi="Times New Roman"/>
          <w:sz w:val="24"/>
          <w:szCs w:val="24"/>
        </w:rPr>
        <w:t xml:space="preserve"> Do tohoto počtu jsou zařazeny všechny typy zpráv: oznámení, aktualizace, žádosti, odpovědi, odmítnutí, jiné odpovědi, výměny doplňujících informací atd. </w:t>
      </w:r>
    </w:p>
    <w:p w14:paraId="7D5613C6" w14:textId="54AAEDEB" w:rsidR="008D3CBA" w:rsidRDefault="00A81CAF">
      <w:pPr>
        <w:jc w:val="both"/>
        <w:rPr>
          <w:rFonts w:ascii="Times New Roman" w:hAnsi="Times New Roman" w:cs="Times New Roman"/>
          <w:noProof/>
          <w:sz w:val="24"/>
          <w:szCs w:val="24"/>
        </w:rPr>
      </w:pPr>
      <w:r>
        <w:rPr>
          <w:rFonts w:ascii="Times New Roman" w:hAnsi="Times New Roman"/>
          <w:sz w:val="24"/>
          <w:szCs w:val="24"/>
        </w:rPr>
        <w:t>Následující graf uvádí trend u oznámení, žádostí a odpovědí na žádosti za osm let provozu systému ECRIS. Počítají se pouze oznámení o nových odsouzeních, bez aktualizací. Mezi odpovědi patří odpovědi na žádosti, odmítnutí žádostí a další odpovědi</w:t>
      </w:r>
      <w:r>
        <w:rPr>
          <w:rStyle w:val="FootnoteReference"/>
          <w:rFonts w:ascii="Times New Roman" w:hAnsi="Times New Roman" w:cs="Times New Roman"/>
          <w:noProof/>
          <w:sz w:val="24"/>
          <w:szCs w:val="24"/>
        </w:rPr>
        <w:footnoteReference w:id="10"/>
      </w:r>
      <w:r>
        <w:rPr>
          <w:rFonts w:ascii="Times New Roman" w:hAnsi="Times New Roman"/>
          <w:sz w:val="24"/>
          <w:szCs w:val="24"/>
        </w:rPr>
        <w:t xml:space="preserve">. </w:t>
      </w:r>
    </w:p>
    <w:p w14:paraId="7D5613C7" w14:textId="18775FFE" w:rsidR="008D3CBA" w:rsidRPr="00920D9B" w:rsidRDefault="00C85695" w:rsidP="00920D9B">
      <w:pPr>
        <w:jc w:val="both"/>
        <w:rPr>
          <w:rFonts w:ascii="Times New Roman" w:hAnsi="Times New Roman" w:cs="Times New Roman"/>
          <w:noProof/>
          <w:sz w:val="24"/>
          <w:szCs w:val="24"/>
        </w:rPr>
      </w:pPr>
      <w:r w:rsidRPr="00C85695">
        <w:rPr>
          <w:noProof/>
          <w:lang w:val="fr-BE" w:eastAsia="fr-BE"/>
        </w:rPr>
        <w:drawing>
          <wp:inline distT="0" distB="0" distL="0" distR="0" wp14:anchorId="7ED2510C" wp14:editId="4570D33C">
            <wp:extent cx="6495602" cy="33432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06109" cy="3348683"/>
                    </a:xfrm>
                    <a:prstGeom prst="rect">
                      <a:avLst/>
                    </a:prstGeom>
                    <a:noFill/>
                    <a:ln>
                      <a:noFill/>
                    </a:ln>
                  </pic:spPr>
                </pic:pic>
              </a:graphicData>
            </a:graphic>
          </wp:inline>
        </w:drawing>
      </w:r>
    </w:p>
    <w:p w14:paraId="7D5613C8" w14:textId="77777777" w:rsidR="00920D9B" w:rsidRDefault="00920D9B">
      <w:pPr>
        <w:jc w:val="both"/>
        <w:rPr>
          <w:rFonts w:ascii="Times New Roman" w:hAnsi="Times New Roman" w:cs="Times New Roman"/>
          <w:noProof/>
          <w:sz w:val="24"/>
          <w:szCs w:val="24"/>
        </w:rPr>
      </w:pPr>
      <w:bookmarkStart w:id="14" w:name="_Hlk481162482"/>
    </w:p>
    <w:p w14:paraId="7D5613C9" w14:textId="77777777" w:rsidR="008D3CBA" w:rsidRPr="0061543B" w:rsidRDefault="00205BF2">
      <w:pPr>
        <w:jc w:val="both"/>
        <w:rPr>
          <w:rFonts w:ascii="Times New Roman" w:hAnsi="Times New Roman" w:cs="Times New Roman"/>
          <w:b/>
          <w:noProof/>
          <w:sz w:val="24"/>
          <w:szCs w:val="24"/>
        </w:rPr>
      </w:pPr>
      <w:r>
        <w:rPr>
          <w:rFonts w:ascii="Times New Roman" w:hAnsi="Times New Roman"/>
          <w:sz w:val="24"/>
          <w:szCs w:val="24"/>
        </w:rPr>
        <w:t xml:space="preserve">Poslední tři roky přinesly </w:t>
      </w:r>
      <w:r>
        <w:rPr>
          <w:rFonts w:ascii="Times New Roman" w:hAnsi="Times New Roman"/>
          <w:b/>
          <w:bCs/>
          <w:sz w:val="24"/>
          <w:szCs w:val="24"/>
        </w:rPr>
        <w:t xml:space="preserve">radikální změnu v poměru mezi </w:t>
      </w:r>
      <w:r>
        <w:rPr>
          <w:rFonts w:ascii="Times New Roman" w:hAnsi="Times New Roman"/>
          <w:bCs/>
          <w:sz w:val="24"/>
          <w:szCs w:val="24"/>
        </w:rPr>
        <w:t>počtem</w:t>
      </w:r>
      <w:r>
        <w:rPr>
          <w:rFonts w:ascii="Times New Roman" w:hAnsi="Times New Roman"/>
          <w:b/>
          <w:bCs/>
          <w:sz w:val="24"/>
          <w:szCs w:val="24"/>
        </w:rPr>
        <w:t xml:space="preserve"> oznámení o nových odsouzeních, žádostí a odpovědí na žádosti.</w:t>
      </w:r>
      <w:r>
        <w:rPr>
          <w:rFonts w:ascii="Times New Roman" w:hAnsi="Times New Roman"/>
          <w:sz w:val="24"/>
          <w:szCs w:val="24"/>
        </w:rPr>
        <w:t xml:space="preserve"> V roce 2016 byl počet pro každou z těchto tří kategorií téměř stejný a činil zhruba </w:t>
      </w:r>
      <w:r>
        <w:rPr>
          <w:rFonts w:ascii="Times New Roman" w:hAnsi="Times New Roman"/>
          <w:bCs/>
          <w:sz w:val="24"/>
          <w:szCs w:val="24"/>
        </w:rPr>
        <w:t>350 000 ročně na kategorii. V roce 2019 byl počet žádostí o informace a související počet odpovědí na žádosti více než třikrát vyšší než počet oznámení.</w:t>
      </w:r>
    </w:p>
    <w:p w14:paraId="7D5613CA" w14:textId="0F6CFBD2" w:rsidR="008D3CBA" w:rsidRDefault="00B70E8B">
      <w:pPr>
        <w:jc w:val="both"/>
        <w:rPr>
          <w:rFonts w:ascii="Times New Roman" w:hAnsi="Times New Roman" w:cs="Times New Roman"/>
          <w:noProof/>
          <w:sz w:val="24"/>
          <w:szCs w:val="24"/>
        </w:rPr>
      </w:pPr>
      <w:r>
        <w:rPr>
          <w:rFonts w:ascii="Times New Roman" w:hAnsi="Times New Roman"/>
          <w:sz w:val="24"/>
          <w:szCs w:val="24"/>
        </w:rPr>
        <w:t xml:space="preserve">V roce 2017 </w:t>
      </w:r>
      <w:r>
        <w:rPr>
          <w:rFonts w:ascii="Times New Roman" w:hAnsi="Times New Roman"/>
          <w:b/>
          <w:sz w:val="24"/>
          <w:szCs w:val="24"/>
        </w:rPr>
        <w:t>počet oznámení o nových odsouzeních poklesl</w:t>
      </w:r>
      <w:r>
        <w:rPr>
          <w:rFonts w:ascii="Times New Roman" w:hAnsi="Times New Roman"/>
          <w:sz w:val="24"/>
          <w:szCs w:val="24"/>
        </w:rPr>
        <w:t xml:space="preserve"> a </w:t>
      </w:r>
      <w:r>
        <w:rPr>
          <w:rFonts w:ascii="Times New Roman" w:hAnsi="Times New Roman"/>
          <w:b/>
          <w:sz w:val="24"/>
          <w:szCs w:val="24"/>
        </w:rPr>
        <w:t xml:space="preserve">do roku 2019 </w:t>
      </w:r>
      <w:r>
        <w:rPr>
          <w:rFonts w:ascii="Times New Roman" w:hAnsi="Times New Roman"/>
          <w:sz w:val="24"/>
          <w:szCs w:val="24"/>
        </w:rPr>
        <w:t>zůstal na úrovni přibližně</w:t>
      </w:r>
      <w:r>
        <w:rPr>
          <w:rFonts w:ascii="Times New Roman" w:hAnsi="Times New Roman"/>
          <w:b/>
          <w:sz w:val="24"/>
          <w:szCs w:val="24"/>
        </w:rPr>
        <w:t xml:space="preserve"> 310 000</w:t>
      </w:r>
      <w:r>
        <w:rPr>
          <w:rFonts w:ascii="Times New Roman" w:hAnsi="Times New Roman"/>
          <w:sz w:val="24"/>
          <w:szCs w:val="24"/>
        </w:rPr>
        <w:t xml:space="preserve"> oznámení. Tato klesající tendence je vzhledem k rostoucímu počtu propojení mezi členskými státy překvapivá. Jak je uvedeno v oddíle 2.4 níže, měly některé členské státy problémy s oznamováním všech nových odsouzení.</w:t>
      </w:r>
    </w:p>
    <w:p w14:paraId="7D5613CB" w14:textId="691DC9F4" w:rsidR="00AD69F8" w:rsidRDefault="00A81CAF">
      <w:pPr>
        <w:jc w:val="both"/>
        <w:rPr>
          <w:rFonts w:ascii="Times New Roman" w:hAnsi="Times New Roman" w:cs="Times New Roman"/>
          <w:noProof/>
          <w:sz w:val="24"/>
          <w:szCs w:val="24"/>
        </w:rPr>
      </w:pPr>
      <w:r>
        <w:rPr>
          <w:rFonts w:ascii="Times New Roman" w:hAnsi="Times New Roman"/>
          <w:sz w:val="24"/>
          <w:szCs w:val="24"/>
        </w:rPr>
        <w:t xml:space="preserve">Naproti tomu </w:t>
      </w:r>
      <w:r>
        <w:rPr>
          <w:rFonts w:ascii="Times New Roman" w:hAnsi="Times New Roman"/>
          <w:b/>
          <w:sz w:val="24"/>
          <w:szCs w:val="24"/>
        </w:rPr>
        <w:t xml:space="preserve">počet žádostí o informace </w:t>
      </w:r>
      <w:r>
        <w:rPr>
          <w:rFonts w:ascii="Times New Roman" w:hAnsi="Times New Roman"/>
          <w:sz w:val="24"/>
          <w:szCs w:val="24"/>
        </w:rPr>
        <w:t xml:space="preserve">a souvisejících odpovědí na žádosti se </w:t>
      </w:r>
      <w:r>
        <w:rPr>
          <w:rFonts w:ascii="Times New Roman" w:hAnsi="Times New Roman"/>
          <w:b/>
          <w:sz w:val="24"/>
          <w:szCs w:val="24"/>
        </w:rPr>
        <w:t>od roku 2017 ztrojnásobil</w:t>
      </w:r>
      <w:r>
        <w:rPr>
          <w:rFonts w:ascii="Times New Roman" w:hAnsi="Times New Roman"/>
          <w:sz w:val="24"/>
          <w:szCs w:val="24"/>
        </w:rPr>
        <w:t xml:space="preserve"> – a v roce 2019 dosáhl pro každou z těchto kategorií </w:t>
      </w:r>
      <w:r>
        <w:rPr>
          <w:rFonts w:ascii="Times New Roman" w:hAnsi="Times New Roman"/>
          <w:b/>
          <w:sz w:val="24"/>
          <w:szCs w:val="24"/>
        </w:rPr>
        <w:t>jednoho milionu</w:t>
      </w:r>
      <w:r>
        <w:rPr>
          <w:rFonts w:ascii="Times New Roman" w:hAnsi="Times New Roman"/>
          <w:sz w:val="24"/>
          <w:szCs w:val="24"/>
        </w:rPr>
        <w:t xml:space="preserve">. Tento </w:t>
      </w:r>
      <w:r>
        <w:rPr>
          <w:rFonts w:ascii="Times New Roman" w:hAnsi="Times New Roman"/>
          <w:b/>
          <w:sz w:val="24"/>
          <w:szCs w:val="24"/>
        </w:rPr>
        <w:t xml:space="preserve">dramatický nárůst žádostí o informace </w:t>
      </w:r>
      <w:r>
        <w:rPr>
          <w:rFonts w:ascii="Times New Roman" w:hAnsi="Times New Roman"/>
          <w:sz w:val="24"/>
          <w:szCs w:val="24"/>
        </w:rPr>
        <w:t>je způsoben především</w:t>
      </w:r>
      <w:r>
        <w:rPr>
          <w:rFonts w:ascii="Times New Roman" w:hAnsi="Times New Roman"/>
          <w:b/>
          <w:sz w:val="24"/>
          <w:szCs w:val="24"/>
        </w:rPr>
        <w:t xml:space="preserve"> změnou ve využívání systému ECRIS, který se již nepoužívá pouze pro účely trestního řízení, ale stále více i pro jiné účely než pro trestní řízení</w:t>
      </w:r>
      <w:r>
        <w:rPr>
          <w:rFonts w:ascii="Times New Roman" w:hAnsi="Times New Roman"/>
          <w:sz w:val="24"/>
          <w:szCs w:val="24"/>
        </w:rPr>
        <w:t>. Další podrobnosti viz oddíl 2.8. Je to rovněž dobré znamení, že v členských státech roste povědomí o nutnosti používat systém ECRIS za účelem vyžádání informací v průběhu trestního řízení, aby bylo možné v souladu s rámcovým rozhodnutím 2008/675/SVV</w:t>
      </w:r>
      <w:r>
        <w:rPr>
          <w:rStyle w:val="FootnoteReference"/>
          <w:rFonts w:ascii="Times New Roman" w:hAnsi="Times New Roman" w:cs="Times New Roman"/>
          <w:noProof/>
          <w:sz w:val="24"/>
          <w:szCs w:val="24"/>
        </w:rPr>
        <w:footnoteReference w:id="11"/>
      </w:r>
      <w:r>
        <w:rPr>
          <w:rFonts w:ascii="Times New Roman" w:hAnsi="Times New Roman"/>
          <w:sz w:val="24"/>
          <w:szCs w:val="24"/>
        </w:rPr>
        <w:t xml:space="preserve"> zohlednit předchozí odsouzení.</w:t>
      </w:r>
    </w:p>
    <w:p w14:paraId="7D5613CC" w14:textId="77777777" w:rsidR="0067520E" w:rsidRDefault="0067520E">
      <w:pPr>
        <w:jc w:val="both"/>
        <w:rPr>
          <w:rFonts w:ascii="Times New Roman" w:hAnsi="Times New Roman" w:cs="Times New Roman"/>
          <w:b/>
          <w:noProof/>
          <w:sz w:val="24"/>
          <w:szCs w:val="24"/>
        </w:rPr>
      </w:pPr>
      <w:bookmarkStart w:id="15" w:name="_Toc479267022"/>
      <w:bookmarkEnd w:id="13"/>
      <w:bookmarkEnd w:id="14"/>
    </w:p>
    <w:p w14:paraId="7D5613CD" w14:textId="77777777" w:rsidR="008D3CBA" w:rsidRDefault="002C2C15">
      <w:pPr>
        <w:jc w:val="both"/>
        <w:rPr>
          <w:rFonts w:ascii="Times New Roman" w:hAnsi="Times New Roman" w:cs="Times New Roman"/>
          <w:b/>
          <w:noProof/>
          <w:sz w:val="24"/>
          <w:szCs w:val="24"/>
        </w:rPr>
      </w:pPr>
      <w:r>
        <w:rPr>
          <w:rFonts w:ascii="Times New Roman" w:hAnsi="Times New Roman"/>
          <w:b/>
          <w:sz w:val="24"/>
          <w:szCs w:val="24"/>
        </w:rPr>
        <w:t>2.3 Počet oznámení, žádostí a </w:t>
      </w:r>
      <w:bookmarkEnd w:id="15"/>
      <w:r>
        <w:rPr>
          <w:rFonts w:ascii="Times New Roman" w:hAnsi="Times New Roman"/>
          <w:b/>
          <w:sz w:val="24"/>
          <w:szCs w:val="24"/>
        </w:rPr>
        <w:t>odpovědí podle členských států</w:t>
      </w:r>
    </w:p>
    <w:p w14:paraId="7D5613CE" w14:textId="3E6EAE5C" w:rsidR="008D3CBA" w:rsidRDefault="00A81CAF">
      <w:pPr>
        <w:jc w:val="both"/>
        <w:rPr>
          <w:rFonts w:ascii="Times New Roman" w:hAnsi="Times New Roman" w:cs="Times New Roman"/>
          <w:noProof/>
          <w:sz w:val="24"/>
          <w:szCs w:val="24"/>
        </w:rPr>
      </w:pPr>
      <w:r>
        <w:rPr>
          <w:rFonts w:ascii="Times New Roman" w:hAnsi="Times New Roman"/>
          <w:sz w:val="24"/>
          <w:szCs w:val="24"/>
        </w:rPr>
        <w:t>Následující graf znázorňuje počet oznámení o nových odsouzeních, žádostí o informace a odpovědí za všechny propojené členské státy v roce 2019</w:t>
      </w:r>
      <w:r>
        <w:rPr>
          <w:rStyle w:val="FootnoteReference"/>
          <w:rFonts w:ascii="Times New Roman" w:hAnsi="Times New Roman" w:cs="Times New Roman"/>
          <w:noProof/>
          <w:sz w:val="24"/>
          <w:szCs w:val="24"/>
        </w:rPr>
        <w:footnoteReference w:id="12"/>
      </w:r>
      <w:r>
        <w:rPr>
          <w:rFonts w:ascii="Times New Roman" w:hAnsi="Times New Roman"/>
          <w:sz w:val="24"/>
          <w:szCs w:val="24"/>
        </w:rPr>
        <w:t xml:space="preserve">. </w:t>
      </w:r>
    </w:p>
    <w:p w14:paraId="7D5613CF" w14:textId="47DA1AC9" w:rsidR="008D3CBA" w:rsidRDefault="00C85695" w:rsidP="0028785E">
      <w:pPr>
        <w:jc w:val="center"/>
        <w:rPr>
          <w:rFonts w:ascii="Times New Roman" w:hAnsi="Times New Roman" w:cs="Times New Roman"/>
          <w:noProof/>
          <w:sz w:val="24"/>
          <w:szCs w:val="24"/>
        </w:rPr>
      </w:pPr>
      <w:r w:rsidRPr="00C85695">
        <w:rPr>
          <w:noProof/>
          <w:lang w:val="fr-BE" w:eastAsia="fr-BE"/>
        </w:rPr>
        <w:drawing>
          <wp:inline distT="0" distB="0" distL="0" distR="0" wp14:anchorId="57544D0F" wp14:editId="13A19E52">
            <wp:extent cx="6457950" cy="41964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59304" cy="4197291"/>
                    </a:xfrm>
                    <a:prstGeom prst="rect">
                      <a:avLst/>
                    </a:prstGeom>
                    <a:noFill/>
                    <a:ln>
                      <a:noFill/>
                    </a:ln>
                  </pic:spPr>
                </pic:pic>
              </a:graphicData>
            </a:graphic>
          </wp:inline>
        </w:drawing>
      </w:r>
    </w:p>
    <w:p w14:paraId="7D5613D0" w14:textId="77777777" w:rsidR="00F36687" w:rsidRDefault="00F36687">
      <w:pPr>
        <w:jc w:val="both"/>
        <w:rPr>
          <w:rFonts w:ascii="Times New Roman" w:hAnsi="Times New Roman" w:cs="Times New Roman"/>
          <w:noProof/>
          <w:sz w:val="24"/>
          <w:szCs w:val="24"/>
        </w:rPr>
      </w:pPr>
      <w:bookmarkStart w:id="16" w:name="_Hlk481161857"/>
      <w:bookmarkStart w:id="17" w:name="_Hlk481162724"/>
    </w:p>
    <w:p w14:paraId="7D5613D1" w14:textId="10512FA6" w:rsidR="00F36687" w:rsidRDefault="00BC36F5">
      <w:pPr>
        <w:jc w:val="both"/>
        <w:rPr>
          <w:rFonts w:ascii="Times New Roman" w:hAnsi="Times New Roman" w:cs="Times New Roman"/>
          <w:noProof/>
          <w:sz w:val="24"/>
          <w:szCs w:val="24"/>
        </w:rPr>
      </w:pPr>
      <w:r>
        <w:rPr>
          <w:rFonts w:ascii="Times New Roman" w:hAnsi="Times New Roman"/>
          <w:sz w:val="24"/>
          <w:szCs w:val="24"/>
        </w:rPr>
        <w:t>Podobně jako v předchozích letech byly z hlediska celkového objemu těchto tří typů zpráv nejaktivnější členské státy uvedené níže.</w:t>
      </w:r>
    </w:p>
    <w:bookmarkEnd w:id="16"/>
    <w:p w14:paraId="76D5C513" w14:textId="484BD618" w:rsidR="00914176" w:rsidRDefault="00914176" w:rsidP="00143ABA">
      <w:pPr>
        <w:jc w:val="center"/>
        <w:rPr>
          <w:rFonts w:ascii="Times New Roman" w:hAnsi="Times New Roman" w:cs="Times New Roman"/>
          <w:noProof/>
          <w:sz w:val="24"/>
          <w:szCs w:val="24"/>
        </w:rPr>
      </w:pPr>
      <w:r w:rsidRPr="00914176">
        <w:rPr>
          <w:noProof/>
          <w:lang w:val="fr-BE" w:eastAsia="fr-BE"/>
        </w:rPr>
        <w:drawing>
          <wp:inline distT="0" distB="0" distL="0" distR="0" wp14:anchorId="4920BABC" wp14:editId="178C341A">
            <wp:extent cx="3961159" cy="1778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3128" cy="1797322"/>
                    </a:xfrm>
                    <a:prstGeom prst="rect">
                      <a:avLst/>
                    </a:prstGeom>
                    <a:noFill/>
                    <a:ln>
                      <a:noFill/>
                    </a:ln>
                  </pic:spPr>
                </pic:pic>
              </a:graphicData>
            </a:graphic>
          </wp:inline>
        </w:drawing>
      </w:r>
    </w:p>
    <w:p w14:paraId="7D5613D4" w14:textId="77777777" w:rsidR="008D3CBA" w:rsidRDefault="00A81CAF">
      <w:pPr>
        <w:jc w:val="both"/>
        <w:rPr>
          <w:rFonts w:ascii="Times New Roman" w:hAnsi="Times New Roman" w:cs="Times New Roman"/>
          <w:noProof/>
          <w:sz w:val="24"/>
          <w:szCs w:val="24"/>
        </w:rPr>
      </w:pPr>
      <w:r>
        <w:rPr>
          <w:rFonts w:ascii="Times New Roman" w:hAnsi="Times New Roman"/>
          <w:sz w:val="24"/>
          <w:szCs w:val="24"/>
        </w:rPr>
        <w:t xml:space="preserve">Tato čísla zobrazují </w:t>
      </w:r>
      <w:r>
        <w:rPr>
          <w:rFonts w:ascii="Times New Roman" w:hAnsi="Times New Roman"/>
          <w:b/>
          <w:sz w:val="24"/>
          <w:szCs w:val="24"/>
        </w:rPr>
        <w:t>významné rozdíly mezi aktivitami členských států v systému ECRIS a jejich pracovním vytížením</w:t>
      </w:r>
      <w:r>
        <w:rPr>
          <w:rFonts w:ascii="Times New Roman" w:hAnsi="Times New Roman"/>
          <w:sz w:val="24"/>
          <w:szCs w:val="24"/>
        </w:rPr>
        <w:t>.</w:t>
      </w:r>
    </w:p>
    <w:bookmarkEnd w:id="17"/>
    <w:p w14:paraId="7D5613D5" w14:textId="20BF9E0E" w:rsidR="00CA39B0" w:rsidRDefault="00A81CAF">
      <w:pPr>
        <w:jc w:val="both"/>
        <w:rPr>
          <w:rFonts w:ascii="Times New Roman" w:hAnsi="Times New Roman" w:cs="Times New Roman"/>
          <w:noProof/>
          <w:sz w:val="24"/>
          <w:szCs w:val="24"/>
        </w:rPr>
      </w:pPr>
      <w:r>
        <w:rPr>
          <w:rFonts w:ascii="Times New Roman" w:hAnsi="Times New Roman"/>
          <w:sz w:val="24"/>
          <w:szCs w:val="24"/>
        </w:rPr>
        <w:t xml:space="preserve">Některé členské státy </w:t>
      </w:r>
      <w:r>
        <w:rPr>
          <w:rFonts w:ascii="Times New Roman" w:hAnsi="Times New Roman"/>
          <w:b/>
          <w:bCs/>
          <w:sz w:val="24"/>
          <w:szCs w:val="24"/>
        </w:rPr>
        <w:t>požadují informace výrazně častěji, než jsou o poskytnutí informací samy žádány</w:t>
      </w:r>
      <w:r>
        <w:rPr>
          <w:rFonts w:ascii="Times New Roman" w:hAnsi="Times New Roman"/>
          <w:sz w:val="24"/>
          <w:szCs w:val="24"/>
        </w:rPr>
        <w:t xml:space="preserve">: např. DE (745 000 odeslaných žádostí, 32 400 přijatých žádostí), UK (91 000 odeslaných, 31 500 přijatých) a CZ (38 500 odeslaných, 24 700 přijatých). Jiné členské státy dostávají </w:t>
      </w:r>
      <w:r>
        <w:rPr>
          <w:rFonts w:ascii="Times New Roman" w:hAnsi="Times New Roman"/>
          <w:b/>
          <w:bCs/>
          <w:sz w:val="24"/>
          <w:szCs w:val="24"/>
        </w:rPr>
        <w:t>značný počet žádostí</w:t>
      </w:r>
      <w:r>
        <w:rPr>
          <w:rFonts w:ascii="Times New Roman" w:hAnsi="Times New Roman"/>
          <w:sz w:val="24"/>
          <w:szCs w:val="24"/>
        </w:rPr>
        <w:t xml:space="preserve">, přičemž samy zasílají žádostí méně: např. PL (197 300 poskytnutých odpovědí, 15 400 odeslaných žádostí), RO (170 000 oproti 1 200), IT (99 500 oproti 1 500), HR (63 300 oproti 3 000), SK (41 000 oproti 900), HU (37 400 oproti 500). Některé členské státy </w:t>
      </w:r>
      <w:r>
        <w:rPr>
          <w:rFonts w:ascii="Times New Roman" w:hAnsi="Times New Roman"/>
          <w:b/>
          <w:bCs/>
          <w:sz w:val="24"/>
          <w:szCs w:val="24"/>
        </w:rPr>
        <w:t>zasílají velký počet oznámení</w:t>
      </w:r>
      <w:r>
        <w:rPr>
          <w:rFonts w:ascii="Times New Roman" w:hAnsi="Times New Roman"/>
          <w:sz w:val="24"/>
          <w:szCs w:val="24"/>
        </w:rPr>
        <w:t xml:space="preserve"> o nových odsouzeních členským státům, jejichž je pachatel státním příslušníkem, přičemž samy zasílají méně žádostí: např. BE (36 300 odeslaných oznámení, 5 200 odeslaných žádostí), IT (25 700 oznámení, 1 500 žádostí).</w:t>
      </w:r>
    </w:p>
    <w:p w14:paraId="7D5613D6" w14:textId="77777777" w:rsidR="008D3CBA" w:rsidRDefault="002C2C15">
      <w:pPr>
        <w:jc w:val="both"/>
        <w:rPr>
          <w:rFonts w:ascii="Times New Roman" w:hAnsi="Times New Roman" w:cs="Times New Roman"/>
          <w:b/>
          <w:noProof/>
          <w:sz w:val="24"/>
          <w:szCs w:val="24"/>
        </w:rPr>
      </w:pPr>
      <w:r>
        <w:rPr>
          <w:rFonts w:ascii="Times New Roman" w:hAnsi="Times New Roman"/>
          <w:b/>
          <w:sz w:val="24"/>
          <w:szCs w:val="24"/>
        </w:rPr>
        <w:t>2.4 Oznámení</w:t>
      </w:r>
    </w:p>
    <w:p w14:paraId="7D5613D7" w14:textId="333100FC" w:rsidR="008D3CBA" w:rsidRDefault="00A81CAF">
      <w:pPr>
        <w:jc w:val="both"/>
        <w:rPr>
          <w:rFonts w:ascii="Times New Roman" w:hAnsi="Times New Roman" w:cs="Times New Roman"/>
          <w:noProof/>
          <w:sz w:val="24"/>
          <w:szCs w:val="24"/>
        </w:rPr>
      </w:pPr>
      <w:r>
        <w:rPr>
          <w:rFonts w:ascii="Times New Roman" w:hAnsi="Times New Roman"/>
          <w:sz w:val="24"/>
          <w:szCs w:val="24"/>
        </w:rPr>
        <w:t>Na následujícím grafu je znázorněn počet oznámení zaslaných v roce 2019 všemi propojenými členskými státy, rozdělený podle oznámení o nových odsouzeních a oznámení aktualizujících dříve zaslaná oznámení</w:t>
      </w:r>
      <w:r>
        <w:rPr>
          <w:rStyle w:val="FootnoteReference"/>
          <w:rFonts w:ascii="Times New Roman" w:hAnsi="Times New Roman" w:cs="Times New Roman"/>
          <w:noProof/>
          <w:sz w:val="24"/>
          <w:szCs w:val="24"/>
        </w:rPr>
        <w:footnoteReference w:id="13"/>
      </w:r>
      <w:r>
        <w:rPr>
          <w:rFonts w:ascii="Times New Roman" w:hAnsi="Times New Roman"/>
          <w:sz w:val="24"/>
          <w:szCs w:val="24"/>
        </w:rPr>
        <w:t xml:space="preserve">. </w:t>
      </w:r>
    </w:p>
    <w:p w14:paraId="7D5613D8" w14:textId="6187E89D" w:rsidR="008D3CBA" w:rsidRDefault="000B4A00" w:rsidP="00C21471">
      <w:pPr>
        <w:jc w:val="both"/>
        <w:rPr>
          <w:rStyle w:val="CommentReference"/>
          <w:rFonts w:ascii="Times New Roman" w:hAnsi="Times New Roman" w:cs="Times New Roman"/>
          <w:noProof/>
          <w:sz w:val="24"/>
          <w:szCs w:val="24"/>
        </w:rPr>
      </w:pPr>
      <w:r w:rsidRPr="000B4A00">
        <w:rPr>
          <w:noProof/>
          <w:lang w:val="fr-BE" w:eastAsia="fr-BE"/>
        </w:rPr>
        <w:drawing>
          <wp:inline distT="0" distB="0" distL="0" distR="0" wp14:anchorId="685C2188" wp14:editId="65C934E6">
            <wp:extent cx="6154716" cy="36962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9257" cy="3698963"/>
                    </a:xfrm>
                    <a:prstGeom prst="rect">
                      <a:avLst/>
                    </a:prstGeom>
                    <a:noFill/>
                    <a:ln>
                      <a:noFill/>
                    </a:ln>
                  </pic:spPr>
                </pic:pic>
              </a:graphicData>
            </a:graphic>
          </wp:inline>
        </w:drawing>
      </w:r>
      <w:bookmarkStart w:id="18" w:name="_Hlk481001185"/>
    </w:p>
    <w:p w14:paraId="7D5613D9" w14:textId="2991AFA1" w:rsidR="008D3CBA" w:rsidRDefault="00A81CAF">
      <w:pPr>
        <w:jc w:val="both"/>
        <w:rPr>
          <w:rFonts w:ascii="Times New Roman" w:hAnsi="Times New Roman" w:cs="Times New Roman"/>
          <w:noProof/>
          <w:sz w:val="24"/>
          <w:szCs w:val="24"/>
        </w:rPr>
      </w:pPr>
      <w:r>
        <w:rPr>
          <w:rFonts w:ascii="Times New Roman" w:hAnsi="Times New Roman"/>
          <w:b/>
          <w:sz w:val="24"/>
          <w:szCs w:val="24"/>
        </w:rPr>
        <w:t>Počty oznámení se v členských státech značně liší</w:t>
      </w:r>
      <w:r>
        <w:rPr>
          <w:rFonts w:ascii="Times New Roman" w:hAnsi="Times New Roman"/>
          <w:sz w:val="24"/>
          <w:szCs w:val="24"/>
        </w:rPr>
        <w:t>, od téměř 112 000 (DE) po žádné oznámení o nových odsouzeních (MT, PT) za rok. Při analýze těchto rozdílů je třeba vzít v úvahu zejména dva faktory: velikost země a počet odsouzení státních příslušníků jiných členských států (státní příslušníci jiných členských států EU)</w:t>
      </w:r>
      <w:r>
        <w:rPr>
          <w:rStyle w:val="FootnoteReference"/>
          <w:rFonts w:ascii="Times New Roman" w:hAnsi="Times New Roman" w:cs="Times New Roman"/>
          <w:noProof/>
          <w:sz w:val="24"/>
          <w:szCs w:val="24"/>
        </w:rPr>
        <w:footnoteReference w:id="14"/>
      </w:r>
      <w:r>
        <w:rPr>
          <w:rFonts w:ascii="Times New Roman" w:hAnsi="Times New Roman"/>
          <w:sz w:val="24"/>
          <w:szCs w:val="24"/>
        </w:rPr>
        <w:t>.</w:t>
      </w:r>
    </w:p>
    <w:p w14:paraId="7D5613DA" w14:textId="77777777" w:rsidR="008D3CBA" w:rsidRDefault="00A81CAF">
      <w:pPr>
        <w:jc w:val="both"/>
        <w:rPr>
          <w:rFonts w:ascii="Times New Roman" w:hAnsi="Times New Roman" w:cs="Times New Roman"/>
          <w:noProof/>
          <w:sz w:val="24"/>
          <w:szCs w:val="24"/>
        </w:rPr>
      </w:pPr>
      <w:bookmarkStart w:id="19" w:name="_Hlk480998606"/>
      <w:bookmarkStart w:id="20" w:name="_Hlk481162205"/>
      <w:r>
        <w:rPr>
          <w:rFonts w:ascii="Times New Roman" w:hAnsi="Times New Roman"/>
          <w:sz w:val="24"/>
          <w:szCs w:val="24"/>
        </w:rPr>
        <w:t xml:space="preserve">Z hlediska zasílaných </w:t>
      </w:r>
      <w:r>
        <w:rPr>
          <w:rFonts w:ascii="Times New Roman" w:hAnsi="Times New Roman"/>
          <w:b/>
          <w:sz w:val="24"/>
          <w:szCs w:val="24"/>
        </w:rPr>
        <w:t xml:space="preserve">oznámení </w:t>
      </w:r>
      <w:r>
        <w:rPr>
          <w:rFonts w:ascii="Times New Roman" w:hAnsi="Times New Roman"/>
          <w:sz w:val="24"/>
          <w:szCs w:val="24"/>
        </w:rPr>
        <w:t xml:space="preserve">o nových odsouzeních patřily mezi </w:t>
      </w:r>
      <w:r>
        <w:rPr>
          <w:rFonts w:ascii="Times New Roman" w:hAnsi="Times New Roman"/>
          <w:b/>
          <w:sz w:val="24"/>
          <w:szCs w:val="24"/>
        </w:rPr>
        <w:t xml:space="preserve">nejaktivnější </w:t>
      </w:r>
      <w:r>
        <w:rPr>
          <w:rFonts w:ascii="Times New Roman" w:hAnsi="Times New Roman"/>
          <w:sz w:val="24"/>
          <w:szCs w:val="24"/>
        </w:rPr>
        <w:t>členské státy ty, které jsou uvedeny v tabulce níže:</w:t>
      </w:r>
    </w:p>
    <w:p w14:paraId="7D5613DB" w14:textId="77777777" w:rsidR="00AB42D3" w:rsidRDefault="00AB42D3">
      <w:pPr>
        <w:jc w:val="both"/>
        <w:rPr>
          <w:rFonts w:ascii="Times New Roman" w:hAnsi="Times New Roman" w:cs="Times New Roman"/>
          <w:noProof/>
          <w:sz w:val="24"/>
          <w:szCs w:val="24"/>
        </w:rPr>
      </w:pPr>
    </w:p>
    <w:p w14:paraId="7D5613DC" w14:textId="375A55E0" w:rsidR="00486AB5" w:rsidRDefault="00914176" w:rsidP="00486AB5">
      <w:pPr>
        <w:jc w:val="center"/>
        <w:rPr>
          <w:rFonts w:ascii="Times New Roman" w:hAnsi="Times New Roman" w:cs="Times New Roman"/>
          <w:noProof/>
          <w:sz w:val="24"/>
          <w:szCs w:val="24"/>
        </w:rPr>
      </w:pPr>
      <w:r w:rsidRPr="00914176">
        <w:rPr>
          <w:noProof/>
          <w:lang w:val="fr-BE" w:eastAsia="fr-BE"/>
        </w:rPr>
        <w:drawing>
          <wp:inline distT="0" distB="0" distL="0" distR="0" wp14:anchorId="4E1BC4E2" wp14:editId="7E34AB65">
            <wp:extent cx="3943350" cy="177152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r="34460" b="8026"/>
                    <a:stretch/>
                  </pic:blipFill>
                  <pic:spPr bwMode="auto">
                    <a:xfrm>
                      <a:off x="0" y="0"/>
                      <a:ext cx="3947053" cy="1773192"/>
                    </a:xfrm>
                    <a:prstGeom prst="rect">
                      <a:avLst/>
                    </a:prstGeom>
                    <a:noFill/>
                    <a:ln>
                      <a:noFill/>
                    </a:ln>
                    <a:extLst>
                      <a:ext uri="{53640926-AAD7-44D8-BBD7-CCE9431645EC}">
                        <a14:shadowObscured xmlns:a14="http://schemas.microsoft.com/office/drawing/2010/main"/>
                      </a:ext>
                    </a:extLst>
                  </pic:spPr>
                </pic:pic>
              </a:graphicData>
            </a:graphic>
          </wp:inline>
        </w:drawing>
      </w:r>
    </w:p>
    <w:bookmarkEnd w:id="19"/>
    <w:p w14:paraId="7D5613DD" w14:textId="2190D903" w:rsidR="00E10FA4" w:rsidRDefault="00A81CAF">
      <w:pPr>
        <w:jc w:val="both"/>
        <w:rPr>
          <w:rFonts w:ascii="Times New Roman" w:hAnsi="Times New Roman" w:cs="Times New Roman"/>
          <w:noProof/>
          <w:sz w:val="24"/>
          <w:szCs w:val="24"/>
        </w:rPr>
      </w:pPr>
      <w:r>
        <w:rPr>
          <w:rFonts w:ascii="Times New Roman" w:hAnsi="Times New Roman"/>
          <w:sz w:val="24"/>
          <w:szCs w:val="24"/>
        </w:rPr>
        <w:t>Vezmeme-li v úvahu všechna zaslaná oznámení, včetně oznámení o aktualizacích, zůstává DE na první pozici, ale pořadí se mění.</w:t>
      </w:r>
    </w:p>
    <w:p w14:paraId="7D5613DE" w14:textId="7793534C" w:rsidR="00ED221F" w:rsidRDefault="00914176" w:rsidP="007349D4">
      <w:pPr>
        <w:jc w:val="center"/>
        <w:rPr>
          <w:rFonts w:ascii="Times New Roman" w:hAnsi="Times New Roman" w:cs="Times New Roman"/>
          <w:noProof/>
          <w:sz w:val="24"/>
          <w:szCs w:val="24"/>
        </w:rPr>
      </w:pPr>
      <w:r w:rsidRPr="00914176">
        <w:rPr>
          <w:noProof/>
          <w:lang w:val="fr-BE" w:eastAsia="fr-BE"/>
        </w:rPr>
        <w:drawing>
          <wp:inline distT="0" distB="0" distL="0" distR="0" wp14:anchorId="1F05D002" wp14:editId="4FE49EE5">
            <wp:extent cx="3990159" cy="17240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a:extLst>
                        <a:ext uri="{28A0092B-C50C-407E-A947-70E740481C1C}">
                          <a14:useLocalDpi xmlns:a14="http://schemas.microsoft.com/office/drawing/2010/main" val="0"/>
                        </a:ext>
                      </a:extLst>
                    </a:blip>
                    <a:srcRect r="59897" b="9015"/>
                    <a:stretch/>
                  </pic:blipFill>
                  <pic:spPr bwMode="auto">
                    <a:xfrm>
                      <a:off x="0" y="0"/>
                      <a:ext cx="3996401" cy="1726722"/>
                    </a:xfrm>
                    <a:prstGeom prst="rect">
                      <a:avLst/>
                    </a:prstGeom>
                    <a:noFill/>
                    <a:ln>
                      <a:noFill/>
                    </a:ln>
                    <a:extLst>
                      <a:ext uri="{53640926-AAD7-44D8-BBD7-CCE9431645EC}">
                        <a14:shadowObscured xmlns:a14="http://schemas.microsoft.com/office/drawing/2010/main"/>
                      </a:ext>
                    </a:extLst>
                  </pic:spPr>
                </pic:pic>
              </a:graphicData>
            </a:graphic>
          </wp:inline>
        </w:drawing>
      </w:r>
    </w:p>
    <w:p w14:paraId="7D5613DF" w14:textId="77777777" w:rsidR="00AB42D3" w:rsidRDefault="00AB42D3">
      <w:pPr>
        <w:jc w:val="both"/>
        <w:rPr>
          <w:rFonts w:ascii="Times New Roman" w:hAnsi="Times New Roman" w:cs="Times New Roman"/>
          <w:b/>
          <w:noProof/>
          <w:sz w:val="24"/>
          <w:szCs w:val="24"/>
        </w:rPr>
      </w:pPr>
    </w:p>
    <w:p w14:paraId="7D5613E0" w14:textId="75F7BA84" w:rsidR="00B97EB3" w:rsidRPr="0054666B" w:rsidRDefault="00381F5C">
      <w:pPr>
        <w:jc w:val="both"/>
        <w:rPr>
          <w:rFonts w:ascii="Times New Roman" w:hAnsi="Times New Roman" w:cs="Times New Roman"/>
          <w:bCs/>
          <w:noProof/>
          <w:sz w:val="24"/>
          <w:szCs w:val="24"/>
        </w:rPr>
      </w:pPr>
      <w:r>
        <w:rPr>
          <w:rFonts w:ascii="Times New Roman" w:hAnsi="Times New Roman"/>
          <w:sz w:val="24"/>
          <w:szCs w:val="24"/>
        </w:rPr>
        <w:t xml:space="preserve">V roce 2019 činil poměr </w:t>
      </w:r>
      <w:r>
        <w:rPr>
          <w:rFonts w:ascii="Times New Roman" w:hAnsi="Times New Roman"/>
          <w:b/>
          <w:sz w:val="24"/>
          <w:szCs w:val="24"/>
        </w:rPr>
        <w:t xml:space="preserve">oznámení o nových odsouzeních a oznámení o aktualizacích </w:t>
      </w:r>
      <w:r>
        <w:rPr>
          <w:rFonts w:ascii="Times New Roman" w:hAnsi="Times New Roman"/>
          <w:sz w:val="24"/>
          <w:szCs w:val="24"/>
        </w:rPr>
        <w:t>v průměru</w:t>
      </w:r>
      <w:r>
        <w:rPr>
          <w:rFonts w:ascii="Times New Roman" w:hAnsi="Times New Roman"/>
          <w:bCs/>
          <w:sz w:val="24"/>
          <w:szCs w:val="24"/>
        </w:rPr>
        <w:t xml:space="preserve"> </w:t>
      </w:r>
      <w:r>
        <w:rPr>
          <w:rFonts w:ascii="Times New Roman" w:hAnsi="Times New Roman"/>
          <w:b/>
          <w:sz w:val="24"/>
          <w:szCs w:val="24"/>
        </w:rPr>
        <w:t>58 % ku 42 %</w:t>
      </w:r>
      <w:r>
        <w:rPr>
          <w:rFonts w:ascii="Times New Roman" w:hAnsi="Times New Roman"/>
          <w:sz w:val="24"/>
          <w:szCs w:val="24"/>
        </w:rPr>
        <w:t xml:space="preserve">. V daném roce bylo zasláno celkem </w:t>
      </w:r>
      <w:r>
        <w:rPr>
          <w:rFonts w:ascii="Times New Roman" w:hAnsi="Times New Roman"/>
          <w:b/>
          <w:sz w:val="24"/>
          <w:szCs w:val="24"/>
        </w:rPr>
        <w:t>230 000 oznámení o aktualizacích</w:t>
      </w:r>
      <w:r>
        <w:rPr>
          <w:rStyle w:val="FootnoteReference"/>
          <w:rFonts w:ascii="Times New Roman" w:hAnsi="Times New Roman" w:cs="Times New Roman"/>
          <w:noProof/>
          <w:sz w:val="24"/>
          <w:szCs w:val="24"/>
        </w:rPr>
        <w:footnoteReference w:id="15"/>
      </w:r>
      <w:r>
        <w:t>.</w:t>
      </w:r>
      <w:r>
        <w:rPr>
          <w:rFonts w:ascii="Times New Roman" w:hAnsi="Times New Roman"/>
          <w:sz w:val="24"/>
          <w:szCs w:val="24"/>
        </w:rPr>
        <w:t xml:space="preserve"> </w:t>
      </w:r>
      <w:r>
        <w:rPr>
          <w:rFonts w:ascii="Times New Roman" w:hAnsi="Times New Roman"/>
          <w:bCs/>
          <w:sz w:val="24"/>
          <w:szCs w:val="24"/>
        </w:rPr>
        <w:t xml:space="preserve">Stojí za to zdůraznit, že před rokem 2017 představovaly aktualizace pouze zhruba jednu čtvrtinu všech oznámení. </w:t>
      </w:r>
      <w:r>
        <w:rPr>
          <w:rFonts w:ascii="Times New Roman" w:hAnsi="Times New Roman"/>
          <w:sz w:val="24"/>
          <w:szCs w:val="24"/>
        </w:rPr>
        <w:t xml:space="preserve">Současný </w:t>
      </w:r>
      <w:r>
        <w:rPr>
          <w:rFonts w:ascii="Times New Roman" w:hAnsi="Times New Roman"/>
          <w:b/>
          <w:sz w:val="24"/>
          <w:szCs w:val="24"/>
        </w:rPr>
        <w:t xml:space="preserve">významný nárůst aktualizací </w:t>
      </w:r>
      <w:r>
        <w:rPr>
          <w:rFonts w:ascii="Times New Roman" w:hAnsi="Times New Roman"/>
          <w:sz w:val="24"/>
          <w:szCs w:val="24"/>
        </w:rPr>
        <w:t>u mnoha členských států by měl být považován za pozitivní známku, že se zvyšuje jejich povědomí o důležitosti sdělování následných změn v původních oznámeních.</w:t>
      </w:r>
      <w:r>
        <w:rPr>
          <w:rFonts w:ascii="Times New Roman" w:hAnsi="Times New Roman"/>
          <w:bCs/>
          <w:sz w:val="24"/>
          <w:szCs w:val="24"/>
        </w:rPr>
        <w:t xml:space="preserve"> </w:t>
      </w:r>
    </w:p>
    <w:p w14:paraId="7D5613E1" w14:textId="5A8872B4" w:rsidR="008D3CBA" w:rsidRDefault="00A81CAF">
      <w:pPr>
        <w:jc w:val="both"/>
        <w:rPr>
          <w:rFonts w:ascii="Times New Roman" w:hAnsi="Times New Roman" w:cs="Times New Roman"/>
          <w:noProof/>
          <w:sz w:val="24"/>
          <w:szCs w:val="24"/>
        </w:rPr>
      </w:pPr>
      <w:r>
        <w:rPr>
          <w:rFonts w:ascii="Times New Roman" w:hAnsi="Times New Roman"/>
          <w:b/>
          <w:sz w:val="24"/>
          <w:szCs w:val="24"/>
        </w:rPr>
        <w:t>Tento poměr mezi oznámeními o nových odsouzeních a o aktualizacích se v členských státech značně liší</w:t>
      </w:r>
      <w:r>
        <w:rPr>
          <w:rFonts w:ascii="Times New Roman" w:hAnsi="Times New Roman"/>
          <w:sz w:val="24"/>
          <w:szCs w:val="24"/>
        </w:rPr>
        <w:t>, od trojnásobného počtu aktualizací oproti oznámením (např. FR, PL) nebo dvojnásobného množství oproti oznámením (např. AT, CZ) přes téměř stejné množství obou těchto kategorií zpráv (např. ES, NL, IT, HU, FI, SK) až po velmi malý počet aktualizací v poměru ke všem oznámením (např. CY, DK, IE, RO). U DE, FR a ES, které zaslaly největší počet všech oznámení, aktualizace představovaly v případě DE zhruba 34 %, v případě FR 76 %a v případě ES 57 % všech oznámení zaslaných v roce 2019.</w:t>
      </w:r>
    </w:p>
    <w:p w14:paraId="7D5613E2" w14:textId="3D6B8EC2" w:rsidR="008D3CBA" w:rsidRDefault="00FF3468">
      <w:pPr>
        <w:jc w:val="both"/>
        <w:rPr>
          <w:rFonts w:ascii="Times New Roman" w:hAnsi="Times New Roman" w:cs="Times New Roman"/>
          <w:noProof/>
          <w:sz w:val="24"/>
          <w:szCs w:val="24"/>
        </w:rPr>
      </w:pPr>
      <w:r>
        <w:rPr>
          <w:rFonts w:ascii="Times New Roman" w:hAnsi="Times New Roman"/>
          <w:sz w:val="24"/>
          <w:szCs w:val="24"/>
        </w:rPr>
        <w:t xml:space="preserve">První statistická zpráva zjistila dva hlavní problémy: tj. i) mnoho členských států </w:t>
      </w:r>
      <w:r>
        <w:rPr>
          <w:rFonts w:ascii="Times New Roman" w:hAnsi="Times New Roman"/>
          <w:b/>
          <w:sz w:val="24"/>
          <w:szCs w:val="24"/>
        </w:rPr>
        <w:t>neposílá oznámení o nových odsouzeních vůbec nebo zasílá malé množství</w:t>
      </w:r>
      <w:r>
        <w:rPr>
          <w:rFonts w:ascii="Times New Roman" w:hAnsi="Times New Roman"/>
          <w:sz w:val="24"/>
          <w:szCs w:val="24"/>
        </w:rPr>
        <w:t xml:space="preserve"> a ii) mnoho členských států </w:t>
      </w:r>
      <w:r>
        <w:rPr>
          <w:rFonts w:ascii="Times New Roman" w:hAnsi="Times New Roman"/>
          <w:b/>
          <w:sz w:val="24"/>
          <w:szCs w:val="24"/>
        </w:rPr>
        <w:t>neposílá aktualizace</w:t>
      </w:r>
      <w:r>
        <w:rPr>
          <w:rFonts w:ascii="Times New Roman" w:hAnsi="Times New Roman"/>
          <w:sz w:val="24"/>
          <w:szCs w:val="24"/>
        </w:rPr>
        <w:t xml:space="preserve"> svých dříve zaslaných oznámení </w:t>
      </w:r>
      <w:r>
        <w:rPr>
          <w:rFonts w:ascii="Times New Roman" w:hAnsi="Times New Roman"/>
          <w:b/>
          <w:bCs/>
          <w:sz w:val="24"/>
          <w:szCs w:val="24"/>
        </w:rPr>
        <w:t>vůbec</w:t>
      </w:r>
      <w:r>
        <w:rPr>
          <w:rFonts w:ascii="Times New Roman" w:hAnsi="Times New Roman"/>
          <w:b/>
          <w:sz w:val="24"/>
          <w:szCs w:val="24"/>
        </w:rPr>
        <w:t xml:space="preserve"> nebo jich zasílá malé množství</w:t>
      </w:r>
      <w:r>
        <w:rPr>
          <w:rFonts w:ascii="Times New Roman" w:hAnsi="Times New Roman"/>
          <w:sz w:val="24"/>
          <w:szCs w:val="24"/>
        </w:rPr>
        <w:t>. Tyto dva problémy vyplývají také z podrobné analýzy statistických údajů za období 2017–2019. Tentokrát jsou však ještě výraznější, protože se týkají vyššího počtu členských států.</w:t>
      </w:r>
    </w:p>
    <w:p w14:paraId="7D5613E3" w14:textId="77777777" w:rsidR="008D3CBA" w:rsidRDefault="00A81CAF">
      <w:pPr>
        <w:jc w:val="both"/>
        <w:rPr>
          <w:rFonts w:ascii="Times New Roman" w:hAnsi="Times New Roman" w:cs="Times New Roman"/>
          <w:noProof/>
          <w:sz w:val="24"/>
          <w:szCs w:val="24"/>
        </w:rPr>
      </w:pPr>
      <w:r>
        <w:rPr>
          <w:rFonts w:ascii="Times New Roman" w:hAnsi="Times New Roman"/>
          <w:sz w:val="24"/>
          <w:szCs w:val="24"/>
        </w:rPr>
        <w:t xml:space="preserve">V prvé řadě mnoho členských </w:t>
      </w:r>
      <w:r>
        <w:rPr>
          <w:rFonts w:ascii="Times New Roman" w:hAnsi="Times New Roman"/>
          <w:b/>
          <w:sz w:val="24"/>
          <w:szCs w:val="24"/>
        </w:rPr>
        <w:t>neposílá oznámení o nových odsouzeních vůbec</w:t>
      </w:r>
      <w:r>
        <w:rPr>
          <w:rFonts w:ascii="Times New Roman" w:hAnsi="Times New Roman"/>
          <w:sz w:val="24"/>
          <w:szCs w:val="24"/>
        </w:rPr>
        <w:t xml:space="preserve"> (PT v roce 2019 a 2018, MT v roce 2019 a 2017, EE v roce 2018, EL v roce 2017) </w:t>
      </w:r>
      <w:r>
        <w:rPr>
          <w:rFonts w:ascii="Times New Roman" w:hAnsi="Times New Roman"/>
          <w:b/>
          <w:sz w:val="24"/>
          <w:szCs w:val="24"/>
        </w:rPr>
        <w:t>nebo posílá malý počet</w:t>
      </w:r>
      <w:r>
        <w:rPr>
          <w:rFonts w:ascii="Times New Roman" w:hAnsi="Times New Roman"/>
          <w:sz w:val="24"/>
          <w:szCs w:val="24"/>
        </w:rPr>
        <w:t xml:space="preserve"> těchto oznámení týkajících se státních příslušníků jiných členských států a počtu odsouzení (BG, EE, IE, LT, LU, NL a RO v roce 2019; BG, IE, LU, LT, RO, SI, SE, MT, EL a UK v roce 2018; BG, EE, IE, LT, LU, RO, SI, SE, PT a UK v roce 2017). </w:t>
      </w:r>
      <w:r>
        <w:rPr>
          <w:rFonts w:ascii="Times New Roman" w:hAnsi="Times New Roman"/>
          <w:b/>
          <w:sz w:val="24"/>
          <w:szCs w:val="24"/>
        </w:rPr>
        <w:t>Výsledkem bylo, že tato neoznámená odsouzení nebyla v členském státě, jehož je daná osoba státním příslušníkem, zaregistrována.</w:t>
      </w:r>
    </w:p>
    <w:p w14:paraId="7D5613E4" w14:textId="62508D1A" w:rsidR="008D3CBA" w:rsidRDefault="00A81CAF">
      <w:pPr>
        <w:jc w:val="both"/>
        <w:rPr>
          <w:rFonts w:ascii="Times New Roman" w:hAnsi="Times New Roman" w:cs="Times New Roman"/>
          <w:noProof/>
          <w:sz w:val="24"/>
          <w:szCs w:val="24"/>
        </w:rPr>
      </w:pPr>
      <w:r>
        <w:rPr>
          <w:rFonts w:ascii="Times New Roman" w:hAnsi="Times New Roman"/>
          <w:sz w:val="24"/>
          <w:szCs w:val="24"/>
        </w:rPr>
        <w:t xml:space="preserve">Dále řada členských států </w:t>
      </w:r>
      <w:r>
        <w:rPr>
          <w:rFonts w:ascii="Times New Roman" w:hAnsi="Times New Roman"/>
          <w:b/>
          <w:sz w:val="24"/>
          <w:szCs w:val="24"/>
        </w:rPr>
        <w:t>neposílá aktualizace</w:t>
      </w:r>
      <w:r>
        <w:rPr>
          <w:rFonts w:ascii="Times New Roman" w:hAnsi="Times New Roman"/>
          <w:sz w:val="24"/>
          <w:szCs w:val="24"/>
        </w:rPr>
        <w:t xml:space="preserve"> svých dříve zaslaných oznámení </w:t>
      </w:r>
      <w:r>
        <w:rPr>
          <w:rFonts w:ascii="Times New Roman" w:hAnsi="Times New Roman"/>
          <w:b/>
          <w:sz w:val="24"/>
          <w:szCs w:val="24"/>
        </w:rPr>
        <w:t xml:space="preserve">vůbec </w:t>
      </w:r>
      <w:r>
        <w:rPr>
          <w:rFonts w:ascii="Times New Roman" w:hAnsi="Times New Roman"/>
          <w:sz w:val="24"/>
          <w:szCs w:val="24"/>
        </w:rPr>
        <w:t xml:space="preserve">(BG, EE, EL, LV, LU, MT, PT a SI v roce 2019; BG, DK, EL, SI, PT, MT, LV, LU, IE a EE v roce 2018; DK, EE, EL, LV, LU a BG v roce 2017) nebo </w:t>
      </w:r>
      <w:r>
        <w:rPr>
          <w:rFonts w:ascii="Times New Roman" w:hAnsi="Times New Roman"/>
          <w:b/>
          <w:sz w:val="24"/>
          <w:szCs w:val="24"/>
        </w:rPr>
        <w:t>zasílá malé množství</w:t>
      </w:r>
      <w:r>
        <w:rPr>
          <w:rFonts w:ascii="Times New Roman" w:hAnsi="Times New Roman"/>
          <w:sz w:val="24"/>
          <w:szCs w:val="24"/>
        </w:rPr>
        <w:t xml:space="preserve"> těchto zpráv (IE, RO, CY v roce 2019; RO, CY v roce 2018; SI, RO, PT, MT, IE, HR, CY v roce 2017). Když členský stát, který rozsudek vydal, nezasílá aktualizace, </w:t>
      </w:r>
      <w:r>
        <w:rPr>
          <w:rFonts w:ascii="Times New Roman" w:hAnsi="Times New Roman"/>
          <w:b/>
          <w:sz w:val="24"/>
          <w:szCs w:val="24"/>
        </w:rPr>
        <w:t>pak členský stát, jehož je pachatel státním příslušníkem, zpracovává</w:t>
      </w:r>
      <w:r>
        <w:rPr>
          <w:rFonts w:ascii="Times New Roman" w:hAnsi="Times New Roman"/>
          <w:sz w:val="24"/>
          <w:szCs w:val="24"/>
        </w:rPr>
        <w:t xml:space="preserve"> a rozšiřuje </w:t>
      </w:r>
      <w:r>
        <w:rPr>
          <w:rFonts w:ascii="Times New Roman" w:hAnsi="Times New Roman"/>
          <w:b/>
          <w:sz w:val="24"/>
          <w:szCs w:val="24"/>
        </w:rPr>
        <w:t>zastaralé a nespolehlivé informace</w:t>
      </w:r>
      <w:r>
        <w:rPr>
          <w:rStyle w:val="FootnoteReference"/>
          <w:rFonts w:ascii="Times New Roman" w:hAnsi="Times New Roman" w:cs="Times New Roman"/>
          <w:noProof/>
          <w:sz w:val="24"/>
          <w:szCs w:val="24"/>
        </w:rPr>
        <w:footnoteReference w:id="16"/>
      </w:r>
      <w:r>
        <w:rPr>
          <w:rFonts w:ascii="Times New Roman" w:hAnsi="Times New Roman"/>
          <w:sz w:val="24"/>
          <w:szCs w:val="24"/>
        </w:rPr>
        <w:t>.</w:t>
      </w:r>
    </w:p>
    <w:bookmarkEnd w:id="18"/>
    <w:bookmarkEnd w:id="20"/>
    <w:p w14:paraId="7D5613E6" w14:textId="180BEC98" w:rsidR="00FF7A1E" w:rsidRDefault="00FF7A1E">
      <w:pPr>
        <w:spacing w:after="0"/>
        <w:rPr>
          <w:rFonts w:ascii="Times New Roman" w:hAnsi="Times New Roman" w:cs="Times New Roman"/>
          <w:b/>
          <w:noProof/>
          <w:sz w:val="24"/>
          <w:szCs w:val="24"/>
        </w:rPr>
      </w:pPr>
    </w:p>
    <w:p w14:paraId="7D5613E9" w14:textId="77777777" w:rsidR="008D3CBA" w:rsidRDefault="00FB606C">
      <w:pPr>
        <w:jc w:val="both"/>
        <w:rPr>
          <w:rFonts w:ascii="Times New Roman" w:hAnsi="Times New Roman" w:cs="Times New Roman"/>
          <w:b/>
          <w:noProof/>
          <w:sz w:val="24"/>
          <w:szCs w:val="24"/>
        </w:rPr>
      </w:pPr>
      <w:r>
        <w:rPr>
          <w:rFonts w:ascii="Times New Roman" w:hAnsi="Times New Roman"/>
          <w:b/>
          <w:sz w:val="24"/>
          <w:szCs w:val="24"/>
        </w:rPr>
        <w:t>2.5 Žádosti o informace</w:t>
      </w:r>
    </w:p>
    <w:p w14:paraId="7D5613EA" w14:textId="7DB95C97" w:rsidR="008D3CBA" w:rsidRDefault="00A81CAF">
      <w:pPr>
        <w:jc w:val="both"/>
        <w:rPr>
          <w:rFonts w:ascii="Times New Roman" w:hAnsi="Times New Roman" w:cs="Times New Roman"/>
          <w:noProof/>
          <w:sz w:val="24"/>
          <w:szCs w:val="24"/>
        </w:rPr>
      </w:pPr>
      <w:r>
        <w:rPr>
          <w:rFonts w:ascii="Times New Roman" w:hAnsi="Times New Roman"/>
          <w:sz w:val="24"/>
          <w:szCs w:val="24"/>
        </w:rPr>
        <w:t>Na následujícím grafu je porovnán počet žádostí o informace zaslaných v roce 2019 všemi propojenými členskými státy s počtem odpovědí obdržených na tyto žádosti</w:t>
      </w:r>
      <w:r>
        <w:rPr>
          <w:rStyle w:val="FootnoteReference"/>
          <w:rFonts w:ascii="Times New Roman" w:hAnsi="Times New Roman" w:cs="Times New Roman"/>
          <w:noProof/>
          <w:sz w:val="24"/>
          <w:szCs w:val="24"/>
        </w:rPr>
        <w:footnoteReference w:id="17"/>
      </w:r>
      <w:r>
        <w:rPr>
          <w:rFonts w:ascii="Times New Roman" w:hAnsi="Times New Roman"/>
          <w:sz w:val="24"/>
          <w:szCs w:val="24"/>
        </w:rPr>
        <w:t>.</w:t>
      </w:r>
    </w:p>
    <w:p w14:paraId="7D5613EB" w14:textId="0A482FE8" w:rsidR="008D3CBA" w:rsidRDefault="000B4A00">
      <w:pPr>
        <w:jc w:val="both"/>
        <w:rPr>
          <w:rFonts w:ascii="Times New Roman" w:hAnsi="Times New Roman" w:cs="Times New Roman"/>
          <w:noProof/>
          <w:sz w:val="24"/>
          <w:szCs w:val="24"/>
        </w:rPr>
      </w:pPr>
      <w:r w:rsidRPr="000B4A00">
        <w:rPr>
          <w:noProof/>
          <w:lang w:val="fr-BE" w:eastAsia="fr-BE"/>
        </w:rPr>
        <w:drawing>
          <wp:inline distT="0" distB="0" distL="0" distR="0" wp14:anchorId="2ED7C728" wp14:editId="7426C53E">
            <wp:extent cx="5879206" cy="3208831"/>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2987" cy="3210895"/>
                    </a:xfrm>
                    <a:prstGeom prst="rect">
                      <a:avLst/>
                    </a:prstGeom>
                    <a:noFill/>
                    <a:ln>
                      <a:noFill/>
                    </a:ln>
                  </pic:spPr>
                </pic:pic>
              </a:graphicData>
            </a:graphic>
          </wp:inline>
        </w:drawing>
      </w:r>
    </w:p>
    <w:p w14:paraId="7D5613EC" w14:textId="47721D9C" w:rsidR="00122A90" w:rsidRDefault="0032487B">
      <w:pPr>
        <w:jc w:val="both"/>
        <w:rPr>
          <w:rFonts w:ascii="Times New Roman" w:hAnsi="Times New Roman" w:cs="Times New Roman"/>
          <w:noProof/>
          <w:sz w:val="24"/>
          <w:szCs w:val="24"/>
        </w:rPr>
      </w:pPr>
      <w:bookmarkStart w:id="21" w:name="_Hlk481003611"/>
      <w:r>
        <w:rPr>
          <w:rFonts w:ascii="Times New Roman" w:hAnsi="Times New Roman"/>
          <w:sz w:val="24"/>
          <w:szCs w:val="24"/>
        </w:rPr>
        <w:t xml:space="preserve">Jak je uvedeno výše v oddíle 2.2, celkový </w:t>
      </w:r>
      <w:r>
        <w:rPr>
          <w:rFonts w:ascii="Times New Roman" w:hAnsi="Times New Roman"/>
          <w:b/>
          <w:sz w:val="24"/>
          <w:szCs w:val="24"/>
        </w:rPr>
        <w:t xml:space="preserve">počet žádostí o informace se od roku 2017 ztrojnásobil – </w:t>
      </w:r>
      <w:r>
        <w:rPr>
          <w:rFonts w:ascii="Times New Roman" w:hAnsi="Times New Roman"/>
          <w:sz w:val="24"/>
          <w:szCs w:val="24"/>
        </w:rPr>
        <w:t xml:space="preserve">a v roce 2019 dosáhl </w:t>
      </w:r>
      <w:r>
        <w:rPr>
          <w:rFonts w:ascii="Times New Roman" w:hAnsi="Times New Roman"/>
          <w:b/>
          <w:sz w:val="24"/>
          <w:szCs w:val="24"/>
        </w:rPr>
        <w:t>jednoho milionu</w:t>
      </w:r>
      <w:r>
        <w:rPr>
          <w:rFonts w:ascii="Times New Roman" w:hAnsi="Times New Roman"/>
          <w:sz w:val="24"/>
          <w:szCs w:val="24"/>
        </w:rPr>
        <w:t xml:space="preserve">. </w:t>
      </w:r>
    </w:p>
    <w:p w14:paraId="7D5613ED" w14:textId="7FE6CC6C" w:rsidR="008D3CBA" w:rsidRDefault="00B700E6">
      <w:pPr>
        <w:jc w:val="both"/>
        <w:rPr>
          <w:rFonts w:ascii="Times New Roman" w:hAnsi="Times New Roman" w:cs="Times New Roman"/>
          <w:noProof/>
          <w:sz w:val="24"/>
          <w:szCs w:val="24"/>
        </w:rPr>
      </w:pPr>
      <w:r>
        <w:rPr>
          <w:rFonts w:ascii="Times New Roman" w:hAnsi="Times New Roman"/>
          <w:b/>
          <w:sz w:val="24"/>
          <w:szCs w:val="24"/>
        </w:rPr>
        <w:t>Počet zasílaných žádostí o informace se v členských státech značně liší</w:t>
      </w:r>
      <w:r>
        <w:rPr>
          <w:rFonts w:ascii="Times New Roman" w:hAnsi="Times New Roman"/>
          <w:sz w:val="24"/>
          <w:szCs w:val="24"/>
        </w:rPr>
        <w:t>, od 745 000 (DE) po šest oznámení (EL) za rok. Nárůst celkového počtu žádostí je způsoben hlavně DE, které zvýšilo počet žádostí více než pětkrát. ES, LT, NL a PL zdvojnásobily své počty. Při analýze rozdílů mezi počty žádostí členských států je hlavním faktorem, který je třeba zohlednit, počet státních příslušníků jiných členských států, kteří v daném členském státě pobývají.</w:t>
      </w:r>
    </w:p>
    <w:p w14:paraId="7D5613EE" w14:textId="614E2872" w:rsidR="008D3CBA" w:rsidRDefault="00936293">
      <w:pPr>
        <w:jc w:val="both"/>
        <w:rPr>
          <w:rFonts w:ascii="Times New Roman" w:hAnsi="Times New Roman" w:cs="Times New Roman"/>
          <w:noProof/>
          <w:sz w:val="24"/>
          <w:szCs w:val="24"/>
        </w:rPr>
      </w:pPr>
      <w:r>
        <w:rPr>
          <w:rFonts w:ascii="Times New Roman" w:hAnsi="Times New Roman"/>
          <w:sz w:val="24"/>
          <w:szCs w:val="24"/>
        </w:rPr>
        <w:t xml:space="preserve">Podobně jako v předchozích letech patřily z hlediska </w:t>
      </w:r>
      <w:r>
        <w:rPr>
          <w:rFonts w:ascii="Times New Roman" w:hAnsi="Times New Roman"/>
          <w:b/>
          <w:sz w:val="24"/>
          <w:szCs w:val="24"/>
        </w:rPr>
        <w:t>zasílaných žádostí</w:t>
      </w:r>
      <w:r>
        <w:rPr>
          <w:rFonts w:ascii="Times New Roman" w:hAnsi="Times New Roman"/>
          <w:sz w:val="24"/>
          <w:szCs w:val="24"/>
        </w:rPr>
        <w:t xml:space="preserve"> mezi </w:t>
      </w:r>
      <w:r>
        <w:rPr>
          <w:rFonts w:ascii="Times New Roman" w:hAnsi="Times New Roman"/>
          <w:b/>
          <w:sz w:val="24"/>
          <w:szCs w:val="24"/>
        </w:rPr>
        <w:t>nejaktivnější</w:t>
      </w:r>
      <w:r>
        <w:rPr>
          <w:rFonts w:ascii="Times New Roman" w:hAnsi="Times New Roman"/>
          <w:sz w:val="24"/>
          <w:szCs w:val="24"/>
        </w:rPr>
        <w:t xml:space="preserve"> tyto členské státy:</w:t>
      </w:r>
    </w:p>
    <w:p w14:paraId="7D5613EF" w14:textId="5E3A28DB" w:rsidR="00CF739F" w:rsidRDefault="00914176" w:rsidP="00A12647">
      <w:pPr>
        <w:jc w:val="center"/>
        <w:rPr>
          <w:rFonts w:ascii="Times New Roman" w:hAnsi="Times New Roman" w:cs="Times New Roman"/>
          <w:noProof/>
          <w:sz w:val="24"/>
          <w:szCs w:val="24"/>
        </w:rPr>
      </w:pPr>
      <w:r w:rsidRPr="00914176">
        <w:rPr>
          <w:noProof/>
          <w:lang w:val="fr-BE" w:eastAsia="fr-BE"/>
        </w:rPr>
        <w:drawing>
          <wp:inline distT="0" distB="0" distL="0" distR="0" wp14:anchorId="3915D408" wp14:editId="673B11DA">
            <wp:extent cx="3967480" cy="15906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a:extLst>
                        <a:ext uri="{28A0092B-C50C-407E-A947-70E740481C1C}">
                          <a14:useLocalDpi xmlns:a14="http://schemas.microsoft.com/office/drawing/2010/main" val="0"/>
                        </a:ext>
                      </a:extLst>
                    </a:blip>
                    <a:srcRect r="60145" b="10201"/>
                    <a:stretch/>
                  </pic:blipFill>
                  <pic:spPr bwMode="auto">
                    <a:xfrm>
                      <a:off x="0" y="0"/>
                      <a:ext cx="3985219" cy="1597787"/>
                    </a:xfrm>
                    <a:prstGeom prst="rect">
                      <a:avLst/>
                    </a:prstGeom>
                    <a:noFill/>
                    <a:ln>
                      <a:noFill/>
                    </a:ln>
                    <a:extLst>
                      <a:ext uri="{53640926-AAD7-44D8-BBD7-CCE9431645EC}">
                        <a14:shadowObscured xmlns:a14="http://schemas.microsoft.com/office/drawing/2010/main"/>
                      </a:ext>
                    </a:extLst>
                  </pic:spPr>
                </pic:pic>
              </a:graphicData>
            </a:graphic>
          </wp:inline>
        </w:drawing>
      </w:r>
    </w:p>
    <w:p w14:paraId="7D5613F0" w14:textId="77777777" w:rsidR="00AB42D3" w:rsidRDefault="00AB42D3" w:rsidP="00A12647">
      <w:pPr>
        <w:jc w:val="center"/>
        <w:rPr>
          <w:rFonts w:ascii="Times New Roman" w:hAnsi="Times New Roman" w:cs="Times New Roman"/>
          <w:noProof/>
          <w:sz w:val="24"/>
          <w:szCs w:val="24"/>
        </w:rPr>
      </w:pPr>
    </w:p>
    <w:p w14:paraId="7D5613F1" w14:textId="65A9B2CC" w:rsidR="008D3CBA" w:rsidRDefault="008052FE">
      <w:pPr>
        <w:jc w:val="both"/>
        <w:rPr>
          <w:rFonts w:ascii="Times New Roman" w:hAnsi="Times New Roman" w:cs="Times New Roman"/>
          <w:noProof/>
          <w:sz w:val="24"/>
          <w:szCs w:val="24"/>
        </w:rPr>
      </w:pPr>
      <w:r>
        <w:rPr>
          <w:rFonts w:ascii="Times New Roman" w:hAnsi="Times New Roman"/>
          <w:sz w:val="24"/>
          <w:szCs w:val="24"/>
        </w:rPr>
        <w:t xml:space="preserve">Navzdory značnému nárůstu počtu žádostí obecně stále přetrvává problém, již zaznamenaný v první statistické zprávě, že některé členské státy ve vztahu ke státním příslušníkům jiných členských států </w:t>
      </w:r>
      <w:r>
        <w:rPr>
          <w:rFonts w:ascii="Times New Roman" w:hAnsi="Times New Roman"/>
          <w:b/>
          <w:sz w:val="24"/>
          <w:szCs w:val="24"/>
        </w:rPr>
        <w:t>nezasílaly téměř žádné žádosti</w:t>
      </w:r>
      <w:r>
        <w:rPr>
          <w:rFonts w:ascii="Times New Roman" w:hAnsi="Times New Roman"/>
          <w:sz w:val="24"/>
          <w:szCs w:val="24"/>
        </w:rPr>
        <w:t xml:space="preserve"> (EL, CY, MT) nebo </w:t>
      </w:r>
      <w:r>
        <w:rPr>
          <w:rFonts w:ascii="Times New Roman" w:hAnsi="Times New Roman"/>
          <w:b/>
          <w:sz w:val="24"/>
          <w:szCs w:val="24"/>
        </w:rPr>
        <w:t>zasílaly malý počet žádostí</w:t>
      </w:r>
      <w:r>
        <w:rPr>
          <w:rFonts w:ascii="Times New Roman" w:hAnsi="Times New Roman"/>
          <w:sz w:val="24"/>
          <w:szCs w:val="24"/>
        </w:rPr>
        <w:t xml:space="preserve"> (BG, EE, HU, IT, LV, RO a SI v letech 2017–2019). Může to vést ke stavu, kdy by mohly trestní soudy vydávat rozsudky bez znalosti minulých odsouzení v jiných členských státech, což je v rozporu s požadavky stanovenými v rámcovém rozhodnutí 2008/675/SVV. Kromě toho se tím snižuje preventivní účinek vyžadování výpisů z rejstříků trestů pro účely jiné než trestní řízení, jako je např. zaměstnání.</w:t>
      </w:r>
    </w:p>
    <w:p w14:paraId="7D5613F2" w14:textId="77777777" w:rsidR="008D3CBA" w:rsidRPr="00D4558D" w:rsidRDefault="00A81CAF">
      <w:pPr>
        <w:jc w:val="both"/>
        <w:rPr>
          <w:rFonts w:ascii="Times New Roman" w:hAnsi="Times New Roman" w:cs="Times New Roman"/>
          <w:noProof/>
          <w:sz w:val="24"/>
          <w:szCs w:val="24"/>
        </w:rPr>
      </w:pPr>
      <w:r>
        <w:rPr>
          <w:rFonts w:ascii="Times New Roman" w:hAnsi="Times New Roman"/>
          <w:sz w:val="24"/>
          <w:szCs w:val="24"/>
        </w:rPr>
        <w:t xml:space="preserve">Z výše uvedených údajů lze také dospět k závěru, že </w:t>
      </w:r>
      <w:r>
        <w:rPr>
          <w:rFonts w:ascii="Times New Roman" w:hAnsi="Times New Roman"/>
          <w:b/>
          <w:sz w:val="24"/>
          <w:szCs w:val="24"/>
        </w:rPr>
        <w:t>ne všechny žádosti o informace jsou zodpovězeny</w:t>
      </w:r>
      <w:r>
        <w:rPr>
          <w:rFonts w:ascii="Times New Roman" w:hAnsi="Times New Roman"/>
          <w:sz w:val="24"/>
          <w:szCs w:val="24"/>
        </w:rPr>
        <w:t xml:space="preserve"> </w:t>
      </w:r>
      <w:r>
        <w:rPr>
          <w:rFonts w:ascii="Times New Roman" w:hAnsi="Times New Roman"/>
          <w:bCs/>
          <w:sz w:val="24"/>
          <w:szCs w:val="24"/>
        </w:rPr>
        <w:t xml:space="preserve">(viz rovněž oddíl 2.6). </w:t>
      </w:r>
      <w:r>
        <w:rPr>
          <w:rFonts w:ascii="Times New Roman" w:hAnsi="Times New Roman"/>
          <w:sz w:val="24"/>
          <w:szCs w:val="24"/>
        </w:rPr>
        <w:t>V případě členských států, které jsou v zasílání žádostí nejaktivnější, nebylo v roce 2019 nikdy zodpovězeno 5,6 % žádostí DE (41 662) a 2,5 % žádostí AT (945), zatímco v UK a CZ počet odpovědí obdržených tento rok překročil počet jejich žádostí.</w:t>
      </w:r>
    </w:p>
    <w:bookmarkEnd w:id="21"/>
    <w:p w14:paraId="7D5613F3" w14:textId="77777777" w:rsidR="00AB42D3" w:rsidRDefault="00AB42D3">
      <w:pPr>
        <w:jc w:val="both"/>
        <w:rPr>
          <w:rFonts w:ascii="Times New Roman" w:hAnsi="Times New Roman" w:cs="Times New Roman"/>
          <w:b/>
          <w:noProof/>
          <w:sz w:val="24"/>
          <w:szCs w:val="24"/>
        </w:rPr>
      </w:pPr>
    </w:p>
    <w:p w14:paraId="7D5613F4" w14:textId="77777777" w:rsidR="008D3CBA" w:rsidRDefault="00FB606C">
      <w:pPr>
        <w:jc w:val="both"/>
        <w:rPr>
          <w:rFonts w:ascii="Times New Roman" w:hAnsi="Times New Roman" w:cs="Times New Roman"/>
          <w:b/>
          <w:noProof/>
          <w:sz w:val="24"/>
          <w:szCs w:val="24"/>
        </w:rPr>
      </w:pPr>
      <w:r>
        <w:rPr>
          <w:rFonts w:ascii="Times New Roman" w:hAnsi="Times New Roman"/>
          <w:b/>
          <w:sz w:val="24"/>
          <w:szCs w:val="24"/>
        </w:rPr>
        <w:t>2.6 Odpovědi na žádosti</w:t>
      </w:r>
    </w:p>
    <w:p w14:paraId="7D5613F5" w14:textId="5AE4ED8D" w:rsidR="008D3CBA" w:rsidRDefault="00A81CAF">
      <w:pPr>
        <w:jc w:val="both"/>
        <w:rPr>
          <w:rFonts w:ascii="Times New Roman" w:hAnsi="Times New Roman" w:cs="Times New Roman"/>
          <w:noProof/>
          <w:sz w:val="24"/>
          <w:szCs w:val="24"/>
        </w:rPr>
      </w:pPr>
      <w:r>
        <w:rPr>
          <w:rFonts w:ascii="Times New Roman" w:hAnsi="Times New Roman"/>
          <w:sz w:val="24"/>
          <w:szCs w:val="24"/>
        </w:rPr>
        <w:t>Na následujícím grafu je znázorněn počet odpovědí zaslaných v roce 2019 všemi propojenými členskými státy v porovnání s počtem odpovídajících žádostí o informace, které tyto členské státy obdržely</w:t>
      </w:r>
      <w:r>
        <w:rPr>
          <w:rStyle w:val="FootnoteReference"/>
          <w:rFonts w:ascii="Times New Roman" w:hAnsi="Times New Roman" w:cs="Times New Roman"/>
          <w:noProof/>
          <w:sz w:val="24"/>
          <w:szCs w:val="24"/>
        </w:rPr>
        <w:footnoteReference w:id="18"/>
      </w:r>
      <w:r>
        <w:rPr>
          <w:rFonts w:ascii="Times New Roman" w:hAnsi="Times New Roman"/>
          <w:sz w:val="24"/>
          <w:szCs w:val="24"/>
        </w:rPr>
        <w:t xml:space="preserve">. </w:t>
      </w:r>
    </w:p>
    <w:p w14:paraId="7D5613F6" w14:textId="310F9052" w:rsidR="008D3CBA" w:rsidRDefault="00914176" w:rsidP="00277B5A">
      <w:pPr>
        <w:jc w:val="both"/>
        <w:rPr>
          <w:rFonts w:ascii="Times New Roman" w:hAnsi="Times New Roman" w:cs="Times New Roman"/>
          <w:noProof/>
          <w:sz w:val="24"/>
          <w:szCs w:val="24"/>
        </w:rPr>
      </w:pPr>
      <w:r w:rsidRPr="00914176">
        <w:rPr>
          <w:noProof/>
          <w:lang w:val="fr-BE" w:eastAsia="fr-BE"/>
        </w:rPr>
        <w:drawing>
          <wp:inline distT="0" distB="0" distL="0" distR="0" wp14:anchorId="34F0D792" wp14:editId="69372FD3">
            <wp:extent cx="5760085" cy="369810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3698109"/>
                    </a:xfrm>
                    <a:prstGeom prst="rect">
                      <a:avLst/>
                    </a:prstGeom>
                    <a:noFill/>
                    <a:ln>
                      <a:noFill/>
                    </a:ln>
                  </pic:spPr>
                </pic:pic>
              </a:graphicData>
            </a:graphic>
          </wp:inline>
        </w:drawing>
      </w:r>
    </w:p>
    <w:p w14:paraId="7D5613F7" w14:textId="77777777" w:rsidR="008D3CBA" w:rsidRDefault="00A81CAF">
      <w:pPr>
        <w:jc w:val="both"/>
        <w:rPr>
          <w:rFonts w:ascii="Times New Roman" w:hAnsi="Times New Roman" w:cs="Times New Roman"/>
          <w:noProof/>
          <w:sz w:val="24"/>
          <w:szCs w:val="24"/>
        </w:rPr>
      </w:pPr>
      <w:bookmarkStart w:id="22" w:name="_Hlk481164813"/>
      <w:r>
        <w:rPr>
          <w:rFonts w:ascii="Times New Roman" w:hAnsi="Times New Roman"/>
          <w:b/>
          <w:sz w:val="24"/>
          <w:szCs w:val="24"/>
        </w:rPr>
        <w:t xml:space="preserve">Počet obdržených žádostí a zaslaných odpovědí </w:t>
      </w:r>
      <w:r>
        <w:rPr>
          <w:rFonts w:ascii="Times New Roman" w:hAnsi="Times New Roman"/>
          <w:sz w:val="24"/>
          <w:szCs w:val="24"/>
        </w:rPr>
        <w:t>na ně</w:t>
      </w:r>
      <w:r>
        <w:rPr>
          <w:rFonts w:ascii="Times New Roman" w:hAnsi="Times New Roman"/>
          <w:b/>
          <w:sz w:val="24"/>
          <w:szCs w:val="24"/>
        </w:rPr>
        <w:t xml:space="preserve"> se v členských státech značně liší</w:t>
      </w:r>
      <w:r>
        <w:rPr>
          <w:rFonts w:ascii="Times New Roman" w:hAnsi="Times New Roman"/>
          <w:sz w:val="24"/>
          <w:szCs w:val="24"/>
        </w:rPr>
        <w:t>, od 179 000 (PL) po 646 žádostí (MT) za rok. Při analýze těchto rozdílů je třeba vzít v úvahu zejména dva faktory: celkový počet obyvatel členského státu a počet jeho státních příslušníků pobývajících v jiných členských státech.</w:t>
      </w:r>
    </w:p>
    <w:p w14:paraId="7D5613F8" w14:textId="77777777" w:rsidR="008D3CBA" w:rsidRDefault="00A81CAF">
      <w:pPr>
        <w:jc w:val="both"/>
        <w:rPr>
          <w:rFonts w:ascii="Times New Roman" w:hAnsi="Times New Roman" w:cs="Times New Roman"/>
          <w:noProof/>
          <w:sz w:val="24"/>
          <w:szCs w:val="24"/>
        </w:rPr>
      </w:pPr>
      <w:r>
        <w:rPr>
          <w:rFonts w:ascii="Times New Roman" w:hAnsi="Times New Roman"/>
          <w:b/>
          <w:sz w:val="24"/>
          <w:szCs w:val="24"/>
        </w:rPr>
        <w:t xml:space="preserve">Na největší počet žádostí </w:t>
      </w:r>
      <w:r>
        <w:rPr>
          <w:rFonts w:ascii="Times New Roman" w:hAnsi="Times New Roman"/>
          <w:sz w:val="24"/>
          <w:szCs w:val="24"/>
        </w:rPr>
        <w:t xml:space="preserve">v absolutních číslech (nikoli nezbytně v největším poměru k tomu, co obdržely) </w:t>
      </w:r>
      <w:r>
        <w:rPr>
          <w:rFonts w:ascii="Times New Roman" w:hAnsi="Times New Roman"/>
          <w:b/>
          <w:sz w:val="24"/>
          <w:szCs w:val="24"/>
        </w:rPr>
        <w:t>reagovaly</w:t>
      </w:r>
      <w:r>
        <w:rPr>
          <w:rFonts w:ascii="Times New Roman" w:hAnsi="Times New Roman"/>
          <w:sz w:val="24"/>
          <w:szCs w:val="24"/>
        </w:rPr>
        <w:t xml:space="preserve"> následující členské státy:</w:t>
      </w:r>
    </w:p>
    <w:p w14:paraId="7D5613F9" w14:textId="193E215E" w:rsidR="00D4558D" w:rsidRDefault="00914176" w:rsidP="00BE3C9A">
      <w:pPr>
        <w:jc w:val="center"/>
        <w:rPr>
          <w:rFonts w:ascii="Times New Roman" w:hAnsi="Times New Roman" w:cs="Times New Roman"/>
          <w:noProof/>
          <w:sz w:val="24"/>
          <w:szCs w:val="24"/>
        </w:rPr>
      </w:pPr>
      <w:r w:rsidRPr="00914176">
        <w:rPr>
          <w:noProof/>
          <w:lang w:val="fr-BE" w:eastAsia="fr-BE"/>
        </w:rPr>
        <w:drawing>
          <wp:inline distT="0" distB="0" distL="0" distR="0" wp14:anchorId="325F1285" wp14:editId="02E3E2BD">
            <wp:extent cx="3989581" cy="17811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a:extLst>
                        <a:ext uri="{28A0092B-C50C-407E-A947-70E740481C1C}">
                          <a14:useLocalDpi xmlns:a14="http://schemas.microsoft.com/office/drawing/2010/main" val="0"/>
                        </a:ext>
                      </a:extLst>
                    </a:blip>
                    <a:srcRect r="57975"/>
                    <a:stretch/>
                  </pic:blipFill>
                  <pic:spPr bwMode="auto">
                    <a:xfrm>
                      <a:off x="0" y="0"/>
                      <a:ext cx="3995372" cy="1783760"/>
                    </a:xfrm>
                    <a:prstGeom prst="rect">
                      <a:avLst/>
                    </a:prstGeom>
                    <a:noFill/>
                    <a:ln>
                      <a:noFill/>
                    </a:ln>
                    <a:extLst>
                      <a:ext uri="{53640926-AAD7-44D8-BBD7-CCE9431645EC}">
                        <a14:shadowObscured xmlns:a14="http://schemas.microsoft.com/office/drawing/2010/main"/>
                      </a:ext>
                    </a:extLst>
                  </pic:spPr>
                </pic:pic>
              </a:graphicData>
            </a:graphic>
          </wp:inline>
        </w:drawing>
      </w:r>
    </w:p>
    <w:p w14:paraId="7D5613FA" w14:textId="77777777" w:rsidR="00AB42D3" w:rsidRDefault="00AB42D3">
      <w:pPr>
        <w:jc w:val="both"/>
        <w:rPr>
          <w:rFonts w:ascii="Times New Roman" w:hAnsi="Times New Roman" w:cs="Times New Roman"/>
          <w:noProof/>
          <w:sz w:val="24"/>
          <w:szCs w:val="24"/>
        </w:rPr>
      </w:pPr>
    </w:p>
    <w:p w14:paraId="7D5613FB" w14:textId="18AC6A84" w:rsidR="008D3CBA" w:rsidRPr="004631A3" w:rsidRDefault="00A81CAF">
      <w:pPr>
        <w:jc w:val="both"/>
        <w:rPr>
          <w:rFonts w:ascii="Times New Roman" w:hAnsi="Times New Roman" w:cs="Times New Roman"/>
          <w:bCs/>
          <w:noProof/>
          <w:sz w:val="24"/>
          <w:szCs w:val="24"/>
        </w:rPr>
      </w:pPr>
      <w:r>
        <w:rPr>
          <w:rFonts w:ascii="Times New Roman" w:hAnsi="Times New Roman"/>
          <w:sz w:val="24"/>
          <w:szCs w:val="24"/>
        </w:rPr>
        <w:t>Všechny členské státy obecně na žádosti</w:t>
      </w:r>
      <w:r>
        <w:rPr>
          <w:rFonts w:ascii="Times New Roman" w:hAnsi="Times New Roman"/>
          <w:b/>
          <w:sz w:val="24"/>
          <w:szCs w:val="24"/>
        </w:rPr>
        <w:t xml:space="preserve"> </w:t>
      </w:r>
      <w:r>
        <w:rPr>
          <w:rFonts w:ascii="Times New Roman" w:hAnsi="Times New Roman"/>
          <w:sz w:val="24"/>
          <w:szCs w:val="24"/>
        </w:rPr>
        <w:t xml:space="preserve">reagují, v roce 2019 však stále zůstalo </w:t>
      </w:r>
      <w:r>
        <w:rPr>
          <w:rFonts w:ascii="Times New Roman" w:hAnsi="Times New Roman"/>
          <w:b/>
          <w:sz w:val="24"/>
          <w:szCs w:val="24"/>
        </w:rPr>
        <w:t xml:space="preserve">nezodpovězených </w:t>
      </w:r>
      <w:r>
        <w:rPr>
          <w:rFonts w:ascii="Times New Roman" w:hAnsi="Times New Roman"/>
          <w:b/>
          <w:bCs/>
          <w:sz w:val="24"/>
          <w:szCs w:val="24"/>
        </w:rPr>
        <w:t>více než 42 000</w:t>
      </w:r>
      <w:r>
        <w:rPr>
          <w:rFonts w:ascii="Times New Roman" w:hAnsi="Times New Roman"/>
          <w:b/>
          <w:sz w:val="24"/>
          <w:szCs w:val="24"/>
        </w:rPr>
        <w:t xml:space="preserve"> žádostí o informace</w:t>
      </w:r>
      <w:r>
        <w:rPr>
          <w:rFonts w:ascii="Times New Roman" w:hAnsi="Times New Roman"/>
          <w:sz w:val="24"/>
          <w:szCs w:val="24"/>
        </w:rPr>
        <w:t xml:space="preserve">. Ve většině případů byl počet obdržených odpovědí o něco nižší než počet obdržených žádostí o informace, přičemž průměr činil </w:t>
      </w:r>
      <w:r>
        <w:rPr>
          <w:rFonts w:ascii="Times New Roman" w:hAnsi="Times New Roman"/>
          <w:b/>
          <w:sz w:val="24"/>
          <w:szCs w:val="24"/>
        </w:rPr>
        <w:t>přibližně 4,1 %</w:t>
      </w:r>
      <w:r>
        <w:rPr>
          <w:rFonts w:ascii="Times New Roman" w:hAnsi="Times New Roman"/>
          <w:sz w:val="24"/>
          <w:szCs w:val="24"/>
        </w:rPr>
        <w:t xml:space="preserve"> </w:t>
      </w:r>
      <w:r>
        <w:rPr>
          <w:rFonts w:ascii="Times New Roman" w:hAnsi="Times New Roman"/>
          <w:b/>
          <w:sz w:val="24"/>
          <w:szCs w:val="24"/>
        </w:rPr>
        <w:t>v porovnání s 3,6 % v roce 2016</w:t>
      </w:r>
      <w:r>
        <w:rPr>
          <w:rFonts w:ascii="Times New Roman" w:hAnsi="Times New Roman"/>
          <w:sz w:val="24"/>
          <w:szCs w:val="24"/>
        </w:rPr>
        <w:t>.</w:t>
      </w:r>
    </w:p>
    <w:p w14:paraId="7D5613FC" w14:textId="77777777" w:rsidR="008D3CBA" w:rsidRDefault="00316A30">
      <w:pPr>
        <w:jc w:val="both"/>
        <w:rPr>
          <w:rFonts w:ascii="Times New Roman" w:hAnsi="Times New Roman" w:cs="Times New Roman"/>
          <w:noProof/>
          <w:sz w:val="24"/>
          <w:szCs w:val="24"/>
        </w:rPr>
      </w:pPr>
      <w:r>
        <w:rPr>
          <w:rFonts w:ascii="Times New Roman" w:hAnsi="Times New Roman"/>
          <w:sz w:val="24"/>
          <w:szCs w:val="24"/>
        </w:rPr>
        <w:t xml:space="preserve">V případě členských států, které obdržely v roce 2019 největší počet žádostí, BG neodpovědělo na 53 % žádostí, které obdržela (30 975), EL na 38 % (19 564), IT na 8,9 % (9 720) a RO na 1,3 % (2 347). U PL a HR byl počet odpovědí zaslaných v roce 2019 ve skutečnosti vyšší než počet přijatých žádostí, což mohlo být způsobeno odesíláním nevyřízených odpovědí z předchozího roku. </w:t>
      </w:r>
      <w:bookmarkStart w:id="23" w:name="_Hlk481154445"/>
    </w:p>
    <w:p w14:paraId="7D5613FD" w14:textId="5B768BFD" w:rsidR="008D3CBA" w:rsidRDefault="00A81CAF">
      <w:pPr>
        <w:jc w:val="both"/>
        <w:rPr>
          <w:rFonts w:ascii="Times New Roman" w:hAnsi="Times New Roman" w:cs="Times New Roman"/>
          <w:noProof/>
          <w:sz w:val="24"/>
          <w:szCs w:val="24"/>
        </w:rPr>
      </w:pPr>
      <w:bookmarkStart w:id="24" w:name="_Hlk481154348"/>
      <w:r>
        <w:rPr>
          <w:rFonts w:ascii="Times New Roman" w:hAnsi="Times New Roman"/>
          <w:sz w:val="24"/>
          <w:szCs w:val="24"/>
        </w:rPr>
        <w:t xml:space="preserve">V roce 2019 </w:t>
      </w:r>
      <w:r>
        <w:rPr>
          <w:rFonts w:ascii="Times New Roman" w:hAnsi="Times New Roman"/>
          <w:b/>
          <w:bCs/>
          <w:sz w:val="24"/>
          <w:szCs w:val="24"/>
        </w:rPr>
        <w:t>patřily mezi členské státy s největším procentem žádostí, na které neodpověděly</w:t>
      </w:r>
      <w:r>
        <w:rPr>
          <w:rFonts w:ascii="Times New Roman" w:hAnsi="Times New Roman"/>
          <w:sz w:val="24"/>
          <w:szCs w:val="24"/>
        </w:rPr>
        <w:t xml:space="preserve">: MT (82 % žádostí, které obdržela), CY (65 %), BG (53 %) a EL (38 %). Podrobná analýza statistik jednotlivých členských států viz pracovní dokument útvarů Komise, oddíl 3. </w:t>
      </w:r>
    </w:p>
    <w:p w14:paraId="7D5613FE" w14:textId="77777777" w:rsidR="00C460FC" w:rsidRDefault="00C460FC">
      <w:pPr>
        <w:jc w:val="both"/>
        <w:rPr>
          <w:rFonts w:ascii="Times New Roman" w:hAnsi="Times New Roman" w:cs="Times New Roman"/>
          <w:noProof/>
          <w:sz w:val="24"/>
          <w:szCs w:val="24"/>
        </w:rPr>
      </w:pPr>
      <w:r>
        <w:rPr>
          <w:rFonts w:ascii="Times New Roman" w:hAnsi="Times New Roman"/>
          <w:sz w:val="24"/>
          <w:szCs w:val="24"/>
        </w:rPr>
        <w:t>Důsledky porušení povinnosti reagovat na žádosti o informace mohou být závažné, jak bylo uvedeno v předchozích bodech.</w:t>
      </w:r>
    </w:p>
    <w:bookmarkEnd w:id="22"/>
    <w:bookmarkEnd w:id="23"/>
    <w:bookmarkEnd w:id="24"/>
    <w:p w14:paraId="7D5613FF" w14:textId="77777777" w:rsidR="00AB42D3" w:rsidRPr="00FF7A1E" w:rsidRDefault="00AB42D3">
      <w:pPr>
        <w:jc w:val="both"/>
        <w:rPr>
          <w:rFonts w:ascii="Times New Roman" w:hAnsi="Times New Roman" w:cs="Times New Roman"/>
          <w:noProof/>
          <w:sz w:val="24"/>
          <w:szCs w:val="24"/>
        </w:rPr>
      </w:pPr>
    </w:p>
    <w:p w14:paraId="7D561400" w14:textId="77777777" w:rsidR="008D3CBA" w:rsidRDefault="00FB606C">
      <w:pPr>
        <w:jc w:val="both"/>
        <w:rPr>
          <w:rFonts w:ascii="Times New Roman" w:hAnsi="Times New Roman" w:cs="Times New Roman"/>
          <w:b/>
          <w:noProof/>
          <w:sz w:val="24"/>
          <w:szCs w:val="24"/>
        </w:rPr>
      </w:pPr>
      <w:r>
        <w:rPr>
          <w:rFonts w:ascii="Times New Roman" w:hAnsi="Times New Roman"/>
          <w:b/>
          <w:sz w:val="24"/>
          <w:szCs w:val="24"/>
        </w:rPr>
        <w:t>2.7 Odpovědi nesplňující zákonné lhůty</w:t>
      </w:r>
    </w:p>
    <w:p w14:paraId="7D561401" w14:textId="760D0D27" w:rsidR="005742C6" w:rsidRDefault="00A81CAF" w:rsidP="005742C6">
      <w:pPr>
        <w:jc w:val="both"/>
        <w:rPr>
          <w:rFonts w:ascii="Times New Roman" w:hAnsi="Times New Roman" w:cs="Times New Roman"/>
          <w:noProof/>
          <w:sz w:val="24"/>
          <w:szCs w:val="24"/>
        </w:rPr>
      </w:pPr>
      <w:r>
        <w:rPr>
          <w:rFonts w:ascii="Times New Roman" w:hAnsi="Times New Roman"/>
          <w:sz w:val="24"/>
          <w:szCs w:val="24"/>
        </w:rPr>
        <w:t>Dalším problémem je, že některé žádosti nejsou zodpovězeny v zákonných lhůtách</w:t>
      </w:r>
      <w:r>
        <w:rPr>
          <w:rStyle w:val="FootnoteReference"/>
          <w:rFonts w:ascii="Times New Roman" w:hAnsi="Times New Roman" w:cs="Times New Roman"/>
          <w:noProof/>
          <w:sz w:val="24"/>
          <w:szCs w:val="24"/>
        </w:rPr>
        <w:footnoteReference w:id="19"/>
      </w:r>
      <w:r>
        <w:rPr>
          <w:rFonts w:ascii="Times New Roman" w:hAnsi="Times New Roman"/>
          <w:sz w:val="24"/>
          <w:szCs w:val="24"/>
        </w:rPr>
        <w:t>. Na následujícím grafu je uveden přehled počtu odpovědí nesplňujících zákonné lhůty za všechny členské státy v roce 2019, s uvedením odpovědí, které byly zaslány po lhůtě, a žádostí, u nichž lhůta na odpověď uplynula</w:t>
      </w:r>
      <w:r>
        <w:rPr>
          <w:rStyle w:val="FootnoteReference"/>
          <w:rFonts w:ascii="Times New Roman" w:hAnsi="Times New Roman" w:cs="Times New Roman"/>
          <w:noProof/>
          <w:sz w:val="24"/>
          <w:szCs w:val="24"/>
        </w:rPr>
        <w:footnoteReference w:id="20"/>
      </w:r>
      <w:r>
        <w:rPr>
          <w:rFonts w:ascii="Times New Roman" w:hAnsi="Times New Roman"/>
          <w:sz w:val="24"/>
          <w:szCs w:val="24"/>
        </w:rPr>
        <w:t xml:space="preserve">. </w:t>
      </w:r>
    </w:p>
    <w:p w14:paraId="7D561402" w14:textId="77777777" w:rsidR="008D3CBA" w:rsidRDefault="008D3CBA">
      <w:pPr>
        <w:jc w:val="both"/>
        <w:rPr>
          <w:rFonts w:ascii="Times New Roman" w:hAnsi="Times New Roman" w:cs="Times New Roman"/>
          <w:noProof/>
          <w:sz w:val="24"/>
          <w:szCs w:val="24"/>
        </w:rPr>
      </w:pPr>
    </w:p>
    <w:p w14:paraId="7D561403" w14:textId="3C517889" w:rsidR="008D3CBA" w:rsidRDefault="00DA646B" w:rsidP="00821BD9">
      <w:pPr>
        <w:jc w:val="center"/>
        <w:rPr>
          <w:rFonts w:ascii="Times New Roman" w:hAnsi="Times New Roman" w:cs="Times New Roman"/>
          <w:noProof/>
          <w:sz w:val="24"/>
          <w:szCs w:val="24"/>
        </w:rPr>
      </w:pPr>
      <w:r w:rsidRPr="00DA646B">
        <w:rPr>
          <w:noProof/>
          <w:lang w:val="fr-BE" w:eastAsia="fr-BE"/>
        </w:rPr>
        <w:drawing>
          <wp:inline distT="0" distB="0" distL="0" distR="0" wp14:anchorId="26B929A7" wp14:editId="2D070667">
            <wp:extent cx="5760085" cy="36994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3699491"/>
                    </a:xfrm>
                    <a:prstGeom prst="rect">
                      <a:avLst/>
                    </a:prstGeom>
                    <a:noFill/>
                    <a:ln>
                      <a:noFill/>
                    </a:ln>
                  </pic:spPr>
                </pic:pic>
              </a:graphicData>
            </a:graphic>
          </wp:inline>
        </w:drawing>
      </w:r>
    </w:p>
    <w:p w14:paraId="7D561404" w14:textId="31AFC6F8" w:rsidR="009C495F" w:rsidRPr="004D5606" w:rsidRDefault="00A81CAF">
      <w:pPr>
        <w:jc w:val="both"/>
        <w:rPr>
          <w:rFonts w:ascii="Times New Roman" w:hAnsi="Times New Roman" w:cs="Times New Roman"/>
          <w:b/>
          <w:bCs/>
          <w:noProof/>
          <w:sz w:val="24"/>
          <w:szCs w:val="24"/>
        </w:rPr>
      </w:pPr>
      <w:r>
        <w:rPr>
          <w:rFonts w:ascii="Times New Roman" w:hAnsi="Times New Roman"/>
          <w:sz w:val="24"/>
          <w:szCs w:val="24"/>
        </w:rPr>
        <w:t>V roce 2019 bylo</w:t>
      </w:r>
      <w:r>
        <w:rPr>
          <w:rFonts w:ascii="Times New Roman" w:hAnsi="Times New Roman"/>
          <w:b/>
          <w:sz w:val="24"/>
          <w:szCs w:val="24"/>
        </w:rPr>
        <w:t xml:space="preserve"> po zákonné lhůtě zodpovězeno 190 000 žádostí</w:t>
      </w:r>
      <w:r>
        <w:rPr>
          <w:rFonts w:ascii="Times New Roman" w:hAnsi="Times New Roman"/>
          <w:sz w:val="24"/>
          <w:szCs w:val="24"/>
        </w:rPr>
        <w:t xml:space="preserve">, což představuje </w:t>
      </w:r>
      <w:r>
        <w:rPr>
          <w:rFonts w:ascii="Times New Roman" w:hAnsi="Times New Roman"/>
          <w:b/>
          <w:sz w:val="24"/>
          <w:szCs w:val="24"/>
        </w:rPr>
        <w:t>18,4 % z celkového počtu</w:t>
      </w:r>
      <w:r>
        <w:rPr>
          <w:rFonts w:ascii="Times New Roman" w:hAnsi="Times New Roman"/>
          <w:sz w:val="24"/>
          <w:szCs w:val="24"/>
        </w:rPr>
        <w:t xml:space="preserve"> žádostí. Kromě toho bylo zaregistrováno </w:t>
      </w:r>
      <w:r>
        <w:rPr>
          <w:rFonts w:ascii="Times New Roman" w:hAnsi="Times New Roman"/>
          <w:b/>
          <w:sz w:val="24"/>
          <w:szCs w:val="24"/>
        </w:rPr>
        <w:t>42 000 žádostí, u nichž lhůta na odpověď uplynula</w:t>
      </w:r>
      <w:r>
        <w:rPr>
          <w:rFonts w:ascii="Times New Roman" w:hAnsi="Times New Roman"/>
          <w:sz w:val="24"/>
          <w:szCs w:val="24"/>
        </w:rPr>
        <w:t>.</w:t>
      </w:r>
      <w:r>
        <w:rPr>
          <w:rFonts w:ascii="Times New Roman" w:hAnsi="Times New Roman"/>
          <w:bCs/>
          <w:sz w:val="24"/>
          <w:szCs w:val="24"/>
        </w:rPr>
        <w:t xml:space="preserve"> T</w:t>
      </w:r>
      <w:r>
        <w:rPr>
          <w:rFonts w:ascii="Times New Roman" w:hAnsi="Times New Roman"/>
          <w:sz w:val="24"/>
          <w:szCs w:val="24"/>
        </w:rPr>
        <w:t>ato vysoká čísla spárovaná s referenčními údaji za rok 2016 (respektive: 13 800 (3,8 %); 13 000), naznačují</w:t>
      </w:r>
      <w:r>
        <w:rPr>
          <w:rFonts w:ascii="Times New Roman" w:hAnsi="Times New Roman"/>
          <w:b/>
          <w:bCs/>
          <w:sz w:val="24"/>
          <w:szCs w:val="24"/>
        </w:rPr>
        <w:t xml:space="preserve"> alarmující nárůst odpovědí, které nesplnily zákonné lhůty</w:t>
      </w:r>
      <w:r>
        <w:rPr>
          <w:rFonts w:ascii="Times New Roman" w:hAnsi="Times New Roman"/>
          <w:sz w:val="24"/>
          <w:szCs w:val="24"/>
        </w:rPr>
        <w:t>.</w:t>
      </w:r>
    </w:p>
    <w:p w14:paraId="7D561405" w14:textId="77777777" w:rsidR="008D3CBA" w:rsidRDefault="00EB6B94">
      <w:pPr>
        <w:jc w:val="both"/>
        <w:rPr>
          <w:rFonts w:ascii="Times New Roman" w:hAnsi="Times New Roman" w:cs="Times New Roman"/>
          <w:noProof/>
          <w:sz w:val="24"/>
          <w:szCs w:val="24"/>
        </w:rPr>
      </w:pPr>
      <w:r>
        <w:rPr>
          <w:rFonts w:ascii="Times New Roman" w:hAnsi="Times New Roman"/>
          <w:b/>
          <w:bCs/>
          <w:sz w:val="24"/>
          <w:szCs w:val="24"/>
        </w:rPr>
        <w:t>Tento trend se týká pouze několika členských států</w:t>
      </w:r>
      <w:r>
        <w:rPr>
          <w:rFonts w:ascii="Times New Roman" w:hAnsi="Times New Roman"/>
          <w:sz w:val="24"/>
          <w:szCs w:val="24"/>
        </w:rPr>
        <w:t xml:space="preserve">, zejména těch, které </w:t>
      </w:r>
      <w:r>
        <w:rPr>
          <w:rFonts w:ascii="Times New Roman" w:hAnsi="Times New Roman"/>
          <w:b/>
          <w:bCs/>
          <w:sz w:val="24"/>
          <w:szCs w:val="24"/>
        </w:rPr>
        <w:t>obdržely velký počet žádostí o informace</w:t>
      </w:r>
      <w:r>
        <w:rPr>
          <w:rFonts w:ascii="Times New Roman" w:hAnsi="Times New Roman"/>
          <w:sz w:val="24"/>
          <w:szCs w:val="24"/>
        </w:rPr>
        <w:t>, přičemž velká většina členských států zůstává pod 0,5 % opožděných odpovědí. Mezi členské státy, které měly v roce 2019 největší problémy s dodržováním lhůt, patřily: PL, které zaslalo 55 % svých odpovědí pozdě (99 000), RO (30 %; 50 000), HR (43 %; 24 600), LV (47 %; 6 200), BE (18 %; 2 800) a BG (5 %; 3 300). Problém žádostí, u nichž uplynula lhůta na odpověď, přičemž výsledkem byla buď opožděná odpověď, nebo žádost nebyla zodpovězena vůbec, se týkal 33 % žádostí přijatých MT a CY, 13,5 % žádostí LV a 8 % žádostí přijatých PL.</w:t>
      </w:r>
    </w:p>
    <w:p w14:paraId="7D561406" w14:textId="77777777" w:rsidR="00AB42D3" w:rsidRDefault="00AB42D3">
      <w:pPr>
        <w:rPr>
          <w:rFonts w:ascii="Times New Roman" w:hAnsi="Times New Roman" w:cs="Times New Roman"/>
          <w:b/>
          <w:noProof/>
          <w:sz w:val="24"/>
          <w:szCs w:val="24"/>
        </w:rPr>
      </w:pPr>
      <w:bookmarkStart w:id="25" w:name="_Toc479267023"/>
    </w:p>
    <w:p w14:paraId="7D561407" w14:textId="77777777" w:rsidR="008D3CBA" w:rsidRDefault="00FB606C">
      <w:pPr>
        <w:rPr>
          <w:rFonts w:ascii="Times New Roman" w:hAnsi="Times New Roman" w:cs="Times New Roman"/>
          <w:b/>
          <w:noProof/>
          <w:sz w:val="24"/>
          <w:szCs w:val="24"/>
        </w:rPr>
      </w:pPr>
      <w:r>
        <w:rPr>
          <w:rFonts w:ascii="Times New Roman" w:hAnsi="Times New Roman"/>
          <w:b/>
          <w:sz w:val="24"/>
          <w:szCs w:val="24"/>
        </w:rPr>
        <w:t>2.8 Žádosti pro trestní řízení a jiné účely</w:t>
      </w:r>
      <w:bookmarkEnd w:id="25"/>
    </w:p>
    <w:p w14:paraId="7D561408" w14:textId="77777777" w:rsidR="008D3CBA" w:rsidRDefault="00A81CAF">
      <w:pPr>
        <w:spacing w:after="0"/>
        <w:jc w:val="both"/>
        <w:rPr>
          <w:rFonts w:ascii="Times New Roman" w:hAnsi="Times New Roman" w:cs="Times New Roman"/>
          <w:noProof/>
          <w:sz w:val="24"/>
          <w:szCs w:val="24"/>
        </w:rPr>
      </w:pPr>
      <w:bookmarkStart w:id="26" w:name="_Hlk481158644"/>
      <w:r>
        <w:rPr>
          <w:rFonts w:ascii="Times New Roman" w:hAnsi="Times New Roman"/>
          <w:sz w:val="24"/>
          <w:szCs w:val="24"/>
        </w:rPr>
        <w:t>Na následujících grafech je znázorněn poměr mezi žádostmi pro trestní řízení a pro účely jiné než trestní řízení od roku 2012 do roku 2019.</w:t>
      </w:r>
    </w:p>
    <w:p w14:paraId="7D561409" w14:textId="77777777" w:rsidR="008D3CBA" w:rsidRDefault="008D3CBA">
      <w:pPr>
        <w:spacing w:after="0"/>
        <w:jc w:val="both"/>
        <w:rPr>
          <w:rFonts w:ascii="Times New Roman" w:hAnsi="Times New Roman" w:cs="Times New Roman"/>
          <w:noProof/>
          <w:sz w:val="24"/>
          <w:szCs w:val="24"/>
        </w:rPr>
      </w:pPr>
    </w:p>
    <w:p w14:paraId="7D56140A" w14:textId="08C0ADD5" w:rsidR="008D3CBA" w:rsidRDefault="00551F37">
      <w:pPr>
        <w:spacing w:after="0"/>
        <w:jc w:val="center"/>
        <w:rPr>
          <w:rFonts w:ascii="Times New Roman" w:hAnsi="Times New Roman" w:cs="Times New Roman"/>
          <w:noProof/>
          <w:sz w:val="24"/>
          <w:szCs w:val="24"/>
        </w:rPr>
      </w:pPr>
      <w:r w:rsidRPr="00AC3FBF">
        <w:rPr>
          <w:noProof/>
          <w:lang w:val="fr-BE" w:eastAsia="fr-BE"/>
        </w:rPr>
        <w:drawing>
          <wp:inline distT="0" distB="0" distL="0" distR="0" wp14:anchorId="62D978AD" wp14:editId="339E2735">
            <wp:extent cx="4414520" cy="252390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t="5241" r="47083" b="7969"/>
                    <a:stretch/>
                  </pic:blipFill>
                  <pic:spPr bwMode="auto">
                    <a:xfrm>
                      <a:off x="0" y="0"/>
                      <a:ext cx="4422563" cy="2528500"/>
                    </a:xfrm>
                    <a:prstGeom prst="rect">
                      <a:avLst/>
                    </a:prstGeom>
                    <a:noFill/>
                    <a:ln>
                      <a:noFill/>
                    </a:ln>
                    <a:extLst>
                      <a:ext uri="{53640926-AAD7-44D8-BBD7-CCE9431645EC}">
                        <a14:shadowObscured xmlns:a14="http://schemas.microsoft.com/office/drawing/2010/main"/>
                      </a:ext>
                    </a:extLst>
                  </pic:spPr>
                </pic:pic>
              </a:graphicData>
            </a:graphic>
          </wp:inline>
        </w:drawing>
      </w:r>
    </w:p>
    <w:p w14:paraId="7D56140B" w14:textId="77777777" w:rsidR="008D3CBA" w:rsidRDefault="008D3CBA">
      <w:pPr>
        <w:spacing w:after="0"/>
        <w:jc w:val="center"/>
        <w:rPr>
          <w:rFonts w:ascii="Times New Roman" w:hAnsi="Times New Roman" w:cs="Times New Roman"/>
          <w:noProof/>
          <w:sz w:val="24"/>
          <w:szCs w:val="24"/>
        </w:rPr>
      </w:pPr>
    </w:p>
    <w:p w14:paraId="7D56140C" w14:textId="105C2A01" w:rsidR="00EB150B" w:rsidRDefault="00551F37" w:rsidP="00EB150B">
      <w:pPr>
        <w:spacing w:after="0"/>
        <w:jc w:val="center"/>
        <w:rPr>
          <w:rFonts w:ascii="Times New Roman" w:hAnsi="Times New Roman" w:cs="Times New Roman"/>
          <w:noProof/>
          <w:sz w:val="24"/>
          <w:szCs w:val="24"/>
        </w:rPr>
      </w:pPr>
      <w:r w:rsidRPr="00AC3FBF">
        <w:rPr>
          <w:noProof/>
          <w:lang w:val="fr-BE" w:eastAsia="fr-BE"/>
        </w:rPr>
        <w:drawing>
          <wp:inline distT="0" distB="0" distL="0" distR="0" wp14:anchorId="3AC424C2" wp14:editId="07B5D790">
            <wp:extent cx="5676510" cy="3952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t="2210" r="25088" b="6068"/>
                    <a:stretch/>
                  </pic:blipFill>
                  <pic:spPr bwMode="auto">
                    <a:xfrm>
                      <a:off x="0" y="0"/>
                      <a:ext cx="5678043" cy="3953307"/>
                    </a:xfrm>
                    <a:prstGeom prst="rect">
                      <a:avLst/>
                    </a:prstGeom>
                    <a:noFill/>
                    <a:ln>
                      <a:noFill/>
                    </a:ln>
                    <a:extLst>
                      <a:ext uri="{53640926-AAD7-44D8-BBD7-CCE9431645EC}">
                        <a14:shadowObscured xmlns:a14="http://schemas.microsoft.com/office/drawing/2010/main"/>
                      </a:ext>
                    </a:extLst>
                  </pic:spPr>
                </pic:pic>
              </a:graphicData>
            </a:graphic>
          </wp:inline>
        </w:drawing>
      </w:r>
    </w:p>
    <w:bookmarkEnd w:id="26"/>
    <w:p w14:paraId="7D56140D" w14:textId="77777777" w:rsidR="008D3CBA" w:rsidRDefault="008D3CBA">
      <w:pPr>
        <w:jc w:val="center"/>
        <w:rPr>
          <w:rFonts w:ascii="Times New Roman" w:hAnsi="Times New Roman" w:cs="Times New Roman"/>
          <w:noProof/>
          <w:sz w:val="24"/>
          <w:szCs w:val="24"/>
        </w:rPr>
      </w:pPr>
    </w:p>
    <w:p w14:paraId="7D56140E" w14:textId="58FB1562" w:rsidR="00D1225F" w:rsidRPr="00D1225F" w:rsidRDefault="00E60C9E">
      <w:pPr>
        <w:jc w:val="both"/>
        <w:rPr>
          <w:rFonts w:ascii="Times New Roman" w:hAnsi="Times New Roman" w:cs="Times New Roman"/>
          <w:bCs/>
          <w:noProof/>
          <w:sz w:val="24"/>
          <w:szCs w:val="24"/>
        </w:rPr>
      </w:pPr>
      <w:r>
        <w:rPr>
          <w:rFonts w:ascii="Times New Roman" w:hAnsi="Times New Roman"/>
          <w:sz w:val="24"/>
          <w:szCs w:val="24"/>
        </w:rPr>
        <w:t xml:space="preserve">Po mnoho let bylo procento žádostí pro jiné účely než trestní řízení na průměrné úrovni 20 % všech žádostí. Jak bylo uvedeno výše, roky 2018–2019 přinesly </w:t>
      </w:r>
      <w:r>
        <w:rPr>
          <w:rFonts w:ascii="Times New Roman" w:hAnsi="Times New Roman"/>
          <w:b/>
          <w:bCs/>
          <w:sz w:val="24"/>
          <w:szCs w:val="24"/>
        </w:rPr>
        <w:t>úplnou změnu ve využívání systému, který začal být konzultován stejně často pro účely trestního řízení jako pro jiné účely (50/50 %)</w:t>
      </w:r>
      <w:r>
        <w:rPr>
          <w:rFonts w:ascii="Times New Roman" w:hAnsi="Times New Roman"/>
          <w:sz w:val="24"/>
          <w:szCs w:val="24"/>
        </w:rPr>
        <w:t xml:space="preserve">. Za doby celého provozu systému ECRIS bylo v průměru </w:t>
      </w:r>
      <w:r>
        <w:rPr>
          <w:rFonts w:ascii="Times New Roman" w:hAnsi="Times New Roman"/>
          <w:b/>
          <w:sz w:val="24"/>
          <w:szCs w:val="24"/>
        </w:rPr>
        <w:t>69 %</w:t>
      </w:r>
      <w:r>
        <w:rPr>
          <w:rFonts w:ascii="Times New Roman" w:hAnsi="Times New Roman"/>
          <w:sz w:val="24"/>
          <w:szCs w:val="24"/>
        </w:rPr>
        <w:t xml:space="preserve"> všech žádostí podáno pro účely </w:t>
      </w:r>
      <w:r>
        <w:rPr>
          <w:rFonts w:ascii="Times New Roman" w:hAnsi="Times New Roman"/>
          <w:b/>
          <w:sz w:val="24"/>
          <w:szCs w:val="24"/>
        </w:rPr>
        <w:t>trestního řízení</w:t>
      </w:r>
      <w:r>
        <w:rPr>
          <w:rFonts w:ascii="Times New Roman" w:hAnsi="Times New Roman"/>
          <w:sz w:val="24"/>
          <w:szCs w:val="24"/>
        </w:rPr>
        <w:t xml:space="preserve"> a </w:t>
      </w:r>
      <w:r>
        <w:rPr>
          <w:rFonts w:ascii="Times New Roman" w:hAnsi="Times New Roman"/>
          <w:b/>
          <w:sz w:val="24"/>
          <w:szCs w:val="24"/>
        </w:rPr>
        <w:t>31 %</w:t>
      </w:r>
      <w:r>
        <w:rPr>
          <w:rFonts w:ascii="Times New Roman" w:hAnsi="Times New Roman"/>
          <w:sz w:val="24"/>
          <w:szCs w:val="24"/>
        </w:rPr>
        <w:t xml:space="preserve"> pro </w:t>
      </w:r>
      <w:r>
        <w:rPr>
          <w:rFonts w:ascii="Times New Roman" w:hAnsi="Times New Roman"/>
          <w:b/>
          <w:sz w:val="24"/>
          <w:szCs w:val="24"/>
        </w:rPr>
        <w:t>jiné účely</w:t>
      </w:r>
      <w:r>
        <w:rPr>
          <w:rFonts w:ascii="Times New Roman" w:hAnsi="Times New Roman"/>
          <w:sz w:val="24"/>
          <w:szCs w:val="24"/>
        </w:rPr>
        <w:t>.</w:t>
      </w:r>
    </w:p>
    <w:p w14:paraId="7D56140F" w14:textId="61BD62DC" w:rsidR="008D3CBA" w:rsidRDefault="00A81CAF">
      <w:pPr>
        <w:jc w:val="both"/>
        <w:rPr>
          <w:rFonts w:ascii="Times New Roman" w:hAnsi="Times New Roman" w:cs="Times New Roman"/>
          <w:bCs/>
          <w:noProof/>
          <w:sz w:val="24"/>
          <w:szCs w:val="24"/>
        </w:rPr>
      </w:pPr>
      <w:r>
        <w:rPr>
          <w:rFonts w:ascii="Times New Roman" w:hAnsi="Times New Roman"/>
          <w:b/>
          <w:sz w:val="24"/>
          <w:szCs w:val="24"/>
        </w:rPr>
        <w:t>V roce 2019 přesáhl počet žádostí pro jiné účely 500 000</w:t>
      </w:r>
      <w:r>
        <w:rPr>
          <w:rFonts w:ascii="Times New Roman" w:hAnsi="Times New Roman"/>
          <w:sz w:val="24"/>
          <w:szCs w:val="24"/>
        </w:rPr>
        <w:t xml:space="preserve">, což je více než </w:t>
      </w:r>
      <w:r>
        <w:rPr>
          <w:rFonts w:ascii="Times New Roman" w:hAnsi="Times New Roman"/>
          <w:b/>
          <w:sz w:val="24"/>
          <w:szCs w:val="24"/>
        </w:rPr>
        <w:t>šestkrát více než v roce 2016</w:t>
      </w:r>
      <w:r>
        <w:rPr>
          <w:rFonts w:ascii="Times New Roman" w:hAnsi="Times New Roman"/>
          <w:bCs/>
          <w:sz w:val="24"/>
          <w:szCs w:val="24"/>
        </w:rPr>
        <w:t xml:space="preserve">. Rovněž počet </w:t>
      </w:r>
      <w:r>
        <w:rPr>
          <w:rFonts w:ascii="Times New Roman" w:hAnsi="Times New Roman"/>
          <w:b/>
          <w:sz w:val="24"/>
          <w:szCs w:val="24"/>
        </w:rPr>
        <w:t xml:space="preserve">žádostí pro účely trestního řízení </w:t>
      </w:r>
      <w:r>
        <w:rPr>
          <w:rFonts w:ascii="Times New Roman" w:hAnsi="Times New Roman"/>
          <w:bCs/>
          <w:sz w:val="24"/>
          <w:szCs w:val="24"/>
        </w:rPr>
        <w:t xml:space="preserve">zůstal </w:t>
      </w:r>
      <w:r>
        <w:rPr>
          <w:rFonts w:ascii="Times New Roman" w:hAnsi="Times New Roman"/>
          <w:b/>
          <w:sz w:val="24"/>
          <w:szCs w:val="24"/>
        </w:rPr>
        <w:t>na stabilní úrovni kolem 500 000</w:t>
      </w:r>
      <w:r>
        <w:rPr>
          <w:rFonts w:ascii="Times New Roman" w:hAnsi="Times New Roman"/>
          <w:bCs/>
          <w:sz w:val="24"/>
          <w:szCs w:val="24"/>
        </w:rPr>
        <w:t>.</w:t>
      </w:r>
    </w:p>
    <w:p w14:paraId="7D561410" w14:textId="40258AAF" w:rsidR="00147AB6" w:rsidRDefault="00A81CAF">
      <w:pPr>
        <w:jc w:val="both"/>
        <w:rPr>
          <w:rFonts w:ascii="Times New Roman" w:hAnsi="Times New Roman" w:cs="Times New Roman"/>
          <w:noProof/>
          <w:sz w:val="24"/>
          <w:szCs w:val="24"/>
        </w:rPr>
      </w:pPr>
      <w:r>
        <w:rPr>
          <w:rFonts w:ascii="Times New Roman" w:hAnsi="Times New Roman"/>
          <w:sz w:val="24"/>
          <w:szCs w:val="24"/>
        </w:rPr>
        <w:t xml:space="preserve">Nárůst žádostí pro jiné účely byl způsoben zejména </w:t>
      </w:r>
      <w:r>
        <w:rPr>
          <w:rFonts w:ascii="Times New Roman" w:hAnsi="Times New Roman"/>
          <w:b/>
          <w:bCs/>
          <w:sz w:val="24"/>
          <w:szCs w:val="24"/>
        </w:rPr>
        <w:t>velkým nárůstem žádostí podaných jednotlivci za účelem získání vlastních výpisů z rejstříku trestů</w:t>
      </w:r>
      <w:r>
        <w:rPr>
          <w:rFonts w:ascii="Times New Roman" w:hAnsi="Times New Roman"/>
          <w:sz w:val="24"/>
          <w:szCs w:val="24"/>
        </w:rPr>
        <w:t xml:space="preserve"> – od roku 2016 více než šestkrát, což představuje celkem </w:t>
      </w:r>
      <w:r>
        <w:rPr>
          <w:rFonts w:ascii="Times New Roman" w:hAnsi="Times New Roman"/>
          <w:b/>
          <w:bCs/>
          <w:sz w:val="24"/>
          <w:szCs w:val="24"/>
        </w:rPr>
        <w:t>356 000 žádostí</w:t>
      </w:r>
      <w:r>
        <w:rPr>
          <w:rFonts w:ascii="Times New Roman" w:hAnsi="Times New Roman"/>
          <w:sz w:val="24"/>
          <w:szCs w:val="24"/>
        </w:rPr>
        <w:t xml:space="preserve">. Dalším faktorem, který k tomu přispěl, byl počet </w:t>
      </w:r>
      <w:r>
        <w:rPr>
          <w:rFonts w:ascii="Times New Roman" w:hAnsi="Times New Roman"/>
          <w:b/>
          <w:sz w:val="24"/>
          <w:szCs w:val="24"/>
        </w:rPr>
        <w:t>žádostí pro účely náboru</w:t>
      </w:r>
      <w:r>
        <w:rPr>
          <w:rFonts w:ascii="Times New Roman" w:hAnsi="Times New Roman"/>
          <w:sz w:val="24"/>
          <w:szCs w:val="24"/>
        </w:rPr>
        <w:t xml:space="preserve"> na profesionální nebo organizované dobrovolné </w:t>
      </w:r>
      <w:r>
        <w:rPr>
          <w:rFonts w:ascii="Times New Roman" w:hAnsi="Times New Roman"/>
          <w:b/>
          <w:sz w:val="24"/>
          <w:szCs w:val="24"/>
        </w:rPr>
        <w:t>činnosti zahrnující přímý a pravidelný kontakt s dětmi</w:t>
      </w:r>
      <w:r>
        <w:rPr>
          <w:rFonts w:ascii="Times New Roman" w:hAnsi="Times New Roman"/>
          <w:sz w:val="24"/>
          <w:szCs w:val="24"/>
        </w:rPr>
        <w:t xml:space="preserve"> na základě provádění </w:t>
      </w:r>
      <w:r>
        <w:rPr>
          <w:rFonts w:ascii="Times New Roman" w:hAnsi="Times New Roman"/>
          <w:b/>
          <w:sz w:val="24"/>
          <w:szCs w:val="24"/>
        </w:rPr>
        <w:t>směrnice 2011/93/EU</w:t>
      </w:r>
      <w:r>
        <w:rPr>
          <w:rStyle w:val="FootnoteReference"/>
          <w:rFonts w:ascii="Times New Roman" w:hAnsi="Times New Roman" w:cs="Times New Roman"/>
          <w:b/>
          <w:noProof/>
          <w:sz w:val="24"/>
          <w:szCs w:val="24"/>
        </w:rPr>
        <w:footnoteReference w:id="21"/>
      </w:r>
      <w:r>
        <w:rPr>
          <w:rFonts w:ascii="Times New Roman" w:hAnsi="Times New Roman"/>
          <w:sz w:val="24"/>
          <w:szCs w:val="24"/>
        </w:rPr>
        <w:t xml:space="preserve">. V roce 2019 činil počet těchto žádostí </w:t>
      </w:r>
      <w:r>
        <w:rPr>
          <w:rFonts w:ascii="Times New Roman" w:hAnsi="Times New Roman"/>
          <w:b/>
          <w:sz w:val="24"/>
          <w:szCs w:val="24"/>
        </w:rPr>
        <w:t>115 000</w:t>
      </w:r>
      <w:r>
        <w:rPr>
          <w:rFonts w:ascii="Times New Roman" w:hAnsi="Times New Roman"/>
          <w:sz w:val="24"/>
          <w:szCs w:val="24"/>
        </w:rPr>
        <w:t xml:space="preserve">, což je </w:t>
      </w:r>
      <w:r>
        <w:rPr>
          <w:rFonts w:ascii="Times New Roman" w:hAnsi="Times New Roman"/>
          <w:b/>
          <w:sz w:val="24"/>
          <w:szCs w:val="24"/>
        </w:rPr>
        <w:t>výrazný nárůst</w:t>
      </w:r>
      <w:r>
        <w:rPr>
          <w:rFonts w:ascii="Times New Roman" w:hAnsi="Times New Roman"/>
          <w:sz w:val="24"/>
          <w:szCs w:val="24"/>
        </w:rPr>
        <w:t xml:space="preserve"> oproti 7 800 v roce 2016. Zvýšený počet žádostí pro jiné účely vykazuje zejména DE.</w:t>
      </w:r>
    </w:p>
    <w:p w14:paraId="7D561411" w14:textId="3370329C" w:rsidR="008D3CBA" w:rsidRDefault="00A81CAF">
      <w:pPr>
        <w:jc w:val="both"/>
        <w:rPr>
          <w:rFonts w:ascii="Times New Roman" w:hAnsi="Times New Roman" w:cs="Times New Roman"/>
          <w:noProof/>
          <w:sz w:val="24"/>
          <w:szCs w:val="24"/>
        </w:rPr>
      </w:pPr>
      <w:r>
        <w:rPr>
          <w:rFonts w:ascii="Times New Roman" w:hAnsi="Times New Roman"/>
          <w:sz w:val="24"/>
          <w:szCs w:val="24"/>
        </w:rPr>
        <w:t xml:space="preserve">V roce 2019 bylo nejvíce žádostí pro jiné účely než pro trestní řízení podáno </w:t>
      </w:r>
      <w:r>
        <w:rPr>
          <w:rFonts w:ascii="Times New Roman" w:hAnsi="Times New Roman"/>
          <w:b/>
          <w:sz w:val="24"/>
          <w:szCs w:val="24"/>
        </w:rPr>
        <w:t>jednotlivými osobami za účelem</w:t>
      </w:r>
      <w:r>
        <w:rPr>
          <w:rFonts w:ascii="Times New Roman" w:hAnsi="Times New Roman"/>
          <w:sz w:val="24"/>
          <w:szCs w:val="24"/>
        </w:rPr>
        <w:t xml:space="preserve"> </w:t>
      </w:r>
      <w:r>
        <w:rPr>
          <w:rFonts w:ascii="Times New Roman" w:hAnsi="Times New Roman"/>
          <w:b/>
          <w:sz w:val="24"/>
          <w:szCs w:val="24"/>
        </w:rPr>
        <w:t>získání vlastních výpisů z rejstříků trestů</w:t>
      </w:r>
      <w:r>
        <w:rPr>
          <w:rFonts w:ascii="Times New Roman" w:hAnsi="Times New Roman"/>
          <w:sz w:val="24"/>
          <w:szCs w:val="24"/>
        </w:rPr>
        <w:t xml:space="preserve"> –</w:t>
      </w:r>
      <w:r>
        <w:rPr>
          <w:rFonts w:ascii="Times New Roman" w:hAnsi="Times New Roman"/>
          <w:b/>
          <w:sz w:val="24"/>
          <w:szCs w:val="24"/>
        </w:rPr>
        <w:t xml:space="preserve"> 70 % všech žádostí pro jiné účely </w:t>
      </w:r>
      <w:r>
        <w:rPr>
          <w:rFonts w:ascii="Times New Roman" w:hAnsi="Times New Roman"/>
          <w:sz w:val="24"/>
          <w:szCs w:val="24"/>
        </w:rPr>
        <w:t>a </w:t>
      </w:r>
      <w:r>
        <w:rPr>
          <w:rFonts w:ascii="Times New Roman" w:hAnsi="Times New Roman"/>
          <w:b/>
          <w:sz w:val="24"/>
          <w:szCs w:val="24"/>
        </w:rPr>
        <w:t>35 % všech podaných žádostí</w:t>
      </w:r>
      <w:r>
        <w:rPr>
          <w:rFonts w:ascii="Times New Roman" w:hAnsi="Times New Roman"/>
          <w:sz w:val="24"/>
          <w:szCs w:val="24"/>
        </w:rPr>
        <w:t>. Další nejvyšší počet žádostí se týkal žádostí pro účely</w:t>
      </w:r>
      <w:r>
        <w:rPr>
          <w:rFonts w:ascii="Times New Roman" w:hAnsi="Times New Roman"/>
          <w:b/>
          <w:bCs/>
          <w:sz w:val="24"/>
          <w:szCs w:val="24"/>
        </w:rPr>
        <w:t xml:space="preserve"> náboru v souladu se směrnicí 2011/93/EU (22 %</w:t>
      </w:r>
      <w:r>
        <w:rPr>
          <w:rFonts w:ascii="Times New Roman" w:hAnsi="Times New Roman"/>
          <w:sz w:val="24"/>
          <w:szCs w:val="24"/>
        </w:rPr>
        <w:t xml:space="preserve"> žádostí pro jiné účely a 11 % všech žádostí – v porovnání s 10 % žádostí pro jiné účely v roce 2016). Procento žádostí příslušného správního orgánu pro jiná než trestní řízení kleslo ze 14 % žádostí pro jiné účely v roce 2016 na 3,8 % v roce 2019 (a 2 % všech žádostí), což je řadí na třetí místo s 19 000 žádostmi. Žádosti o získání zbrojního průkazu činily 1,1 % žádostí pro jiné účely. A konečně, žádosti pro důležitý účel získání jiného státního občanství představovaly pouze cca 0,9 % žádostí pro jiné účely a 0,4 % všech podaných žádostí</w:t>
      </w:r>
      <w:r>
        <w:rPr>
          <w:rStyle w:val="FootnoteReference"/>
          <w:rFonts w:ascii="Times New Roman" w:hAnsi="Times New Roman" w:cs="Times New Roman"/>
          <w:noProof/>
          <w:sz w:val="24"/>
          <w:szCs w:val="24"/>
        </w:rPr>
        <w:footnoteReference w:id="22"/>
      </w:r>
      <w:r>
        <w:rPr>
          <w:rFonts w:ascii="Times New Roman" w:hAnsi="Times New Roman"/>
          <w:sz w:val="24"/>
          <w:szCs w:val="24"/>
        </w:rPr>
        <w:t>.</w:t>
      </w:r>
    </w:p>
    <w:p w14:paraId="7D561413" w14:textId="77777777" w:rsidR="00AB42D3" w:rsidRPr="008177AB" w:rsidRDefault="00AB42D3">
      <w:pPr>
        <w:rPr>
          <w:rFonts w:ascii="Times New Roman" w:hAnsi="Times New Roman" w:cs="Times New Roman"/>
          <w:noProof/>
          <w:sz w:val="24"/>
          <w:szCs w:val="24"/>
        </w:rPr>
      </w:pPr>
      <w:bookmarkStart w:id="27" w:name="_Toc479267024"/>
    </w:p>
    <w:p w14:paraId="7D561414" w14:textId="77777777" w:rsidR="008D3CBA" w:rsidRDefault="00FB606C">
      <w:pPr>
        <w:rPr>
          <w:rFonts w:ascii="Times New Roman" w:hAnsi="Times New Roman" w:cs="Times New Roman"/>
          <w:b/>
          <w:noProof/>
          <w:sz w:val="24"/>
          <w:szCs w:val="24"/>
        </w:rPr>
      </w:pPr>
      <w:r>
        <w:rPr>
          <w:rFonts w:ascii="Times New Roman" w:hAnsi="Times New Roman"/>
          <w:b/>
          <w:sz w:val="24"/>
          <w:szCs w:val="24"/>
        </w:rPr>
        <w:t>2.9 Žádosti týkající se státních příslušníků EU a </w:t>
      </w:r>
      <w:bookmarkEnd w:id="27"/>
      <w:r>
        <w:rPr>
          <w:rFonts w:ascii="Times New Roman" w:hAnsi="Times New Roman"/>
          <w:b/>
          <w:sz w:val="24"/>
          <w:szCs w:val="24"/>
        </w:rPr>
        <w:t>státních příslušníků třetích zemí</w:t>
      </w:r>
    </w:p>
    <w:p w14:paraId="7D561415" w14:textId="35D8BF64" w:rsidR="008D3CBA" w:rsidRDefault="00A81CAF">
      <w:pPr>
        <w:spacing w:after="0"/>
        <w:jc w:val="both"/>
        <w:rPr>
          <w:rFonts w:ascii="Times New Roman" w:hAnsi="Times New Roman" w:cs="Times New Roman"/>
          <w:noProof/>
          <w:sz w:val="24"/>
          <w:szCs w:val="24"/>
        </w:rPr>
      </w:pPr>
      <w:r>
        <w:rPr>
          <w:rFonts w:ascii="Times New Roman" w:hAnsi="Times New Roman"/>
          <w:sz w:val="24"/>
          <w:szCs w:val="24"/>
        </w:rPr>
        <w:t>Na následujícím grafu je znázorněn poměr mezi žádostmi týkajícími se státních příslušníků EU a státních příslušníků třetích zemí za rok</w:t>
      </w:r>
      <w:r w:rsidR="000C71F8">
        <w:rPr>
          <w:rFonts w:ascii="Times New Roman" w:hAnsi="Times New Roman"/>
          <w:sz w:val="24"/>
          <w:szCs w:val="24"/>
        </w:rPr>
        <w:t xml:space="preserve"> (SPTZ)</w:t>
      </w:r>
      <w:r>
        <w:rPr>
          <w:rStyle w:val="FootnoteReference"/>
          <w:rFonts w:ascii="Times New Roman" w:hAnsi="Times New Roman" w:cs="Times New Roman"/>
          <w:noProof/>
          <w:sz w:val="24"/>
          <w:szCs w:val="24"/>
        </w:rPr>
        <w:footnoteReference w:id="23"/>
      </w:r>
      <w:r>
        <w:rPr>
          <w:rFonts w:ascii="Times New Roman" w:hAnsi="Times New Roman"/>
          <w:sz w:val="24"/>
          <w:szCs w:val="24"/>
        </w:rPr>
        <w:t xml:space="preserve"> a v průměru za celou dobu provozu systému ECRIS.</w:t>
      </w:r>
    </w:p>
    <w:p w14:paraId="7D561416" w14:textId="77777777" w:rsidR="00A55564" w:rsidRDefault="00A55564">
      <w:pPr>
        <w:jc w:val="center"/>
        <w:rPr>
          <w:rStyle w:val="CommentReference"/>
          <w:rFonts w:ascii="Times New Roman" w:hAnsi="Times New Roman" w:cs="Times New Roman"/>
          <w:noProof/>
          <w:sz w:val="24"/>
          <w:szCs w:val="24"/>
        </w:rPr>
      </w:pPr>
    </w:p>
    <w:p w14:paraId="7D561417" w14:textId="67DD240B" w:rsidR="008D3CBA" w:rsidRDefault="00551F37">
      <w:pPr>
        <w:jc w:val="center"/>
        <w:rPr>
          <w:rFonts w:ascii="Times New Roman" w:hAnsi="Times New Roman" w:cs="Times New Roman"/>
          <w:noProof/>
          <w:sz w:val="24"/>
          <w:szCs w:val="24"/>
        </w:rPr>
      </w:pPr>
      <w:r w:rsidRPr="00ED5D1D">
        <w:rPr>
          <w:rStyle w:val="CommentReference"/>
          <w:noProof/>
          <w:sz w:val="20"/>
          <w:szCs w:val="20"/>
          <w:lang w:val="fr-BE" w:eastAsia="fr-BE"/>
        </w:rPr>
        <w:drawing>
          <wp:inline distT="0" distB="0" distL="0" distR="0" wp14:anchorId="29BCAA04" wp14:editId="45D32422">
            <wp:extent cx="4067175" cy="28442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r="50711"/>
                    <a:stretch/>
                  </pic:blipFill>
                  <pic:spPr bwMode="auto">
                    <a:xfrm>
                      <a:off x="0" y="0"/>
                      <a:ext cx="4073182" cy="2848494"/>
                    </a:xfrm>
                    <a:prstGeom prst="rect">
                      <a:avLst/>
                    </a:prstGeom>
                    <a:noFill/>
                    <a:ln>
                      <a:noFill/>
                    </a:ln>
                    <a:extLst>
                      <a:ext uri="{53640926-AAD7-44D8-BBD7-CCE9431645EC}">
                        <a14:shadowObscured xmlns:a14="http://schemas.microsoft.com/office/drawing/2010/main"/>
                      </a:ext>
                    </a:extLst>
                  </pic:spPr>
                </pic:pic>
              </a:graphicData>
            </a:graphic>
          </wp:inline>
        </w:drawing>
      </w:r>
      <w:r w:rsidR="00A55564">
        <w:t xml:space="preserve"> </w:t>
      </w:r>
    </w:p>
    <w:p w14:paraId="7D561418" w14:textId="77777777" w:rsidR="001A0C98" w:rsidRDefault="001A0C98">
      <w:pPr>
        <w:contextualSpacing/>
        <w:jc w:val="center"/>
        <w:rPr>
          <w:rFonts w:ascii="Times New Roman" w:hAnsi="Times New Roman" w:cs="Times New Roman"/>
          <w:noProof/>
          <w:sz w:val="24"/>
          <w:szCs w:val="24"/>
        </w:rPr>
      </w:pPr>
    </w:p>
    <w:p w14:paraId="7D561419" w14:textId="1FBE2555" w:rsidR="008D3CBA" w:rsidRDefault="00551F37">
      <w:pPr>
        <w:contextualSpacing/>
        <w:jc w:val="center"/>
        <w:rPr>
          <w:rFonts w:ascii="Times New Roman" w:hAnsi="Times New Roman" w:cs="Times New Roman"/>
          <w:noProof/>
          <w:sz w:val="24"/>
          <w:szCs w:val="24"/>
        </w:rPr>
      </w:pPr>
      <w:r w:rsidRPr="00551F37">
        <w:rPr>
          <w:noProof/>
          <w:lang w:val="fr-BE" w:eastAsia="fr-BE"/>
        </w:rPr>
        <w:drawing>
          <wp:inline distT="0" distB="0" distL="0" distR="0" wp14:anchorId="00E8E430" wp14:editId="7E19E1B6">
            <wp:extent cx="5981700" cy="356218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0">
                      <a:extLst>
                        <a:ext uri="{28A0092B-C50C-407E-A947-70E740481C1C}">
                          <a14:useLocalDpi xmlns:a14="http://schemas.microsoft.com/office/drawing/2010/main" val="0"/>
                        </a:ext>
                      </a:extLst>
                    </a:blip>
                    <a:srcRect r="28711"/>
                    <a:stretch/>
                  </pic:blipFill>
                  <pic:spPr bwMode="auto">
                    <a:xfrm>
                      <a:off x="0" y="0"/>
                      <a:ext cx="5986253" cy="3564898"/>
                    </a:xfrm>
                    <a:prstGeom prst="rect">
                      <a:avLst/>
                    </a:prstGeom>
                    <a:noFill/>
                    <a:ln>
                      <a:noFill/>
                    </a:ln>
                    <a:extLst>
                      <a:ext uri="{53640926-AAD7-44D8-BBD7-CCE9431645EC}">
                        <a14:shadowObscured xmlns:a14="http://schemas.microsoft.com/office/drawing/2010/main"/>
                      </a:ext>
                    </a:extLst>
                  </pic:spPr>
                </pic:pic>
              </a:graphicData>
            </a:graphic>
          </wp:inline>
        </w:drawing>
      </w:r>
    </w:p>
    <w:p w14:paraId="7D56141A" w14:textId="77777777" w:rsidR="008D3CBA" w:rsidRDefault="008D3CBA">
      <w:pPr>
        <w:contextualSpacing/>
        <w:jc w:val="both"/>
        <w:rPr>
          <w:rFonts w:ascii="Times New Roman" w:hAnsi="Times New Roman" w:cs="Times New Roman"/>
          <w:noProof/>
          <w:sz w:val="24"/>
          <w:szCs w:val="24"/>
        </w:rPr>
      </w:pPr>
    </w:p>
    <w:p w14:paraId="7D56141B" w14:textId="77777777" w:rsidR="008D3CBA" w:rsidRDefault="00A81CAF">
      <w:pPr>
        <w:jc w:val="both"/>
        <w:rPr>
          <w:rFonts w:ascii="Times New Roman" w:hAnsi="Times New Roman" w:cs="Times New Roman"/>
          <w:noProof/>
          <w:sz w:val="24"/>
          <w:szCs w:val="24"/>
        </w:rPr>
      </w:pPr>
      <w:r>
        <w:rPr>
          <w:rFonts w:ascii="Times New Roman" w:hAnsi="Times New Roman"/>
          <w:sz w:val="24"/>
          <w:szCs w:val="24"/>
        </w:rPr>
        <w:t xml:space="preserve">V průměru </w:t>
      </w:r>
      <w:r>
        <w:rPr>
          <w:rFonts w:ascii="Times New Roman" w:hAnsi="Times New Roman"/>
          <w:b/>
          <w:sz w:val="24"/>
          <w:szCs w:val="24"/>
        </w:rPr>
        <w:t>92 %</w:t>
      </w:r>
      <w:r>
        <w:rPr>
          <w:rFonts w:ascii="Times New Roman" w:hAnsi="Times New Roman"/>
          <w:sz w:val="24"/>
          <w:szCs w:val="24"/>
        </w:rPr>
        <w:t xml:space="preserve"> všech žádostí se týká </w:t>
      </w:r>
      <w:r>
        <w:rPr>
          <w:rFonts w:ascii="Times New Roman" w:hAnsi="Times New Roman"/>
          <w:b/>
          <w:sz w:val="24"/>
          <w:szCs w:val="24"/>
        </w:rPr>
        <w:t>státních příslušníků EU</w:t>
      </w:r>
      <w:r>
        <w:rPr>
          <w:rFonts w:ascii="Times New Roman" w:hAnsi="Times New Roman"/>
          <w:sz w:val="24"/>
          <w:szCs w:val="24"/>
        </w:rPr>
        <w:t xml:space="preserve"> a zhruba </w:t>
      </w:r>
      <w:r>
        <w:rPr>
          <w:rFonts w:ascii="Times New Roman" w:hAnsi="Times New Roman"/>
          <w:b/>
          <w:sz w:val="24"/>
          <w:szCs w:val="24"/>
        </w:rPr>
        <w:t>8 % se týká státních příslušníků třetích zemí</w:t>
      </w:r>
      <w:r>
        <w:rPr>
          <w:rFonts w:ascii="Times New Roman" w:hAnsi="Times New Roman"/>
          <w:sz w:val="24"/>
          <w:szCs w:val="24"/>
        </w:rPr>
        <w:t>. Podíl žádostí u osob bez státní příslušnosti je marginální (0,02 %).</w:t>
      </w:r>
    </w:p>
    <w:p w14:paraId="7D56141C" w14:textId="40213BC5" w:rsidR="008D3CBA" w:rsidRPr="004A2FA4" w:rsidRDefault="001D2B03">
      <w:pPr>
        <w:jc w:val="both"/>
        <w:rPr>
          <w:rFonts w:ascii="Times New Roman" w:hAnsi="Times New Roman" w:cs="Times New Roman"/>
          <w:bCs/>
          <w:noProof/>
          <w:sz w:val="24"/>
          <w:szCs w:val="24"/>
        </w:rPr>
      </w:pPr>
      <w:r>
        <w:rPr>
          <w:rFonts w:ascii="Times New Roman" w:hAnsi="Times New Roman"/>
          <w:sz w:val="24"/>
          <w:szCs w:val="24"/>
        </w:rPr>
        <w:t xml:space="preserve">Ačkoli </w:t>
      </w:r>
      <w:r>
        <w:rPr>
          <w:rFonts w:ascii="Times New Roman" w:hAnsi="Times New Roman"/>
          <w:b/>
          <w:bCs/>
          <w:sz w:val="24"/>
          <w:szCs w:val="24"/>
        </w:rPr>
        <w:t>procento žádostí o informace týkajících se státních příslušníků třetích zemí</w:t>
      </w:r>
      <w:r>
        <w:rPr>
          <w:rFonts w:ascii="Times New Roman" w:hAnsi="Times New Roman"/>
          <w:sz w:val="24"/>
          <w:szCs w:val="24"/>
        </w:rPr>
        <w:t xml:space="preserve"> od roku 2016 </w:t>
      </w:r>
      <w:r>
        <w:rPr>
          <w:rFonts w:ascii="Times New Roman" w:hAnsi="Times New Roman"/>
          <w:b/>
          <w:bCs/>
          <w:sz w:val="24"/>
          <w:szCs w:val="24"/>
        </w:rPr>
        <w:t>pokleslo</w:t>
      </w:r>
      <w:r>
        <w:rPr>
          <w:rFonts w:ascii="Times New Roman" w:hAnsi="Times New Roman"/>
          <w:sz w:val="24"/>
          <w:szCs w:val="24"/>
        </w:rPr>
        <w:t xml:space="preserve"> z 10 % na </w:t>
      </w:r>
      <w:r>
        <w:rPr>
          <w:rFonts w:ascii="Times New Roman" w:hAnsi="Times New Roman"/>
          <w:b/>
          <w:bCs/>
          <w:sz w:val="24"/>
          <w:szCs w:val="24"/>
        </w:rPr>
        <w:t>7 % všech žádostí v roce 2019</w:t>
      </w:r>
      <w:r>
        <w:rPr>
          <w:rFonts w:ascii="Times New Roman" w:hAnsi="Times New Roman"/>
          <w:sz w:val="24"/>
          <w:szCs w:val="24"/>
        </w:rPr>
        <w:t xml:space="preserve">, </w:t>
      </w:r>
      <w:r>
        <w:rPr>
          <w:rFonts w:ascii="Times New Roman" w:hAnsi="Times New Roman"/>
          <w:b/>
          <w:bCs/>
          <w:sz w:val="24"/>
          <w:szCs w:val="24"/>
        </w:rPr>
        <w:t>skutečný počet těchto žádostí</w:t>
      </w:r>
      <w:r>
        <w:rPr>
          <w:rFonts w:ascii="Times New Roman" w:hAnsi="Times New Roman"/>
          <w:sz w:val="24"/>
          <w:szCs w:val="24"/>
        </w:rPr>
        <w:t xml:space="preserve"> neustále </w:t>
      </w:r>
      <w:r>
        <w:rPr>
          <w:rFonts w:ascii="Times New Roman" w:hAnsi="Times New Roman"/>
          <w:b/>
          <w:bCs/>
          <w:sz w:val="24"/>
          <w:szCs w:val="24"/>
        </w:rPr>
        <w:t>roste</w:t>
      </w:r>
      <w:r>
        <w:rPr>
          <w:rFonts w:ascii="Times New Roman" w:hAnsi="Times New Roman"/>
          <w:sz w:val="24"/>
          <w:szCs w:val="24"/>
        </w:rPr>
        <w:t xml:space="preserve"> a v roce </w:t>
      </w:r>
      <w:r>
        <w:rPr>
          <w:rFonts w:ascii="Times New Roman" w:hAnsi="Times New Roman"/>
          <w:b/>
          <w:bCs/>
          <w:sz w:val="24"/>
          <w:szCs w:val="24"/>
        </w:rPr>
        <w:t>2019 přesáhl 69 000</w:t>
      </w:r>
      <w:r>
        <w:rPr>
          <w:rFonts w:ascii="Times New Roman" w:hAnsi="Times New Roman"/>
          <w:sz w:val="24"/>
          <w:szCs w:val="24"/>
        </w:rPr>
        <w:t>.</w:t>
      </w:r>
      <w:r>
        <w:rPr>
          <w:rFonts w:ascii="Times New Roman" w:hAnsi="Times New Roman"/>
          <w:b/>
          <w:sz w:val="24"/>
          <w:szCs w:val="24"/>
        </w:rPr>
        <w:t xml:space="preserve"> </w:t>
      </w:r>
      <w:r>
        <w:rPr>
          <w:rFonts w:ascii="Times New Roman" w:hAnsi="Times New Roman"/>
          <w:bCs/>
          <w:sz w:val="24"/>
          <w:szCs w:val="24"/>
        </w:rPr>
        <w:t>Tento jev je způsoben významným nárůstem žádostí pro jiné účely než trestní řízení, které se týkají zejména státních příslušníků EU.</w:t>
      </w:r>
    </w:p>
    <w:p w14:paraId="7D56141D" w14:textId="77777777" w:rsidR="008D3CBA" w:rsidRDefault="00C31682">
      <w:pPr>
        <w:jc w:val="both"/>
        <w:rPr>
          <w:rFonts w:ascii="Times New Roman" w:hAnsi="Times New Roman" w:cs="Times New Roman"/>
          <w:noProof/>
          <w:sz w:val="24"/>
          <w:szCs w:val="24"/>
        </w:rPr>
      </w:pPr>
      <w:r>
        <w:rPr>
          <w:rFonts w:ascii="Times New Roman" w:hAnsi="Times New Roman"/>
          <w:sz w:val="24"/>
          <w:szCs w:val="24"/>
        </w:rPr>
        <w:t>V roce 2019 byl přijat doplňující právní předpis</w:t>
      </w:r>
      <w:r>
        <w:rPr>
          <w:rStyle w:val="FootnoteReference"/>
          <w:rFonts w:ascii="Times New Roman" w:hAnsi="Times New Roman" w:cs="Times New Roman"/>
          <w:noProof/>
          <w:sz w:val="24"/>
          <w:szCs w:val="24"/>
        </w:rPr>
        <w:footnoteReference w:id="24"/>
      </w:r>
      <w:r>
        <w:rPr>
          <w:rFonts w:ascii="Times New Roman" w:hAnsi="Times New Roman"/>
          <w:sz w:val="24"/>
          <w:szCs w:val="24"/>
        </w:rPr>
        <w:t>, kterým se zřizuje centralizovaný systém ECRIS-TCN. Tento systém umožňuje účinnou identifikaci členského státu (členských států), jež má v rejstříku trestů informace o státních příslušnících třetích zemí odsouzených v EU. Po uvedení do provozu v roce 2023 se očekává, že systém ECRIS zefektivní výměnu informací o státních příslušnících třetích zemí, což povede ke značnému nárůstu těchto požadavků.</w:t>
      </w:r>
    </w:p>
    <w:p w14:paraId="7D56141E" w14:textId="77777777" w:rsidR="009C1B0D" w:rsidRPr="001B0C71" w:rsidRDefault="009C1B0D">
      <w:pPr>
        <w:rPr>
          <w:rFonts w:ascii="Times New Roman" w:hAnsi="Times New Roman" w:cs="Times New Roman"/>
          <w:noProof/>
          <w:sz w:val="24"/>
          <w:szCs w:val="24"/>
        </w:rPr>
      </w:pPr>
      <w:bookmarkStart w:id="28" w:name="_Toc479267025"/>
    </w:p>
    <w:p w14:paraId="7D56141F" w14:textId="77777777" w:rsidR="008D3CBA" w:rsidRDefault="00FB606C">
      <w:pPr>
        <w:rPr>
          <w:rFonts w:ascii="Times New Roman" w:hAnsi="Times New Roman" w:cs="Times New Roman"/>
          <w:b/>
          <w:noProof/>
          <w:sz w:val="24"/>
          <w:szCs w:val="24"/>
        </w:rPr>
      </w:pPr>
      <w:r>
        <w:rPr>
          <w:rFonts w:ascii="Times New Roman" w:hAnsi="Times New Roman"/>
          <w:b/>
          <w:sz w:val="24"/>
          <w:szCs w:val="24"/>
        </w:rPr>
        <w:t>2.10</w:t>
      </w:r>
      <w:bookmarkEnd w:id="28"/>
      <w:r>
        <w:rPr>
          <w:rFonts w:ascii="Times New Roman" w:hAnsi="Times New Roman"/>
          <w:b/>
          <w:sz w:val="24"/>
          <w:szCs w:val="24"/>
        </w:rPr>
        <w:t xml:space="preserve"> Odpovědi obsahující informace o odsouzení</w:t>
      </w:r>
    </w:p>
    <w:p w14:paraId="7D561420" w14:textId="77777777" w:rsidR="008D3CBA" w:rsidRDefault="00A81CAF">
      <w:pPr>
        <w:jc w:val="both"/>
        <w:rPr>
          <w:rFonts w:ascii="Times New Roman" w:hAnsi="Times New Roman" w:cs="Times New Roman"/>
          <w:noProof/>
          <w:sz w:val="24"/>
          <w:szCs w:val="24"/>
        </w:rPr>
      </w:pPr>
      <w:r>
        <w:rPr>
          <w:rFonts w:ascii="Times New Roman" w:hAnsi="Times New Roman"/>
          <w:sz w:val="24"/>
          <w:szCs w:val="24"/>
        </w:rPr>
        <w:t>V následujících grafech je uveden podíl odpovědí na žádosti obsahujících informace o jednom či více odsouzeních, odpovědí neobsahujících informace o odsouzení a jiných odpovědí za rok</w:t>
      </w:r>
      <w:r>
        <w:rPr>
          <w:rStyle w:val="FootnoteReference"/>
          <w:rFonts w:ascii="Times New Roman" w:hAnsi="Times New Roman" w:cs="Times New Roman"/>
          <w:noProof/>
          <w:sz w:val="24"/>
          <w:szCs w:val="24"/>
        </w:rPr>
        <w:footnoteReference w:id="25"/>
      </w:r>
      <w:r>
        <w:rPr>
          <w:rFonts w:ascii="Times New Roman" w:hAnsi="Times New Roman"/>
          <w:sz w:val="24"/>
          <w:szCs w:val="24"/>
        </w:rPr>
        <w:t xml:space="preserve"> a v průměru za dobu provozu systému ECRIS.</w:t>
      </w:r>
    </w:p>
    <w:p w14:paraId="7D561421" w14:textId="052D181F" w:rsidR="00E03D86" w:rsidRDefault="00551F37" w:rsidP="00B85699">
      <w:pPr>
        <w:jc w:val="center"/>
        <w:rPr>
          <w:rFonts w:ascii="Times New Roman" w:hAnsi="Times New Roman" w:cs="Times New Roman"/>
          <w:noProof/>
          <w:sz w:val="24"/>
          <w:szCs w:val="24"/>
        </w:rPr>
      </w:pPr>
      <w:r w:rsidRPr="00551F37">
        <w:rPr>
          <w:noProof/>
          <w:lang w:val="fr-BE" w:eastAsia="fr-BE"/>
        </w:rPr>
        <w:drawing>
          <wp:inline distT="0" distB="0" distL="0" distR="0" wp14:anchorId="449EE78F" wp14:editId="4FD6E973">
            <wp:extent cx="4724400" cy="25717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1">
                      <a:extLst>
                        <a:ext uri="{28A0092B-C50C-407E-A947-70E740481C1C}">
                          <a14:useLocalDpi xmlns:a14="http://schemas.microsoft.com/office/drawing/2010/main" val="0"/>
                        </a:ext>
                      </a:extLst>
                    </a:blip>
                    <a:srcRect r="39626"/>
                    <a:stretch/>
                  </pic:blipFill>
                  <pic:spPr bwMode="auto">
                    <a:xfrm>
                      <a:off x="0" y="0"/>
                      <a:ext cx="4728859" cy="2574177"/>
                    </a:xfrm>
                    <a:prstGeom prst="rect">
                      <a:avLst/>
                    </a:prstGeom>
                    <a:noFill/>
                    <a:ln>
                      <a:noFill/>
                    </a:ln>
                    <a:extLst>
                      <a:ext uri="{53640926-AAD7-44D8-BBD7-CCE9431645EC}">
                        <a14:shadowObscured xmlns:a14="http://schemas.microsoft.com/office/drawing/2010/main"/>
                      </a:ext>
                    </a:extLst>
                  </pic:spPr>
                </pic:pic>
              </a:graphicData>
            </a:graphic>
          </wp:inline>
        </w:drawing>
      </w:r>
    </w:p>
    <w:p w14:paraId="7D561422" w14:textId="77777777" w:rsidR="008D3CBA" w:rsidRDefault="008D3CBA">
      <w:pPr>
        <w:jc w:val="center"/>
        <w:rPr>
          <w:rFonts w:ascii="Times New Roman" w:hAnsi="Times New Roman" w:cs="Times New Roman"/>
          <w:noProof/>
          <w:sz w:val="24"/>
          <w:szCs w:val="24"/>
        </w:rPr>
      </w:pPr>
    </w:p>
    <w:p w14:paraId="7D561423" w14:textId="77777777" w:rsidR="00307CAB" w:rsidRDefault="00A81CAF">
      <w:pPr>
        <w:contextualSpacing/>
        <w:jc w:val="both"/>
        <w:rPr>
          <w:rFonts w:ascii="Times New Roman" w:hAnsi="Times New Roman" w:cs="Times New Roman"/>
          <w:noProof/>
          <w:sz w:val="24"/>
          <w:szCs w:val="24"/>
        </w:rPr>
      </w:pPr>
      <w:r>
        <w:rPr>
          <w:rFonts w:ascii="Times New Roman" w:hAnsi="Times New Roman"/>
          <w:sz w:val="24"/>
          <w:szCs w:val="24"/>
        </w:rPr>
        <w:t xml:space="preserve">Od prvního roku provozu systému ECRIS </w:t>
      </w:r>
      <w:r>
        <w:rPr>
          <w:rFonts w:ascii="Times New Roman" w:hAnsi="Times New Roman"/>
          <w:b/>
          <w:sz w:val="24"/>
          <w:szCs w:val="24"/>
        </w:rPr>
        <w:t>obsahovalo informace o předchozích odsouzeních v průměru 26 % odpovědí</w:t>
      </w:r>
      <w:r>
        <w:rPr>
          <w:rFonts w:ascii="Times New Roman" w:hAnsi="Times New Roman"/>
          <w:sz w:val="24"/>
          <w:szCs w:val="24"/>
        </w:rPr>
        <w:t>.</w:t>
      </w:r>
      <w:r>
        <w:rPr>
          <w:rFonts w:ascii="Times New Roman" w:hAnsi="Times New Roman"/>
          <w:b/>
          <w:sz w:val="24"/>
          <w:szCs w:val="24"/>
        </w:rPr>
        <w:t xml:space="preserve"> </w:t>
      </w:r>
      <w:r>
        <w:rPr>
          <w:rFonts w:ascii="Times New Roman" w:hAnsi="Times New Roman"/>
          <w:sz w:val="24"/>
          <w:szCs w:val="24"/>
        </w:rPr>
        <w:t xml:space="preserve">To znamená, že </w:t>
      </w:r>
      <w:r>
        <w:rPr>
          <w:rFonts w:ascii="Times New Roman" w:hAnsi="Times New Roman"/>
          <w:b/>
          <w:bCs/>
          <w:sz w:val="24"/>
          <w:szCs w:val="24"/>
        </w:rPr>
        <w:t>v jednom ze čtyř případů byla dotčená osoba již</w:t>
      </w:r>
      <w:r>
        <w:rPr>
          <w:rFonts w:ascii="Times New Roman" w:hAnsi="Times New Roman"/>
          <w:sz w:val="24"/>
          <w:szCs w:val="24"/>
        </w:rPr>
        <w:t xml:space="preserve"> jednou nebo vícekrát </w:t>
      </w:r>
      <w:r>
        <w:rPr>
          <w:rFonts w:ascii="Times New Roman" w:hAnsi="Times New Roman"/>
          <w:b/>
          <w:bCs/>
          <w:sz w:val="24"/>
          <w:szCs w:val="24"/>
        </w:rPr>
        <w:t>odsouzena</w:t>
      </w:r>
      <w:r>
        <w:rPr>
          <w:rFonts w:ascii="Times New Roman" w:hAnsi="Times New Roman"/>
          <w:sz w:val="24"/>
          <w:szCs w:val="24"/>
        </w:rPr>
        <w:t xml:space="preserve">, což prokazuje hodnotu systému ECRIS jako nástroje na získávání informací z rejstříků trestů. </w:t>
      </w:r>
    </w:p>
    <w:p w14:paraId="7D561424" w14:textId="77777777" w:rsidR="002A1630" w:rsidRDefault="002A1630">
      <w:pPr>
        <w:contextualSpacing/>
        <w:jc w:val="both"/>
        <w:rPr>
          <w:rFonts w:ascii="Times New Roman" w:hAnsi="Times New Roman" w:cs="Times New Roman"/>
          <w:noProof/>
          <w:sz w:val="24"/>
          <w:szCs w:val="24"/>
        </w:rPr>
      </w:pPr>
    </w:p>
    <w:p w14:paraId="7D561425" w14:textId="77777777" w:rsidR="00307CAB" w:rsidRDefault="00E613E1">
      <w:pPr>
        <w:contextualSpacing/>
        <w:jc w:val="both"/>
        <w:rPr>
          <w:rFonts w:ascii="Times New Roman" w:hAnsi="Times New Roman" w:cs="Times New Roman"/>
          <w:noProof/>
          <w:sz w:val="24"/>
          <w:szCs w:val="24"/>
        </w:rPr>
      </w:pPr>
      <w:r>
        <w:rPr>
          <w:rFonts w:ascii="Times New Roman" w:hAnsi="Times New Roman"/>
          <w:sz w:val="24"/>
          <w:szCs w:val="24"/>
        </w:rPr>
        <w:t xml:space="preserve">Po mnoho let, až do roku 2018, toto procento zůstávalo na stabilní úrovni kolem 30 %, v roce </w:t>
      </w:r>
      <w:r>
        <w:rPr>
          <w:rFonts w:ascii="Times New Roman" w:hAnsi="Times New Roman"/>
          <w:b/>
          <w:bCs/>
          <w:sz w:val="24"/>
          <w:szCs w:val="24"/>
        </w:rPr>
        <w:t>2019 však náhle pokleslo na 19 %</w:t>
      </w:r>
      <w:r>
        <w:rPr>
          <w:rFonts w:ascii="Times New Roman" w:hAnsi="Times New Roman"/>
          <w:sz w:val="24"/>
          <w:szCs w:val="24"/>
        </w:rPr>
        <w:t>, souběžně s dramatickým nárůstem počtu žádostí pro jiné účely než pro trestní řízení. Je dobrým znamením, že většina osob, které byly předmětem žádostí o informace týkající se mimo jiné náboru, licencí, administrativních účelů, nebyla dříve odsouzena.</w:t>
      </w:r>
    </w:p>
    <w:p w14:paraId="7D561426" w14:textId="77777777" w:rsidR="002A1630" w:rsidRDefault="002A1630">
      <w:pPr>
        <w:contextualSpacing/>
        <w:jc w:val="both"/>
        <w:rPr>
          <w:rFonts w:ascii="Times New Roman" w:hAnsi="Times New Roman" w:cs="Times New Roman"/>
          <w:noProof/>
          <w:sz w:val="24"/>
          <w:szCs w:val="24"/>
        </w:rPr>
      </w:pPr>
    </w:p>
    <w:p w14:paraId="7D561427" w14:textId="77777777" w:rsidR="008D3CBA" w:rsidRDefault="00A81CAF">
      <w:pPr>
        <w:contextualSpacing/>
        <w:jc w:val="both"/>
        <w:rPr>
          <w:rFonts w:ascii="Times New Roman" w:hAnsi="Times New Roman" w:cs="Times New Roman"/>
          <w:noProof/>
          <w:sz w:val="24"/>
          <w:szCs w:val="24"/>
        </w:rPr>
      </w:pPr>
      <w:r>
        <w:rPr>
          <w:rFonts w:ascii="Times New Roman" w:hAnsi="Times New Roman"/>
          <w:b/>
          <w:sz w:val="24"/>
          <w:szCs w:val="24"/>
        </w:rPr>
        <w:t>V roce 2019</w:t>
      </w:r>
      <w:r>
        <w:rPr>
          <w:rFonts w:ascii="Times New Roman" w:hAnsi="Times New Roman"/>
          <w:sz w:val="24"/>
          <w:szCs w:val="24"/>
        </w:rPr>
        <w:t xml:space="preserve"> to představovalo více než </w:t>
      </w:r>
      <w:r>
        <w:rPr>
          <w:rFonts w:ascii="Times New Roman" w:hAnsi="Times New Roman"/>
          <w:b/>
          <w:sz w:val="24"/>
          <w:szCs w:val="24"/>
        </w:rPr>
        <w:t xml:space="preserve">188 000 odpovědí na všechny žádosti, včetně informací o odsouzeních </w:t>
      </w:r>
      <w:r>
        <w:rPr>
          <w:rFonts w:ascii="Times New Roman" w:hAnsi="Times New Roman"/>
          <w:bCs/>
          <w:sz w:val="24"/>
          <w:szCs w:val="24"/>
        </w:rPr>
        <w:t>(ve srovnání se 105 000 v roce 2016).</w:t>
      </w:r>
      <w:r>
        <w:rPr>
          <w:rFonts w:ascii="Times New Roman" w:hAnsi="Times New Roman"/>
          <w:b/>
          <w:sz w:val="24"/>
          <w:szCs w:val="24"/>
        </w:rPr>
        <w:t xml:space="preserve"> </w:t>
      </w:r>
      <w:r>
        <w:rPr>
          <w:rFonts w:ascii="Times New Roman" w:hAnsi="Times New Roman"/>
          <w:sz w:val="24"/>
          <w:szCs w:val="24"/>
        </w:rPr>
        <w:t>Odpovědi neobsahující informace o odsouzení představovaly v posledních pěti letech v průměru 74 % a jiné odpovědi 7 %.</w:t>
      </w:r>
    </w:p>
    <w:p w14:paraId="31782BAC" w14:textId="77777777" w:rsidR="001B0C71" w:rsidRPr="001B0C71" w:rsidRDefault="001B0C71">
      <w:pPr>
        <w:rPr>
          <w:rStyle w:val="Hyperlink"/>
          <w:rFonts w:ascii="Times New Roman" w:hAnsi="Times New Roman" w:cs="Times New Roman"/>
          <w:noProof/>
          <w:color w:val="auto"/>
          <w:sz w:val="24"/>
          <w:szCs w:val="24"/>
          <w:u w:val="none"/>
        </w:rPr>
      </w:pPr>
      <w:bookmarkStart w:id="29" w:name="_Toc479267027"/>
      <w:bookmarkStart w:id="30" w:name="_Toc479267028"/>
      <w:bookmarkStart w:id="31" w:name="_Toc479267029"/>
      <w:bookmarkStart w:id="32" w:name="_Toc479267030"/>
      <w:bookmarkStart w:id="33" w:name="_Toc479267031"/>
      <w:bookmarkStart w:id="34" w:name="_Toc479267032"/>
      <w:bookmarkStart w:id="35" w:name="_Toc479267033"/>
      <w:bookmarkStart w:id="36" w:name="_Toc479267034"/>
      <w:bookmarkStart w:id="37" w:name="_Toc479267035"/>
      <w:bookmarkStart w:id="38" w:name="_Toc479267036"/>
      <w:bookmarkStart w:id="39" w:name="_Toc479267037"/>
      <w:bookmarkStart w:id="40" w:name="_Toc479267038"/>
      <w:bookmarkStart w:id="41" w:name="_Toc479267039"/>
      <w:bookmarkStart w:id="42" w:name="_Toc479267040"/>
      <w:bookmarkStart w:id="43" w:name="_Toc479267041"/>
      <w:bookmarkStart w:id="44" w:name="_Toc479267042"/>
      <w:bookmarkStart w:id="45" w:name="_Toc479267043"/>
      <w:bookmarkStart w:id="46" w:name="_Toc479267044"/>
      <w:bookmarkStart w:id="47" w:name="_Toc479267045"/>
      <w:bookmarkStart w:id="48" w:name="_Toc479267046"/>
      <w:bookmarkStart w:id="49" w:name="_Toc479267047"/>
      <w:bookmarkStart w:id="50" w:name="_Toc479267048"/>
      <w:bookmarkStart w:id="51" w:name="_Toc479267049"/>
      <w:bookmarkStart w:id="52" w:name="_Toc479267050"/>
      <w:bookmarkStart w:id="53" w:name="_Toc479267051"/>
      <w:bookmarkStart w:id="54" w:name="_Toc479267052"/>
      <w:bookmarkStart w:id="55" w:name="_Toc479267053"/>
      <w:bookmarkStart w:id="56" w:name="_Toc479267054"/>
      <w:bookmarkStart w:id="57" w:name="_Toc479267055"/>
      <w:bookmarkStart w:id="58" w:name="_Toc479267056"/>
      <w:bookmarkStart w:id="59" w:name="_Toc479267057"/>
      <w:bookmarkStart w:id="60" w:name="_Toc479267058"/>
      <w:bookmarkStart w:id="61" w:name="_Toc479267059"/>
      <w:bookmarkStart w:id="62" w:name="_Toc479267060"/>
      <w:bookmarkStart w:id="63" w:name="_Toc479267061"/>
      <w:bookmarkStart w:id="64" w:name="_Toc479267062"/>
      <w:bookmarkStart w:id="65" w:name="_Toc479267063"/>
      <w:bookmarkStart w:id="66" w:name="_Toc479267064"/>
      <w:bookmarkStart w:id="67" w:name="_Toc479267065"/>
      <w:bookmarkStart w:id="68" w:name="_Toc479267066"/>
      <w:bookmarkStart w:id="69" w:name="_Toc479267067"/>
      <w:bookmarkStart w:id="70" w:name="_Toc479267068"/>
      <w:bookmarkStart w:id="71" w:name="_Toc479267069"/>
      <w:bookmarkStart w:id="72" w:name="_Toc479267070"/>
      <w:bookmarkStart w:id="73" w:name="_Toc479267071"/>
      <w:bookmarkStart w:id="74" w:name="_Toc479267072"/>
      <w:bookmarkStart w:id="75" w:name="_Toc479267073"/>
      <w:bookmarkStart w:id="76" w:name="_Toc479267074"/>
      <w:bookmarkStart w:id="77" w:name="_Toc479267075"/>
      <w:bookmarkStart w:id="78" w:name="_Toc479267076"/>
      <w:bookmarkStart w:id="79" w:name="_Toc479267077"/>
      <w:bookmarkStart w:id="80" w:name="_Toc479267078"/>
      <w:bookmarkStart w:id="81" w:name="_Toc479267079"/>
      <w:bookmarkStart w:id="82" w:name="_Toc479267080"/>
      <w:bookmarkStart w:id="83" w:name="_Toc479267081"/>
      <w:bookmarkStart w:id="84" w:name="_Toc479267082"/>
      <w:bookmarkStart w:id="85" w:name="_Toc479267083"/>
      <w:bookmarkStart w:id="86" w:name="_Toc479267084"/>
      <w:bookmarkStart w:id="87" w:name="_Toc479267085"/>
      <w:bookmarkStart w:id="88" w:name="_Toc479267086"/>
      <w:bookmarkStart w:id="89" w:name="_Toc479267087"/>
      <w:bookmarkStart w:id="90" w:name="_Toc479267088"/>
      <w:bookmarkStart w:id="91" w:name="_Toc479267089"/>
      <w:bookmarkStart w:id="92" w:name="_Toc479267090"/>
      <w:bookmarkStart w:id="93" w:name="_Toc479267091"/>
      <w:bookmarkStart w:id="94" w:name="_Toc479267092"/>
      <w:bookmarkStart w:id="95" w:name="_Toc479267093"/>
      <w:bookmarkStart w:id="96" w:name="_Toc479267094"/>
      <w:bookmarkStart w:id="97" w:name="_Toc479267095"/>
      <w:bookmarkStart w:id="98" w:name="_Toc479267096"/>
      <w:bookmarkStart w:id="99" w:name="_Toc479267097"/>
      <w:bookmarkStart w:id="100" w:name="_Toc479267098"/>
      <w:bookmarkStart w:id="101" w:name="_Toc479267099"/>
      <w:bookmarkStart w:id="102" w:name="_Toc479267100"/>
      <w:bookmarkStart w:id="103" w:name="_Toc479267101"/>
      <w:bookmarkStart w:id="104" w:name="_Toc479267102"/>
      <w:bookmarkStart w:id="105" w:name="_Toc479267103"/>
      <w:bookmarkStart w:id="106" w:name="_Toc479267104"/>
      <w:bookmarkStart w:id="107" w:name="_Toc479267105"/>
      <w:bookmarkStart w:id="108" w:name="_Toc479267106"/>
      <w:bookmarkStart w:id="109" w:name="_Toc479267107"/>
      <w:bookmarkStart w:id="110" w:name="_Toc479267108"/>
      <w:bookmarkStart w:id="111" w:name="_Toc479267109"/>
      <w:bookmarkStart w:id="112" w:name="_Toc479267110"/>
      <w:bookmarkStart w:id="113" w:name="_Toc479267111"/>
      <w:bookmarkStart w:id="114" w:name="_Toc479267112"/>
      <w:bookmarkStart w:id="115" w:name="_Toc479267113"/>
      <w:bookmarkStart w:id="116" w:name="_Toc479267114"/>
      <w:bookmarkStart w:id="117" w:name="_Toc479267115"/>
      <w:bookmarkStart w:id="118" w:name="_Toc479267116"/>
      <w:bookmarkStart w:id="119" w:name="_Toc479267117"/>
      <w:bookmarkStart w:id="120" w:name="_Toc479267118"/>
      <w:bookmarkStart w:id="121" w:name="_Toc479267119"/>
      <w:bookmarkStart w:id="122" w:name="_Toc479267120"/>
      <w:bookmarkStart w:id="123" w:name="_Toc479267121"/>
      <w:bookmarkStart w:id="124" w:name="_Toc479267122"/>
      <w:bookmarkStart w:id="125" w:name="_Toc479267123"/>
      <w:bookmarkStart w:id="126" w:name="_Toc479267124"/>
      <w:bookmarkStart w:id="127" w:name="_Toc479267125"/>
      <w:bookmarkStart w:id="128" w:name="_Toc479267126"/>
      <w:bookmarkStart w:id="129" w:name="_Toc479267127"/>
      <w:bookmarkStart w:id="130" w:name="_Toc479267128"/>
      <w:bookmarkStart w:id="131" w:name="_Toc479267129"/>
      <w:bookmarkStart w:id="132" w:name="_Toc479267130"/>
      <w:bookmarkStart w:id="133" w:name="_Toc479267131"/>
      <w:bookmarkStart w:id="134" w:name="_Toc479267132"/>
      <w:bookmarkStart w:id="135" w:name="_Toc479267133"/>
      <w:bookmarkStart w:id="136" w:name="_Toc479267134"/>
      <w:bookmarkStart w:id="137" w:name="_Toc479267135"/>
      <w:bookmarkStart w:id="138" w:name="_Toc479267136"/>
      <w:bookmarkStart w:id="139" w:name="_Toc479267137"/>
      <w:bookmarkStart w:id="140" w:name="_Toc479267138"/>
      <w:bookmarkStart w:id="141" w:name="_Toc479267139"/>
      <w:bookmarkStart w:id="142" w:name="_Toc479267140"/>
      <w:bookmarkStart w:id="143" w:name="_Toc479267141"/>
      <w:bookmarkStart w:id="144" w:name="_Toc479267142"/>
      <w:bookmarkStart w:id="145" w:name="_Toc479267143"/>
      <w:bookmarkStart w:id="146" w:name="_Toc479267144"/>
      <w:bookmarkStart w:id="147" w:name="_Toc479267145"/>
      <w:bookmarkStart w:id="148" w:name="_Toc479267146"/>
      <w:bookmarkStart w:id="149" w:name="_Toc479267147"/>
      <w:bookmarkStart w:id="150" w:name="_Toc479267148"/>
      <w:bookmarkStart w:id="151" w:name="_Toc479267149"/>
      <w:bookmarkStart w:id="152" w:name="_Toc479267150"/>
      <w:bookmarkStart w:id="153" w:name="_Toc479267151"/>
      <w:bookmarkStart w:id="154" w:name="_Toc479267152"/>
      <w:bookmarkStart w:id="155" w:name="_Toc479267153"/>
      <w:bookmarkStart w:id="156" w:name="_Toc479267154"/>
      <w:bookmarkStart w:id="157" w:name="_Toc479267155"/>
      <w:bookmarkStart w:id="158" w:name="_Toc479267156"/>
      <w:bookmarkStart w:id="159" w:name="_Toc479267157"/>
      <w:bookmarkStart w:id="160" w:name="_Toc479267158"/>
      <w:bookmarkStart w:id="161" w:name="_Toc479267159"/>
      <w:bookmarkStart w:id="162" w:name="_Toc479267160"/>
      <w:bookmarkStart w:id="163" w:name="_Toc479267161"/>
      <w:bookmarkStart w:id="164" w:name="_Toc479267162"/>
      <w:bookmarkStart w:id="165" w:name="_Toc479267163"/>
      <w:bookmarkStart w:id="166" w:name="_Toc479267164"/>
      <w:bookmarkStart w:id="167" w:name="_Toc479267165"/>
      <w:bookmarkStart w:id="168" w:name="_Toc479267166"/>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7D561429" w14:textId="03E10C63" w:rsidR="009C1B0D" w:rsidRPr="001B0C71" w:rsidRDefault="00C26AF2" w:rsidP="00C26AF2">
      <w:pPr>
        <w:jc w:val="both"/>
        <w:rPr>
          <w:rFonts w:ascii="Times New Roman" w:hAnsi="Times New Roman" w:cs="Times New Roman"/>
          <w:b/>
          <w:smallCaps/>
          <w:noProof/>
          <w:kern w:val="28"/>
          <w:sz w:val="24"/>
          <w:szCs w:val="24"/>
        </w:rPr>
      </w:pPr>
      <w:r>
        <w:rPr>
          <w:rFonts w:ascii="Times New Roman" w:hAnsi="Times New Roman"/>
          <w:b/>
          <w:sz w:val="24"/>
          <w:szCs w:val="24"/>
        </w:rPr>
        <w:t>3. Hlavní</w:t>
      </w:r>
      <w:r>
        <w:rPr>
          <w:rFonts w:ascii="Times New Roman" w:hAnsi="Times New Roman"/>
          <w:b/>
          <w:smallCaps/>
          <w:sz w:val="24"/>
          <w:szCs w:val="24"/>
        </w:rPr>
        <w:t xml:space="preserve"> </w:t>
      </w:r>
      <w:r>
        <w:rPr>
          <w:rFonts w:ascii="Times New Roman" w:hAnsi="Times New Roman"/>
          <w:b/>
          <w:sz w:val="24"/>
          <w:szCs w:val="24"/>
        </w:rPr>
        <w:t xml:space="preserve">zjištění </w:t>
      </w:r>
    </w:p>
    <w:p w14:paraId="7D56142A" w14:textId="5404D744" w:rsidR="00C26AF2" w:rsidRPr="00CE7423" w:rsidRDefault="006C2F32" w:rsidP="00C26AF2">
      <w:pPr>
        <w:numPr>
          <w:ilvl w:val="0"/>
          <w:numId w:val="27"/>
        </w:numPr>
        <w:ind w:left="714" w:hanging="357"/>
        <w:jc w:val="both"/>
        <w:rPr>
          <w:rFonts w:ascii="Times New Roman" w:hAnsi="Times New Roman" w:cs="Times New Roman"/>
          <w:noProof/>
          <w:sz w:val="24"/>
          <w:szCs w:val="24"/>
        </w:rPr>
      </w:pPr>
      <w:r>
        <w:rPr>
          <w:rFonts w:ascii="Times New Roman" w:hAnsi="Times New Roman"/>
          <w:b/>
          <w:sz w:val="24"/>
          <w:szCs w:val="24"/>
        </w:rPr>
        <w:t>V roce 2019 se systému ECRIS účastnilo všech 28 členských států, ale chybí 9,8 % možných propojení</w:t>
      </w:r>
    </w:p>
    <w:p w14:paraId="7D56142B" w14:textId="58C327A4" w:rsidR="00C26AF2" w:rsidRPr="001A4151" w:rsidRDefault="00C26AF2" w:rsidP="00C26AF2">
      <w:pPr>
        <w:jc w:val="both"/>
        <w:rPr>
          <w:rFonts w:ascii="Times New Roman" w:hAnsi="Times New Roman" w:cs="Times New Roman"/>
          <w:noProof/>
          <w:sz w:val="24"/>
          <w:szCs w:val="24"/>
        </w:rPr>
      </w:pPr>
      <w:r>
        <w:rPr>
          <w:rFonts w:ascii="Times New Roman" w:hAnsi="Times New Roman"/>
          <w:sz w:val="24"/>
          <w:szCs w:val="24"/>
        </w:rPr>
        <w:t xml:space="preserve">Po osmi letech provozu systému ECRIS bylo </w:t>
      </w:r>
      <w:r>
        <w:rPr>
          <w:rFonts w:ascii="Times New Roman" w:hAnsi="Times New Roman"/>
          <w:b/>
          <w:sz w:val="24"/>
          <w:szCs w:val="24"/>
        </w:rPr>
        <w:t>všech 28 členských států k systému ECRIS připojeno</w:t>
      </w:r>
      <w:r>
        <w:rPr>
          <w:rFonts w:ascii="Times New Roman" w:hAnsi="Times New Roman"/>
          <w:sz w:val="24"/>
          <w:szCs w:val="24"/>
        </w:rPr>
        <w:t xml:space="preserve">. </w:t>
      </w:r>
      <w:r>
        <w:rPr>
          <w:rFonts w:ascii="Times New Roman" w:hAnsi="Times New Roman"/>
          <w:bCs/>
          <w:sz w:val="24"/>
          <w:szCs w:val="24"/>
        </w:rPr>
        <w:t>Pouze jeden z nich (ES) si však vyměňuje informace se všemi ostatními 27 členskými státy.</w:t>
      </w:r>
      <w:r>
        <w:rPr>
          <w:rFonts w:ascii="Times New Roman" w:hAnsi="Times New Roman"/>
          <w:b/>
          <w:sz w:val="24"/>
          <w:szCs w:val="24"/>
        </w:rPr>
        <w:t xml:space="preserve"> V průměru má každý </w:t>
      </w:r>
      <w:r>
        <w:rPr>
          <w:rFonts w:ascii="Times New Roman" w:hAnsi="Times New Roman"/>
          <w:b/>
          <w:bCs/>
          <w:sz w:val="24"/>
          <w:szCs w:val="24"/>
        </w:rPr>
        <w:t>členský stát 24 aktivních připojení</w:t>
      </w:r>
      <w:r>
        <w:rPr>
          <w:rFonts w:ascii="Times New Roman" w:hAnsi="Times New Roman"/>
          <w:sz w:val="24"/>
          <w:szCs w:val="24"/>
        </w:rPr>
        <w:t xml:space="preserve"> s ostatními. Na konci roku 2019 bylo zřízeno </w:t>
      </w:r>
      <w:r>
        <w:rPr>
          <w:rFonts w:ascii="Times New Roman" w:hAnsi="Times New Roman"/>
          <w:b/>
          <w:sz w:val="24"/>
          <w:szCs w:val="24"/>
        </w:rPr>
        <w:t>90 % z celkového počtu možných propojení</w:t>
      </w:r>
      <w:r>
        <w:rPr>
          <w:rFonts w:ascii="Times New Roman" w:hAnsi="Times New Roman"/>
          <w:sz w:val="24"/>
          <w:szCs w:val="24"/>
        </w:rPr>
        <w:t>.</w:t>
      </w:r>
    </w:p>
    <w:p w14:paraId="7D56142C" w14:textId="77777777" w:rsidR="00C26AF2" w:rsidRDefault="00C26AF2" w:rsidP="00C26AF2">
      <w:pPr>
        <w:numPr>
          <w:ilvl w:val="0"/>
          <w:numId w:val="27"/>
        </w:numPr>
        <w:ind w:left="714" w:hanging="357"/>
        <w:jc w:val="both"/>
        <w:rPr>
          <w:rFonts w:ascii="Times New Roman" w:hAnsi="Times New Roman"/>
          <w:b/>
          <w:noProof/>
          <w:sz w:val="24"/>
        </w:rPr>
      </w:pPr>
      <w:r>
        <w:rPr>
          <w:rFonts w:ascii="Times New Roman" w:hAnsi="Times New Roman"/>
          <w:b/>
          <w:sz w:val="24"/>
          <w:szCs w:val="24"/>
        </w:rPr>
        <w:t>Počet vyměněných zpráv dosáhl v roce 2019 4,2 milionu</w:t>
      </w:r>
    </w:p>
    <w:p w14:paraId="7D56142D" w14:textId="77777777" w:rsidR="00C26AF2" w:rsidRDefault="00C26AF2" w:rsidP="00C26AF2">
      <w:pPr>
        <w:jc w:val="both"/>
        <w:rPr>
          <w:rFonts w:ascii="Times New Roman" w:hAnsi="Times New Roman" w:cs="Times New Roman"/>
          <w:noProof/>
          <w:sz w:val="24"/>
          <w:szCs w:val="24"/>
        </w:rPr>
      </w:pPr>
      <w:r>
        <w:rPr>
          <w:rFonts w:ascii="Times New Roman" w:hAnsi="Times New Roman"/>
          <w:sz w:val="24"/>
          <w:szCs w:val="24"/>
        </w:rPr>
        <w:t>Ze dvou milionů zpráv vyměněných všemi připojenými členskými státy v roce 2016 se jejich počet v roce</w:t>
      </w:r>
      <w:r>
        <w:rPr>
          <w:rFonts w:ascii="Times New Roman" w:hAnsi="Times New Roman"/>
          <w:b/>
          <w:bCs/>
          <w:sz w:val="24"/>
          <w:szCs w:val="24"/>
        </w:rPr>
        <w:t xml:space="preserve"> 2019 zdvojnásobil a dosáhl 4,2 milionu</w:t>
      </w:r>
      <w:r>
        <w:rPr>
          <w:rFonts w:ascii="Times New Roman" w:hAnsi="Times New Roman"/>
          <w:sz w:val="24"/>
          <w:szCs w:val="24"/>
        </w:rPr>
        <w:t xml:space="preserve">, což je </w:t>
      </w:r>
      <w:r>
        <w:rPr>
          <w:rFonts w:ascii="Times New Roman" w:hAnsi="Times New Roman"/>
          <w:b/>
          <w:bCs/>
          <w:sz w:val="24"/>
          <w:szCs w:val="24"/>
        </w:rPr>
        <w:t>v průměru 348 000 zpráv za měsíc</w:t>
      </w:r>
      <w:r>
        <w:rPr>
          <w:rFonts w:ascii="Times New Roman" w:hAnsi="Times New Roman"/>
          <w:sz w:val="24"/>
          <w:szCs w:val="24"/>
        </w:rPr>
        <w:t xml:space="preserve">. Poslední tři roky přinesly radikální </w:t>
      </w:r>
      <w:r>
        <w:rPr>
          <w:rFonts w:ascii="Times New Roman" w:hAnsi="Times New Roman"/>
          <w:b/>
          <w:bCs/>
          <w:sz w:val="24"/>
          <w:szCs w:val="24"/>
        </w:rPr>
        <w:t xml:space="preserve">změnu v poměru </w:t>
      </w:r>
      <w:r>
        <w:rPr>
          <w:rFonts w:ascii="Times New Roman" w:hAnsi="Times New Roman"/>
          <w:sz w:val="24"/>
          <w:szCs w:val="24"/>
        </w:rPr>
        <w:t>mezi počtem oznámení, žádostí a odpovědí na</w:t>
      </w:r>
      <w:r>
        <w:rPr>
          <w:rFonts w:ascii="Times New Roman" w:hAnsi="Times New Roman"/>
          <w:bCs/>
          <w:sz w:val="24"/>
          <w:szCs w:val="24"/>
        </w:rPr>
        <w:t xml:space="preserve"> </w:t>
      </w:r>
      <w:r>
        <w:rPr>
          <w:rFonts w:ascii="Times New Roman" w:hAnsi="Times New Roman"/>
          <w:sz w:val="24"/>
          <w:szCs w:val="24"/>
        </w:rPr>
        <w:t>žádosti –</w:t>
      </w:r>
      <w:r>
        <w:rPr>
          <w:rFonts w:ascii="Times New Roman" w:hAnsi="Times New Roman"/>
          <w:b/>
          <w:bCs/>
          <w:sz w:val="24"/>
          <w:szCs w:val="24"/>
        </w:rPr>
        <w:t xml:space="preserve"> přičemž počet žádostí o informace </w:t>
      </w:r>
      <w:r>
        <w:rPr>
          <w:rFonts w:ascii="Times New Roman" w:hAnsi="Times New Roman"/>
          <w:bCs/>
          <w:sz w:val="24"/>
          <w:szCs w:val="24"/>
        </w:rPr>
        <w:t>byl</w:t>
      </w:r>
      <w:r>
        <w:rPr>
          <w:rFonts w:ascii="Times New Roman" w:hAnsi="Times New Roman"/>
          <w:b/>
          <w:bCs/>
          <w:sz w:val="24"/>
          <w:szCs w:val="24"/>
        </w:rPr>
        <w:t xml:space="preserve"> více než třikrát vyšší než počet oznámení</w:t>
      </w:r>
      <w:r>
        <w:rPr>
          <w:rFonts w:ascii="Times New Roman" w:hAnsi="Times New Roman"/>
          <w:bCs/>
          <w:sz w:val="24"/>
          <w:szCs w:val="24"/>
        </w:rPr>
        <w:t>.</w:t>
      </w:r>
    </w:p>
    <w:p w14:paraId="7D56142E" w14:textId="77777777" w:rsidR="00C26AF2" w:rsidRDefault="00C26AF2" w:rsidP="00C26AF2">
      <w:pPr>
        <w:numPr>
          <w:ilvl w:val="0"/>
          <w:numId w:val="27"/>
        </w:numPr>
        <w:ind w:left="714" w:hanging="357"/>
        <w:jc w:val="both"/>
        <w:rPr>
          <w:rFonts w:ascii="Times New Roman" w:hAnsi="Times New Roman"/>
          <w:b/>
          <w:noProof/>
          <w:sz w:val="24"/>
        </w:rPr>
      </w:pPr>
      <w:r>
        <w:rPr>
          <w:rFonts w:ascii="Times New Roman" w:hAnsi="Times New Roman"/>
          <w:b/>
          <w:sz w:val="24"/>
          <w:szCs w:val="24"/>
        </w:rPr>
        <w:t xml:space="preserve">Pokles počtu oznámení o nových odsouzeních – mnoho odsouzení nebylo oznámeno </w:t>
      </w:r>
    </w:p>
    <w:p w14:paraId="7D56142F" w14:textId="77777777" w:rsidR="00C26AF2" w:rsidRDefault="00C26AF2" w:rsidP="00C26AF2">
      <w:pPr>
        <w:jc w:val="both"/>
        <w:rPr>
          <w:rFonts w:ascii="Times New Roman" w:hAnsi="Times New Roman" w:cs="Times New Roman"/>
          <w:noProof/>
          <w:sz w:val="24"/>
          <w:szCs w:val="24"/>
        </w:rPr>
      </w:pPr>
      <w:r>
        <w:rPr>
          <w:rFonts w:ascii="Times New Roman" w:hAnsi="Times New Roman"/>
          <w:sz w:val="24"/>
          <w:szCs w:val="24"/>
        </w:rPr>
        <w:t xml:space="preserve">V roce 2017 </w:t>
      </w:r>
      <w:r>
        <w:rPr>
          <w:rFonts w:ascii="Times New Roman" w:hAnsi="Times New Roman"/>
          <w:b/>
          <w:sz w:val="24"/>
          <w:szCs w:val="24"/>
        </w:rPr>
        <w:t>počet oznámení o nových odsouzeních poklesl</w:t>
      </w:r>
      <w:r>
        <w:rPr>
          <w:rFonts w:ascii="Times New Roman" w:hAnsi="Times New Roman"/>
          <w:sz w:val="24"/>
          <w:szCs w:val="24"/>
        </w:rPr>
        <w:t xml:space="preserve"> a </w:t>
      </w:r>
      <w:r>
        <w:rPr>
          <w:rFonts w:ascii="Times New Roman" w:hAnsi="Times New Roman"/>
          <w:b/>
          <w:sz w:val="24"/>
          <w:szCs w:val="24"/>
        </w:rPr>
        <w:t xml:space="preserve">do roku 2019 </w:t>
      </w:r>
      <w:r>
        <w:rPr>
          <w:rFonts w:ascii="Times New Roman" w:hAnsi="Times New Roman"/>
          <w:sz w:val="24"/>
          <w:szCs w:val="24"/>
        </w:rPr>
        <w:t>zůstal na úrovni přibližně</w:t>
      </w:r>
      <w:r>
        <w:rPr>
          <w:rFonts w:ascii="Times New Roman" w:hAnsi="Times New Roman"/>
          <w:b/>
          <w:sz w:val="24"/>
          <w:szCs w:val="24"/>
        </w:rPr>
        <w:t xml:space="preserve"> 310 000</w:t>
      </w:r>
      <w:r>
        <w:rPr>
          <w:rFonts w:ascii="Times New Roman" w:hAnsi="Times New Roman"/>
          <w:sz w:val="24"/>
          <w:szCs w:val="24"/>
        </w:rPr>
        <w:t xml:space="preserve"> oznámení. Tento klesající trend je překvapivý vzhledem k vzestupnému počtu propojení mezi členskými státy. </w:t>
      </w:r>
    </w:p>
    <w:p w14:paraId="7D561430" w14:textId="77777777" w:rsidR="00C26AF2" w:rsidRDefault="00C26AF2" w:rsidP="00C26AF2">
      <w:pPr>
        <w:jc w:val="both"/>
        <w:rPr>
          <w:rFonts w:ascii="Times New Roman" w:hAnsi="Times New Roman" w:cs="Times New Roman"/>
          <w:noProof/>
          <w:sz w:val="24"/>
          <w:szCs w:val="24"/>
        </w:rPr>
      </w:pPr>
      <w:r>
        <w:rPr>
          <w:rFonts w:ascii="Times New Roman" w:hAnsi="Times New Roman"/>
          <w:b/>
          <w:sz w:val="24"/>
          <w:szCs w:val="24"/>
        </w:rPr>
        <w:t>Některé členské státy</w:t>
      </w:r>
      <w:r>
        <w:rPr>
          <w:rFonts w:ascii="Times New Roman" w:hAnsi="Times New Roman"/>
          <w:sz w:val="24"/>
          <w:szCs w:val="24"/>
        </w:rPr>
        <w:t xml:space="preserve"> ve vztahu k počtu státních příslušníků jiných členských států EU a počtu odsouzení</w:t>
      </w:r>
      <w:r>
        <w:rPr>
          <w:rFonts w:ascii="Times New Roman" w:hAnsi="Times New Roman"/>
          <w:b/>
          <w:sz w:val="24"/>
          <w:szCs w:val="24"/>
        </w:rPr>
        <w:t xml:space="preserve"> neposílaly </w:t>
      </w:r>
      <w:r>
        <w:rPr>
          <w:rFonts w:ascii="Times New Roman" w:hAnsi="Times New Roman"/>
          <w:sz w:val="24"/>
          <w:szCs w:val="24"/>
        </w:rPr>
        <w:t>v určitých letech</w:t>
      </w:r>
      <w:r>
        <w:rPr>
          <w:rFonts w:ascii="Times New Roman" w:hAnsi="Times New Roman"/>
          <w:b/>
          <w:sz w:val="24"/>
          <w:szCs w:val="24"/>
        </w:rPr>
        <w:t xml:space="preserve"> oznámení o nových odsouzeních vůbec</w:t>
      </w:r>
      <w:r>
        <w:rPr>
          <w:rFonts w:ascii="Times New Roman" w:hAnsi="Times New Roman"/>
          <w:sz w:val="24"/>
          <w:szCs w:val="24"/>
        </w:rPr>
        <w:t xml:space="preserve"> (PT, MT, EE, EL) a mnoho z nich </w:t>
      </w:r>
      <w:r>
        <w:rPr>
          <w:rFonts w:ascii="Times New Roman" w:hAnsi="Times New Roman"/>
          <w:b/>
          <w:sz w:val="24"/>
          <w:szCs w:val="24"/>
        </w:rPr>
        <w:t>zaslalo malý počet</w:t>
      </w:r>
      <w:r>
        <w:rPr>
          <w:rFonts w:ascii="Times New Roman" w:hAnsi="Times New Roman"/>
          <w:sz w:val="24"/>
          <w:szCs w:val="24"/>
        </w:rPr>
        <w:t xml:space="preserve"> těchto oznámení (BG, EE, EL, IE, LT, LU, MT, RO, SI, SE, PT, UK). Neposílání oznámení je v rozporu s právními předpisy ECRIS a může mít vážné důsledky. </w:t>
      </w:r>
    </w:p>
    <w:p w14:paraId="7D561431" w14:textId="77777777" w:rsidR="00C26AF2" w:rsidRPr="00374624" w:rsidRDefault="00C26AF2" w:rsidP="00C26AF2">
      <w:pPr>
        <w:numPr>
          <w:ilvl w:val="0"/>
          <w:numId w:val="27"/>
        </w:numPr>
        <w:ind w:left="714" w:hanging="357"/>
        <w:jc w:val="both"/>
        <w:rPr>
          <w:rFonts w:ascii="Times New Roman" w:hAnsi="Times New Roman" w:cs="Times New Roman"/>
          <w:b/>
          <w:noProof/>
          <w:sz w:val="24"/>
          <w:szCs w:val="24"/>
        </w:rPr>
      </w:pPr>
      <w:r>
        <w:rPr>
          <w:rFonts w:ascii="Times New Roman" w:hAnsi="Times New Roman"/>
          <w:b/>
          <w:sz w:val="24"/>
          <w:szCs w:val="24"/>
        </w:rPr>
        <w:t>Velký nárůst žádostí o informace až do počtu jednoho milionu</w:t>
      </w:r>
    </w:p>
    <w:p w14:paraId="7D561432" w14:textId="3CBA1CBA" w:rsidR="00C26AF2" w:rsidRDefault="00C26AF2" w:rsidP="00C26AF2">
      <w:pPr>
        <w:jc w:val="both"/>
        <w:rPr>
          <w:rFonts w:ascii="Times New Roman" w:hAnsi="Times New Roman" w:cs="Times New Roman"/>
          <w:noProof/>
          <w:sz w:val="24"/>
          <w:szCs w:val="24"/>
        </w:rPr>
      </w:pPr>
      <w:r>
        <w:rPr>
          <w:rFonts w:ascii="Times New Roman" w:hAnsi="Times New Roman"/>
          <w:b/>
          <w:sz w:val="24"/>
          <w:szCs w:val="24"/>
        </w:rPr>
        <w:t xml:space="preserve">Počet žádostí o informace se od roku 2017 ztrojnásobil </w:t>
      </w:r>
      <w:r>
        <w:rPr>
          <w:rFonts w:ascii="Times New Roman" w:hAnsi="Times New Roman"/>
          <w:sz w:val="24"/>
          <w:szCs w:val="24"/>
        </w:rPr>
        <w:t xml:space="preserve">– jen v roce 2019 </w:t>
      </w:r>
      <w:r>
        <w:rPr>
          <w:rFonts w:ascii="Times New Roman" w:hAnsi="Times New Roman"/>
          <w:b/>
          <w:sz w:val="24"/>
          <w:szCs w:val="24"/>
        </w:rPr>
        <w:t>dosáhl jednoho milionu</w:t>
      </w:r>
      <w:r>
        <w:rPr>
          <w:rFonts w:ascii="Times New Roman" w:hAnsi="Times New Roman"/>
          <w:sz w:val="24"/>
          <w:szCs w:val="24"/>
        </w:rPr>
        <w:t>. Tento</w:t>
      </w:r>
      <w:r>
        <w:rPr>
          <w:rFonts w:ascii="Times New Roman" w:hAnsi="Times New Roman"/>
          <w:b/>
          <w:sz w:val="24"/>
          <w:szCs w:val="24"/>
        </w:rPr>
        <w:t xml:space="preserve"> </w:t>
      </w:r>
      <w:r>
        <w:rPr>
          <w:rFonts w:ascii="Times New Roman" w:hAnsi="Times New Roman"/>
          <w:bCs/>
          <w:sz w:val="24"/>
          <w:szCs w:val="24"/>
        </w:rPr>
        <w:t>vysoký nárůst</w:t>
      </w:r>
      <w:r>
        <w:rPr>
          <w:rFonts w:ascii="Times New Roman" w:hAnsi="Times New Roman"/>
          <w:b/>
          <w:sz w:val="24"/>
          <w:szCs w:val="24"/>
        </w:rPr>
        <w:t xml:space="preserve"> </w:t>
      </w:r>
      <w:r>
        <w:rPr>
          <w:rFonts w:ascii="Times New Roman" w:hAnsi="Times New Roman"/>
          <w:sz w:val="24"/>
          <w:szCs w:val="24"/>
        </w:rPr>
        <w:t>je způsoben zejména</w:t>
      </w:r>
      <w:r>
        <w:rPr>
          <w:rFonts w:ascii="Times New Roman" w:hAnsi="Times New Roman"/>
          <w:bCs/>
          <w:sz w:val="24"/>
          <w:szCs w:val="24"/>
        </w:rPr>
        <w:t xml:space="preserve"> </w:t>
      </w:r>
      <w:r>
        <w:rPr>
          <w:rFonts w:ascii="Times New Roman" w:hAnsi="Times New Roman"/>
          <w:b/>
          <w:bCs/>
          <w:sz w:val="24"/>
          <w:szCs w:val="24"/>
        </w:rPr>
        <w:t>změnou ve využívání systému ECRIS</w:t>
      </w:r>
      <w:r>
        <w:rPr>
          <w:rFonts w:ascii="Times New Roman" w:hAnsi="Times New Roman"/>
          <w:sz w:val="24"/>
          <w:szCs w:val="24"/>
        </w:rPr>
        <w:t xml:space="preserve">, který se již nepoužívá výlučně a ani hlavně pro účely trestního řízení, ale také – </w:t>
      </w:r>
      <w:r>
        <w:rPr>
          <w:rFonts w:ascii="Times New Roman" w:hAnsi="Times New Roman"/>
          <w:b/>
          <w:sz w:val="24"/>
          <w:szCs w:val="24"/>
        </w:rPr>
        <w:t>pravidelně – pro jiné účely než trestní řízení (např. prověřování před nástupem do zaměstnání, žádosti o vlastní výpis z rejstříku trestů atd.)</w:t>
      </w:r>
      <w:r>
        <w:rPr>
          <w:rFonts w:ascii="Times New Roman" w:hAnsi="Times New Roman"/>
          <w:sz w:val="24"/>
          <w:szCs w:val="24"/>
        </w:rPr>
        <w:t xml:space="preserve">. </w:t>
      </w:r>
    </w:p>
    <w:p w14:paraId="7D561433" w14:textId="77777777" w:rsidR="00C26AF2" w:rsidRPr="008E3E0C" w:rsidRDefault="00C26AF2" w:rsidP="00C26AF2">
      <w:pPr>
        <w:jc w:val="both"/>
        <w:rPr>
          <w:rFonts w:ascii="Times New Roman" w:hAnsi="Times New Roman" w:cs="Times New Roman"/>
          <w:noProof/>
          <w:sz w:val="24"/>
          <w:szCs w:val="24"/>
        </w:rPr>
      </w:pPr>
      <w:r>
        <w:rPr>
          <w:rFonts w:ascii="Times New Roman" w:hAnsi="Times New Roman"/>
          <w:b/>
          <w:sz w:val="24"/>
          <w:szCs w:val="24"/>
        </w:rPr>
        <w:t>Počet zaslaných žádostí o informace se však v členských státech značně liší</w:t>
      </w:r>
      <w:r>
        <w:rPr>
          <w:rFonts w:ascii="Times New Roman" w:hAnsi="Times New Roman"/>
          <w:sz w:val="24"/>
          <w:szCs w:val="24"/>
        </w:rPr>
        <w:t xml:space="preserve">, od 745 000 (DE) po šest oznámení (EL) za rok. Nárůst celkového počtu žádostí je způsoben především nárůstem žádostí DE. </w:t>
      </w:r>
    </w:p>
    <w:p w14:paraId="7D561434" w14:textId="77777777" w:rsidR="00C26AF2" w:rsidRDefault="00C26AF2" w:rsidP="00C26AF2">
      <w:pPr>
        <w:numPr>
          <w:ilvl w:val="0"/>
          <w:numId w:val="27"/>
        </w:numPr>
        <w:ind w:left="714" w:hanging="357"/>
        <w:jc w:val="both"/>
        <w:rPr>
          <w:rFonts w:ascii="Times New Roman" w:hAnsi="Times New Roman" w:cs="Times New Roman"/>
          <w:b/>
          <w:noProof/>
          <w:sz w:val="24"/>
          <w:szCs w:val="24"/>
        </w:rPr>
      </w:pPr>
      <w:r>
        <w:rPr>
          <w:rFonts w:ascii="Times New Roman" w:hAnsi="Times New Roman"/>
          <w:b/>
          <w:sz w:val="24"/>
        </w:rPr>
        <w:t xml:space="preserve">Systém ECRIS se </w:t>
      </w:r>
      <w:r>
        <w:rPr>
          <w:rFonts w:ascii="Times New Roman" w:hAnsi="Times New Roman"/>
          <w:b/>
          <w:sz w:val="24"/>
          <w:szCs w:val="24"/>
        </w:rPr>
        <w:t>používá pro jiné účely než pro trestní řízení stejně často jako pro trestní řízení</w:t>
      </w:r>
    </w:p>
    <w:p w14:paraId="7D561435" w14:textId="77777777" w:rsidR="00C26AF2" w:rsidRPr="004D3448" w:rsidRDefault="00C26AF2" w:rsidP="00C26AF2">
      <w:pPr>
        <w:jc w:val="both"/>
        <w:rPr>
          <w:rFonts w:ascii="Times New Roman" w:hAnsi="Times New Roman" w:cs="Times New Roman"/>
          <w:bCs/>
          <w:noProof/>
          <w:sz w:val="24"/>
          <w:szCs w:val="24"/>
        </w:rPr>
      </w:pPr>
      <w:r>
        <w:rPr>
          <w:rFonts w:ascii="Times New Roman" w:hAnsi="Times New Roman"/>
          <w:sz w:val="24"/>
          <w:szCs w:val="24"/>
        </w:rPr>
        <w:t xml:space="preserve">Po mnoho let bylo procento žádostí pro jiné účely než pro trestní řízení v průměru na úrovni 20 %. S novým přístupem členských států k používání systému ECRIS, který byl zaznamenán od roku 2018, </w:t>
      </w:r>
      <w:r>
        <w:rPr>
          <w:rFonts w:ascii="Times New Roman" w:hAnsi="Times New Roman"/>
          <w:b/>
          <w:bCs/>
          <w:sz w:val="24"/>
          <w:szCs w:val="24"/>
        </w:rPr>
        <w:t>začal být systém konzultován stejně často pro trestní řízení i jiné účely (50/50 %)</w:t>
      </w:r>
      <w:r>
        <w:rPr>
          <w:rFonts w:ascii="Times New Roman" w:hAnsi="Times New Roman"/>
          <w:sz w:val="24"/>
          <w:szCs w:val="24"/>
        </w:rPr>
        <w:t xml:space="preserve">. Počet </w:t>
      </w:r>
      <w:r>
        <w:rPr>
          <w:rFonts w:ascii="Times New Roman" w:hAnsi="Times New Roman"/>
          <w:b/>
          <w:sz w:val="24"/>
          <w:szCs w:val="24"/>
        </w:rPr>
        <w:t>žádostí pro</w:t>
      </w:r>
      <w:r>
        <w:rPr>
          <w:rFonts w:ascii="Times New Roman" w:hAnsi="Times New Roman"/>
          <w:sz w:val="24"/>
          <w:szCs w:val="24"/>
        </w:rPr>
        <w:t xml:space="preserve"> </w:t>
      </w:r>
      <w:r>
        <w:rPr>
          <w:rFonts w:ascii="Times New Roman" w:hAnsi="Times New Roman"/>
          <w:b/>
          <w:sz w:val="24"/>
          <w:szCs w:val="24"/>
        </w:rPr>
        <w:t>jiné účely přesáhl v roce 2019 půl milionu –</w:t>
      </w:r>
      <w:r>
        <w:rPr>
          <w:rFonts w:ascii="Times New Roman" w:hAnsi="Times New Roman"/>
          <w:sz w:val="24"/>
          <w:szCs w:val="24"/>
        </w:rPr>
        <w:t xml:space="preserve"> </w:t>
      </w:r>
      <w:r>
        <w:rPr>
          <w:rFonts w:ascii="Times New Roman" w:hAnsi="Times New Roman"/>
          <w:bCs/>
          <w:sz w:val="24"/>
          <w:szCs w:val="24"/>
        </w:rPr>
        <w:t>více než šestkrát více než v roce 2016.</w:t>
      </w:r>
    </w:p>
    <w:p w14:paraId="7D561436" w14:textId="1AA4A208" w:rsidR="00C26AF2" w:rsidRPr="008E3E0C" w:rsidRDefault="00C26AF2" w:rsidP="00C26AF2">
      <w:pPr>
        <w:jc w:val="both"/>
        <w:rPr>
          <w:rFonts w:ascii="Times New Roman" w:hAnsi="Times New Roman" w:cs="Times New Roman"/>
          <w:noProof/>
          <w:sz w:val="24"/>
          <w:szCs w:val="24"/>
        </w:rPr>
      </w:pPr>
      <w:r>
        <w:rPr>
          <w:rFonts w:ascii="Times New Roman" w:hAnsi="Times New Roman"/>
          <w:sz w:val="24"/>
          <w:szCs w:val="24"/>
        </w:rPr>
        <w:t xml:space="preserve">Tento nárůst žádostí byl způsoben zejména </w:t>
      </w:r>
      <w:r>
        <w:rPr>
          <w:rFonts w:ascii="Times New Roman" w:hAnsi="Times New Roman"/>
          <w:b/>
          <w:bCs/>
          <w:sz w:val="24"/>
          <w:szCs w:val="24"/>
        </w:rPr>
        <w:t>výrazným nárůstem žádostí fyzických osob o vlastní výpis z rejstříku trestů (356 000</w:t>
      </w:r>
      <w:r>
        <w:rPr>
          <w:rFonts w:ascii="Times New Roman" w:hAnsi="Times New Roman"/>
          <w:sz w:val="24"/>
          <w:szCs w:val="24"/>
        </w:rPr>
        <w:t xml:space="preserve"> v roce 2019, což představovalo </w:t>
      </w:r>
      <w:r>
        <w:rPr>
          <w:rFonts w:ascii="Times New Roman" w:hAnsi="Times New Roman"/>
          <w:b/>
          <w:bCs/>
          <w:sz w:val="24"/>
          <w:szCs w:val="24"/>
        </w:rPr>
        <w:t>70 % žádostí pro jiné účely)</w:t>
      </w:r>
      <w:r>
        <w:rPr>
          <w:rFonts w:ascii="Times New Roman" w:hAnsi="Times New Roman"/>
          <w:sz w:val="24"/>
          <w:szCs w:val="24"/>
        </w:rPr>
        <w:t>, jakož i </w:t>
      </w:r>
      <w:r>
        <w:rPr>
          <w:rFonts w:ascii="Times New Roman" w:hAnsi="Times New Roman"/>
          <w:b/>
          <w:bCs/>
          <w:sz w:val="24"/>
          <w:szCs w:val="24"/>
        </w:rPr>
        <w:t>žádostmi za účelem náboru pro činnosti zahrnující kontakt s dětmi</w:t>
      </w:r>
      <w:r>
        <w:rPr>
          <w:rFonts w:ascii="Times New Roman" w:hAnsi="Times New Roman"/>
          <w:sz w:val="24"/>
          <w:szCs w:val="24"/>
        </w:rPr>
        <w:t xml:space="preserve"> v souladu s prováděním </w:t>
      </w:r>
      <w:r>
        <w:rPr>
          <w:rFonts w:ascii="Times New Roman" w:hAnsi="Times New Roman"/>
          <w:b/>
          <w:bCs/>
          <w:sz w:val="24"/>
          <w:szCs w:val="24"/>
        </w:rPr>
        <w:t>směrnice 2011/93/EU</w:t>
      </w:r>
      <w:r>
        <w:rPr>
          <w:rFonts w:ascii="Times New Roman" w:hAnsi="Times New Roman"/>
          <w:sz w:val="24"/>
          <w:szCs w:val="24"/>
        </w:rPr>
        <w:t xml:space="preserve"> (115 000 žádostí – </w:t>
      </w:r>
      <w:r>
        <w:rPr>
          <w:rFonts w:ascii="Times New Roman" w:hAnsi="Times New Roman"/>
          <w:b/>
          <w:bCs/>
          <w:sz w:val="24"/>
          <w:szCs w:val="24"/>
        </w:rPr>
        <w:t>22 %</w:t>
      </w:r>
      <w:r>
        <w:rPr>
          <w:rFonts w:ascii="Times New Roman" w:hAnsi="Times New Roman"/>
          <w:sz w:val="24"/>
          <w:szCs w:val="24"/>
        </w:rPr>
        <w:t xml:space="preserve"> žádostí pro jiné účely). </w:t>
      </w:r>
    </w:p>
    <w:p w14:paraId="7D561437" w14:textId="77777777" w:rsidR="00C26AF2" w:rsidRDefault="00C26AF2" w:rsidP="00C26AF2">
      <w:pPr>
        <w:numPr>
          <w:ilvl w:val="0"/>
          <w:numId w:val="27"/>
        </w:numPr>
        <w:ind w:left="714" w:hanging="357"/>
        <w:jc w:val="both"/>
        <w:rPr>
          <w:rFonts w:ascii="Times New Roman" w:hAnsi="Times New Roman" w:cs="Times New Roman"/>
          <w:b/>
          <w:noProof/>
          <w:sz w:val="24"/>
          <w:szCs w:val="24"/>
        </w:rPr>
      </w:pPr>
      <w:r>
        <w:rPr>
          <w:rFonts w:ascii="Times New Roman" w:hAnsi="Times New Roman"/>
          <w:b/>
          <w:sz w:val="24"/>
          <w:szCs w:val="24"/>
        </w:rPr>
        <w:t xml:space="preserve">Jedna odpověď ze čtyř odhaluje předchozí trestní odsouzení </w:t>
      </w:r>
    </w:p>
    <w:p w14:paraId="7D561438" w14:textId="4FC9573B" w:rsidR="00C26AF2" w:rsidRPr="005E0E30" w:rsidRDefault="00C26AF2" w:rsidP="00C26AF2">
      <w:pPr>
        <w:jc w:val="both"/>
        <w:rPr>
          <w:rFonts w:ascii="Times New Roman" w:hAnsi="Times New Roman" w:cs="Times New Roman"/>
          <w:noProof/>
          <w:sz w:val="24"/>
          <w:szCs w:val="24"/>
        </w:rPr>
      </w:pPr>
      <w:r>
        <w:rPr>
          <w:rFonts w:ascii="Times New Roman" w:hAnsi="Times New Roman"/>
          <w:sz w:val="24"/>
          <w:szCs w:val="24"/>
        </w:rPr>
        <w:t xml:space="preserve">Od prvního roku provozu systému ECRIS byla v průměru na </w:t>
      </w:r>
      <w:r>
        <w:rPr>
          <w:rFonts w:ascii="Times New Roman" w:hAnsi="Times New Roman"/>
          <w:b/>
          <w:sz w:val="24"/>
          <w:szCs w:val="24"/>
        </w:rPr>
        <w:t>26 % žádostí o informace o předchozích odsouzeních určité osoby obdržena odpověď s informacemi o předchozích trestních odsouzeních</w:t>
      </w:r>
      <w:r>
        <w:rPr>
          <w:rFonts w:ascii="Times New Roman" w:hAnsi="Times New Roman"/>
          <w:sz w:val="24"/>
          <w:szCs w:val="24"/>
        </w:rPr>
        <w:t>. Po mnoho let zůstávalo toto procento na stabilní úrovni kolem 30 %, ale v </w:t>
      </w:r>
      <w:r>
        <w:rPr>
          <w:rFonts w:ascii="Times New Roman" w:hAnsi="Times New Roman"/>
          <w:b/>
          <w:bCs/>
          <w:sz w:val="24"/>
          <w:szCs w:val="24"/>
        </w:rPr>
        <w:t>roce 2019 náhle pokleslo na 19 %</w:t>
      </w:r>
      <w:r>
        <w:rPr>
          <w:rFonts w:ascii="Times New Roman" w:hAnsi="Times New Roman"/>
          <w:sz w:val="24"/>
          <w:szCs w:val="24"/>
        </w:rPr>
        <w:t xml:space="preserve">, souběžně s dramatickým nárůstem počtu žádostí pro jiné účely než pro trestní řízení. V roce </w:t>
      </w:r>
      <w:r>
        <w:rPr>
          <w:rFonts w:ascii="Times New Roman" w:hAnsi="Times New Roman"/>
          <w:b/>
          <w:sz w:val="24"/>
          <w:szCs w:val="24"/>
        </w:rPr>
        <w:t>2019</w:t>
      </w:r>
      <w:r>
        <w:rPr>
          <w:rFonts w:ascii="Times New Roman" w:hAnsi="Times New Roman"/>
          <w:sz w:val="24"/>
          <w:szCs w:val="24"/>
        </w:rPr>
        <w:t xml:space="preserve"> však znovu více než </w:t>
      </w:r>
      <w:r>
        <w:rPr>
          <w:rFonts w:ascii="Times New Roman" w:hAnsi="Times New Roman"/>
          <w:b/>
          <w:sz w:val="24"/>
          <w:szCs w:val="24"/>
        </w:rPr>
        <w:t>188 000 odpovědí na všechny žádosti obsahovalo informace o předchozích trestních odsouzeních</w:t>
      </w:r>
      <w:r>
        <w:rPr>
          <w:rFonts w:ascii="Times New Roman" w:hAnsi="Times New Roman"/>
          <w:sz w:val="24"/>
          <w:szCs w:val="24"/>
        </w:rPr>
        <w:t>.</w:t>
      </w:r>
    </w:p>
    <w:p w14:paraId="7D561439" w14:textId="77777777" w:rsidR="00C26AF2" w:rsidRPr="00F36687" w:rsidRDefault="00C26AF2" w:rsidP="00C26AF2">
      <w:pPr>
        <w:numPr>
          <w:ilvl w:val="0"/>
          <w:numId w:val="27"/>
        </w:numPr>
        <w:ind w:left="714" w:hanging="357"/>
        <w:jc w:val="both"/>
        <w:rPr>
          <w:rFonts w:ascii="Times New Roman" w:hAnsi="Times New Roman" w:cs="Times New Roman"/>
          <w:b/>
          <w:noProof/>
          <w:sz w:val="24"/>
          <w:szCs w:val="24"/>
        </w:rPr>
      </w:pPr>
      <w:r>
        <w:rPr>
          <w:rFonts w:ascii="Times New Roman" w:hAnsi="Times New Roman"/>
          <w:b/>
          <w:sz w:val="24"/>
          <w:szCs w:val="24"/>
        </w:rPr>
        <w:t>Navzdory obecnému nárůstu počtu aktualizací stále není mnoho aktualizací oznamováno</w:t>
      </w:r>
    </w:p>
    <w:p w14:paraId="7D56143A" w14:textId="77777777" w:rsidR="00C26AF2" w:rsidRDefault="00C26AF2" w:rsidP="00C26AF2">
      <w:pPr>
        <w:jc w:val="both"/>
        <w:rPr>
          <w:rFonts w:ascii="Times New Roman" w:hAnsi="Times New Roman" w:cs="Times New Roman"/>
          <w:noProof/>
          <w:sz w:val="24"/>
          <w:szCs w:val="24"/>
        </w:rPr>
      </w:pPr>
      <w:r>
        <w:rPr>
          <w:rFonts w:ascii="Times New Roman" w:hAnsi="Times New Roman"/>
          <w:sz w:val="24"/>
          <w:szCs w:val="24"/>
        </w:rPr>
        <w:t xml:space="preserve">Byl zaznamenán </w:t>
      </w:r>
      <w:r>
        <w:rPr>
          <w:rFonts w:ascii="Times New Roman" w:hAnsi="Times New Roman"/>
          <w:b/>
          <w:bCs/>
          <w:sz w:val="24"/>
          <w:szCs w:val="24"/>
        </w:rPr>
        <w:t>významný nárůst počtu oznámení o aktualizacích</w:t>
      </w:r>
      <w:r>
        <w:rPr>
          <w:rFonts w:ascii="Times New Roman" w:hAnsi="Times New Roman"/>
          <w:sz w:val="24"/>
          <w:szCs w:val="24"/>
        </w:rPr>
        <w:t xml:space="preserve">, a to z 25 % na </w:t>
      </w:r>
      <w:r>
        <w:rPr>
          <w:rFonts w:ascii="Times New Roman" w:hAnsi="Times New Roman"/>
          <w:b/>
          <w:bCs/>
          <w:sz w:val="24"/>
          <w:szCs w:val="24"/>
        </w:rPr>
        <w:t>42 % všech oznámení</w:t>
      </w:r>
      <w:r>
        <w:rPr>
          <w:rFonts w:ascii="Times New Roman" w:hAnsi="Times New Roman"/>
          <w:sz w:val="24"/>
          <w:szCs w:val="24"/>
        </w:rPr>
        <w:t xml:space="preserve">, což v roce 2019 představovalo </w:t>
      </w:r>
      <w:r>
        <w:rPr>
          <w:rFonts w:ascii="Times New Roman" w:hAnsi="Times New Roman"/>
          <w:b/>
          <w:bCs/>
          <w:sz w:val="24"/>
          <w:szCs w:val="24"/>
        </w:rPr>
        <w:t>230 000</w:t>
      </w:r>
      <w:r>
        <w:rPr>
          <w:rFonts w:ascii="Times New Roman" w:hAnsi="Times New Roman"/>
          <w:sz w:val="24"/>
          <w:szCs w:val="24"/>
        </w:rPr>
        <w:t>. Týká se to však pouze některých členských států.</w:t>
      </w:r>
    </w:p>
    <w:p w14:paraId="7D56143B" w14:textId="77777777" w:rsidR="00C26AF2" w:rsidRPr="00A876B5" w:rsidRDefault="00C26AF2" w:rsidP="00C26AF2">
      <w:pPr>
        <w:jc w:val="both"/>
        <w:rPr>
          <w:rFonts w:ascii="Times New Roman" w:hAnsi="Times New Roman" w:cs="Times New Roman"/>
          <w:noProof/>
          <w:sz w:val="24"/>
          <w:szCs w:val="24"/>
        </w:rPr>
      </w:pPr>
      <w:r>
        <w:rPr>
          <w:rFonts w:ascii="Times New Roman" w:hAnsi="Times New Roman"/>
          <w:b/>
          <w:bCs/>
          <w:sz w:val="24"/>
          <w:szCs w:val="24"/>
        </w:rPr>
        <w:t>Řada členských států</w:t>
      </w:r>
      <w:r>
        <w:rPr>
          <w:rFonts w:ascii="Times New Roman" w:hAnsi="Times New Roman"/>
          <w:sz w:val="24"/>
          <w:szCs w:val="24"/>
        </w:rPr>
        <w:t xml:space="preserve"> zároveň v určitých letech </w:t>
      </w:r>
      <w:r>
        <w:rPr>
          <w:rFonts w:ascii="Times New Roman" w:hAnsi="Times New Roman"/>
          <w:b/>
          <w:bCs/>
          <w:sz w:val="24"/>
          <w:szCs w:val="24"/>
        </w:rPr>
        <w:t>neposílala</w:t>
      </w:r>
      <w:r>
        <w:rPr>
          <w:rFonts w:ascii="Times New Roman" w:hAnsi="Times New Roman"/>
          <w:bCs/>
          <w:sz w:val="24"/>
          <w:szCs w:val="24"/>
        </w:rPr>
        <w:t xml:space="preserve"> </w:t>
      </w:r>
      <w:r>
        <w:rPr>
          <w:rFonts w:ascii="Times New Roman" w:hAnsi="Times New Roman"/>
          <w:b/>
          <w:bCs/>
          <w:sz w:val="24"/>
          <w:szCs w:val="24"/>
        </w:rPr>
        <w:t>aktualizace</w:t>
      </w:r>
      <w:r>
        <w:rPr>
          <w:rFonts w:ascii="Times New Roman" w:hAnsi="Times New Roman"/>
          <w:sz w:val="24"/>
          <w:szCs w:val="24"/>
        </w:rPr>
        <w:t xml:space="preserve"> svých dříve zaslaných oznámení </w:t>
      </w:r>
      <w:r>
        <w:rPr>
          <w:rFonts w:ascii="Times New Roman" w:hAnsi="Times New Roman"/>
          <w:b/>
          <w:bCs/>
          <w:sz w:val="24"/>
          <w:szCs w:val="24"/>
        </w:rPr>
        <w:t>vůbec</w:t>
      </w:r>
      <w:r>
        <w:rPr>
          <w:rFonts w:ascii="Times New Roman" w:hAnsi="Times New Roman"/>
          <w:sz w:val="24"/>
          <w:szCs w:val="24"/>
        </w:rPr>
        <w:t xml:space="preserve"> (BG, DK, EE, EL, IE, LV, LU, MT, PT, SI) nebo </w:t>
      </w:r>
      <w:r>
        <w:rPr>
          <w:rFonts w:ascii="Times New Roman" w:hAnsi="Times New Roman"/>
          <w:b/>
          <w:bCs/>
          <w:sz w:val="24"/>
          <w:szCs w:val="24"/>
        </w:rPr>
        <w:t>zaslala malý počet</w:t>
      </w:r>
      <w:r>
        <w:rPr>
          <w:rFonts w:ascii="Times New Roman" w:hAnsi="Times New Roman"/>
          <w:sz w:val="24"/>
          <w:szCs w:val="24"/>
        </w:rPr>
        <w:t xml:space="preserve"> těchto oznámení (IE, RO, CY, SI, PT, MT). </w:t>
      </w:r>
    </w:p>
    <w:p w14:paraId="7D56143C" w14:textId="77777777" w:rsidR="00C26AF2" w:rsidRDefault="00C26AF2" w:rsidP="00C26AF2">
      <w:pPr>
        <w:numPr>
          <w:ilvl w:val="0"/>
          <w:numId w:val="27"/>
        </w:numPr>
        <w:ind w:left="714" w:hanging="357"/>
        <w:jc w:val="both"/>
        <w:rPr>
          <w:rFonts w:ascii="Times New Roman" w:hAnsi="Times New Roman" w:cs="Times New Roman"/>
          <w:b/>
          <w:noProof/>
          <w:sz w:val="24"/>
          <w:szCs w:val="24"/>
        </w:rPr>
      </w:pPr>
      <w:r>
        <w:rPr>
          <w:rFonts w:ascii="Times New Roman" w:hAnsi="Times New Roman"/>
          <w:b/>
          <w:sz w:val="24"/>
        </w:rPr>
        <w:t xml:space="preserve">Ne vždy byl systém ECRIS </w:t>
      </w:r>
      <w:r>
        <w:rPr>
          <w:rFonts w:ascii="Times New Roman" w:hAnsi="Times New Roman"/>
          <w:b/>
          <w:sz w:val="24"/>
          <w:szCs w:val="24"/>
        </w:rPr>
        <w:t>používán na vyžádání informací o předchozích odsouzeních</w:t>
      </w:r>
    </w:p>
    <w:p w14:paraId="7D56143D" w14:textId="70B7DE2E" w:rsidR="00C26AF2" w:rsidRPr="00FB64D1" w:rsidRDefault="00C26AF2" w:rsidP="00C26AF2">
      <w:pPr>
        <w:jc w:val="both"/>
        <w:rPr>
          <w:rFonts w:ascii="Times New Roman" w:hAnsi="Times New Roman" w:cs="Times New Roman"/>
          <w:noProof/>
          <w:sz w:val="24"/>
          <w:szCs w:val="24"/>
        </w:rPr>
      </w:pPr>
      <w:r>
        <w:rPr>
          <w:rFonts w:ascii="Times New Roman" w:hAnsi="Times New Roman"/>
          <w:b/>
          <w:bCs/>
          <w:sz w:val="24"/>
          <w:szCs w:val="24"/>
        </w:rPr>
        <w:t>Navzdory dramatickému nárůstu počtu žádostí obecně</w:t>
      </w:r>
      <w:r>
        <w:rPr>
          <w:rFonts w:ascii="Times New Roman" w:hAnsi="Times New Roman"/>
          <w:sz w:val="24"/>
          <w:szCs w:val="24"/>
        </w:rPr>
        <w:t xml:space="preserve"> stále přetrvává problém zaznamenaný v první statistické zprávě, který spočívá v tom, že </w:t>
      </w:r>
      <w:r>
        <w:rPr>
          <w:rFonts w:ascii="Times New Roman" w:hAnsi="Times New Roman"/>
          <w:b/>
          <w:bCs/>
          <w:sz w:val="24"/>
          <w:szCs w:val="24"/>
        </w:rPr>
        <w:t>některé členské státy</w:t>
      </w:r>
      <w:r>
        <w:rPr>
          <w:rFonts w:ascii="Times New Roman" w:hAnsi="Times New Roman"/>
          <w:sz w:val="24"/>
          <w:szCs w:val="24"/>
        </w:rPr>
        <w:t xml:space="preserve"> ve vztahu ke státním příslušníkům jiných členských států, kteří v nich pobývají, </w:t>
      </w:r>
      <w:r>
        <w:rPr>
          <w:rFonts w:ascii="Times New Roman" w:hAnsi="Times New Roman"/>
          <w:b/>
          <w:bCs/>
          <w:sz w:val="24"/>
          <w:szCs w:val="24"/>
        </w:rPr>
        <w:t>nezasílají téměř žádné žádosti</w:t>
      </w:r>
      <w:r>
        <w:rPr>
          <w:rFonts w:ascii="Times New Roman" w:hAnsi="Times New Roman"/>
          <w:sz w:val="24"/>
          <w:szCs w:val="24"/>
        </w:rPr>
        <w:t xml:space="preserve"> (EL, CY, MT) nebo </w:t>
      </w:r>
      <w:r>
        <w:rPr>
          <w:rFonts w:ascii="Times New Roman" w:hAnsi="Times New Roman"/>
          <w:b/>
          <w:bCs/>
          <w:sz w:val="24"/>
          <w:szCs w:val="24"/>
        </w:rPr>
        <w:t>zasílají jen malý počet žádostí</w:t>
      </w:r>
      <w:r>
        <w:rPr>
          <w:rFonts w:ascii="Times New Roman" w:hAnsi="Times New Roman"/>
          <w:sz w:val="24"/>
          <w:szCs w:val="24"/>
        </w:rPr>
        <w:t xml:space="preserve"> (BG, EE, HU, IT, LV, RO, SI).</w:t>
      </w:r>
    </w:p>
    <w:p w14:paraId="7D56143E" w14:textId="77777777" w:rsidR="00C26AF2" w:rsidRPr="008F3B12" w:rsidRDefault="00C26AF2" w:rsidP="00C26AF2">
      <w:pPr>
        <w:numPr>
          <w:ilvl w:val="0"/>
          <w:numId w:val="27"/>
        </w:numPr>
        <w:ind w:left="714" w:hanging="357"/>
        <w:jc w:val="both"/>
        <w:rPr>
          <w:rFonts w:ascii="Times New Roman" w:hAnsi="Times New Roman" w:cs="Times New Roman"/>
          <w:b/>
          <w:noProof/>
          <w:sz w:val="24"/>
          <w:szCs w:val="24"/>
        </w:rPr>
      </w:pPr>
      <w:r>
        <w:rPr>
          <w:rFonts w:ascii="Times New Roman" w:hAnsi="Times New Roman"/>
          <w:b/>
          <w:sz w:val="24"/>
          <w:szCs w:val="24"/>
        </w:rPr>
        <w:t>Žádosti, na které byla získána odpověď po zákonné lhůtě</w:t>
      </w:r>
    </w:p>
    <w:p w14:paraId="7D56143F" w14:textId="77777777" w:rsidR="00C26AF2" w:rsidRDefault="00C26AF2" w:rsidP="00C26AF2">
      <w:pPr>
        <w:jc w:val="both"/>
        <w:rPr>
          <w:rFonts w:ascii="Times New Roman" w:hAnsi="Times New Roman" w:cs="Times New Roman"/>
          <w:noProof/>
          <w:sz w:val="24"/>
          <w:szCs w:val="24"/>
        </w:rPr>
      </w:pPr>
      <w:r>
        <w:rPr>
          <w:rFonts w:ascii="Times New Roman" w:hAnsi="Times New Roman"/>
          <w:sz w:val="24"/>
          <w:szCs w:val="24"/>
        </w:rPr>
        <w:t xml:space="preserve">V roce 2019 </w:t>
      </w:r>
      <w:r>
        <w:rPr>
          <w:rFonts w:ascii="Times New Roman" w:hAnsi="Times New Roman"/>
          <w:b/>
          <w:sz w:val="24"/>
          <w:szCs w:val="24"/>
        </w:rPr>
        <w:t>nebylo v zákonné lhůtě zodpovězeno 190 000 žádostí</w:t>
      </w:r>
      <w:r>
        <w:rPr>
          <w:rFonts w:ascii="Times New Roman" w:hAnsi="Times New Roman"/>
          <w:sz w:val="24"/>
          <w:szCs w:val="24"/>
        </w:rPr>
        <w:t xml:space="preserve">, což představuje </w:t>
      </w:r>
      <w:r>
        <w:rPr>
          <w:rFonts w:ascii="Times New Roman" w:hAnsi="Times New Roman"/>
          <w:b/>
          <w:sz w:val="24"/>
          <w:szCs w:val="24"/>
        </w:rPr>
        <w:t>18,4 % z celkového</w:t>
      </w:r>
      <w:r>
        <w:rPr>
          <w:rFonts w:ascii="Times New Roman" w:hAnsi="Times New Roman"/>
          <w:sz w:val="24"/>
          <w:szCs w:val="24"/>
        </w:rPr>
        <w:t xml:space="preserve"> počtu žádostí. Tento počet opožděných odpovědí je alarmující, protože ve srovnání s rokem 2016 </w:t>
      </w:r>
      <w:r>
        <w:rPr>
          <w:rFonts w:ascii="Times New Roman" w:hAnsi="Times New Roman"/>
          <w:b/>
          <w:bCs/>
          <w:sz w:val="24"/>
          <w:szCs w:val="24"/>
        </w:rPr>
        <w:t>vzrostl téměř čtrnáctkrát</w:t>
      </w:r>
      <w:r>
        <w:rPr>
          <w:rFonts w:ascii="Times New Roman" w:hAnsi="Times New Roman"/>
          <w:sz w:val="24"/>
          <w:szCs w:val="24"/>
        </w:rPr>
        <w:t xml:space="preserve">. </w:t>
      </w:r>
    </w:p>
    <w:p w14:paraId="7D561440" w14:textId="77777777" w:rsidR="00C26AF2" w:rsidRDefault="00C26AF2" w:rsidP="00C26AF2">
      <w:pPr>
        <w:jc w:val="both"/>
        <w:rPr>
          <w:rFonts w:ascii="Times New Roman" w:hAnsi="Times New Roman" w:cs="Times New Roman"/>
          <w:noProof/>
          <w:sz w:val="24"/>
          <w:szCs w:val="24"/>
        </w:rPr>
      </w:pPr>
      <w:r>
        <w:rPr>
          <w:rFonts w:ascii="Times New Roman" w:hAnsi="Times New Roman"/>
          <w:b/>
          <w:bCs/>
          <w:sz w:val="24"/>
          <w:szCs w:val="24"/>
        </w:rPr>
        <w:t>Tento problém se týká</w:t>
      </w:r>
      <w:r>
        <w:rPr>
          <w:rFonts w:ascii="Times New Roman" w:hAnsi="Times New Roman"/>
          <w:sz w:val="24"/>
          <w:szCs w:val="24"/>
        </w:rPr>
        <w:t xml:space="preserve"> zejména </w:t>
      </w:r>
      <w:r>
        <w:rPr>
          <w:rFonts w:ascii="Times New Roman" w:hAnsi="Times New Roman"/>
          <w:b/>
          <w:bCs/>
          <w:sz w:val="24"/>
          <w:szCs w:val="24"/>
        </w:rPr>
        <w:t>členských států</w:t>
      </w:r>
      <w:r>
        <w:rPr>
          <w:rFonts w:ascii="Times New Roman" w:hAnsi="Times New Roman"/>
          <w:sz w:val="24"/>
          <w:szCs w:val="24"/>
        </w:rPr>
        <w:t xml:space="preserve">, které </w:t>
      </w:r>
      <w:r>
        <w:rPr>
          <w:rFonts w:ascii="Times New Roman" w:hAnsi="Times New Roman"/>
          <w:b/>
          <w:bCs/>
          <w:sz w:val="24"/>
          <w:szCs w:val="24"/>
        </w:rPr>
        <w:t>čelily velkému množství žádostí o informace</w:t>
      </w:r>
      <w:r>
        <w:rPr>
          <w:rFonts w:ascii="Times New Roman" w:hAnsi="Times New Roman"/>
          <w:sz w:val="24"/>
          <w:szCs w:val="24"/>
        </w:rPr>
        <w:t>: PL, RO, HR, LV, BE a BG.</w:t>
      </w:r>
    </w:p>
    <w:p w14:paraId="7D561441" w14:textId="77777777" w:rsidR="00C26AF2" w:rsidRPr="003E6A3D" w:rsidRDefault="00C26AF2" w:rsidP="00C26AF2">
      <w:pPr>
        <w:numPr>
          <w:ilvl w:val="0"/>
          <w:numId w:val="27"/>
        </w:numPr>
        <w:ind w:left="714" w:hanging="357"/>
        <w:jc w:val="both"/>
        <w:rPr>
          <w:rFonts w:ascii="Times New Roman" w:hAnsi="Times New Roman"/>
          <w:b/>
          <w:noProof/>
          <w:sz w:val="24"/>
        </w:rPr>
      </w:pPr>
      <w:r>
        <w:rPr>
          <w:rFonts w:ascii="Times New Roman" w:hAnsi="Times New Roman"/>
          <w:b/>
          <w:sz w:val="24"/>
        </w:rPr>
        <w:t>Žádosti o informace, které nebyly zodpovězeny</w:t>
      </w:r>
    </w:p>
    <w:p w14:paraId="7D561442" w14:textId="77777777" w:rsidR="00C26AF2" w:rsidRDefault="00C26AF2" w:rsidP="00C26AF2">
      <w:pPr>
        <w:pStyle w:val="ListParagraph"/>
        <w:spacing w:after="120"/>
        <w:ind w:left="0"/>
        <w:jc w:val="both"/>
        <w:rPr>
          <w:rFonts w:ascii="Times New Roman" w:hAnsi="Times New Roman" w:cs="Times New Roman"/>
          <w:noProof/>
          <w:sz w:val="24"/>
          <w:szCs w:val="24"/>
        </w:rPr>
      </w:pPr>
      <w:r>
        <w:rPr>
          <w:rFonts w:ascii="Times New Roman" w:hAnsi="Times New Roman"/>
          <w:sz w:val="24"/>
          <w:szCs w:val="24"/>
        </w:rPr>
        <w:t>Všechny členské státy obecně na žádosti</w:t>
      </w:r>
      <w:r>
        <w:rPr>
          <w:rFonts w:ascii="Times New Roman" w:hAnsi="Times New Roman"/>
          <w:b/>
          <w:sz w:val="24"/>
          <w:szCs w:val="24"/>
        </w:rPr>
        <w:t xml:space="preserve"> </w:t>
      </w:r>
      <w:r>
        <w:rPr>
          <w:rFonts w:ascii="Times New Roman" w:hAnsi="Times New Roman"/>
          <w:sz w:val="24"/>
          <w:szCs w:val="24"/>
        </w:rPr>
        <w:t xml:space="preserve">reagují, v roce 2019 však stále zůstalo </w:t>
      </w:r>
      <w:r>
        <w:rPr>
          <w:rFonts w:ascii="Times New Roman" w:hAnsi="Times New Roman"/>
          <w:b/>
          <w:sz w:val="24"/>
          <w:szCs w:val="24"/>
        </w:rPr>
        <w:t xml:space="preserve">nezodpovězeno </w:t>
      </w:r>
      <w:r>
        <w:rPr>
          <w:rFonts w:ascii="Times New Roman" w:hAnsi="Times New Roman"/>
          <w:b/>
          <w:bCs/>
          <w:sz w:val="24"/>
          <w:szCs w:val="24"/>
        </w:rPr>
        <w:t>více než 42 000</w:t>
      </w:r>
      <w:r>
        <w:rPr>
          <w:rFonts w:ascii="Times New Roman" w:hAnsi="Times New Roman"/>
          <w:b/>
          <w:sz w:val="24"/>
          <w:szCs w:val="24"/>
        </w:rPr>
        <w:t xml:space="preserve"> žádostí o informace</w:t>
      </w:r>
      <w:r>
        <w:rPr>
          <w:rFonts w:ascii="Times New Roman" w:hAnsi="Times New Roman"/>
          <w:sz w:val="24"/>
          <w:szCs w:val="24"/>
        </w:rPr>
        <w:t xml:space="preserve">. Tento počet odpovídal </w:t>
      </w:r>
      <w:r>
        <w:rPr>
          <w:rFonts w:ascii="Times New Roman" w:hAnsi="Times New Roman"/>
          <w:b/>
          <w:sz w:val="24"/>
          <w:szCs w:val="24"/>
        </w:rPr>
        <w:t>4,1 % všech žádostí</w:t>
      </w:r>
      <w:r>
        <w:rPr>
          <w:rFonts w:ascii="Times New Roman" w:hAnsi="Times New Roman"/>
          <w:bCs/>
          <w:sz w:val="24"/>
          <w:szCs w:val="24"/>
        </w:rPr>
        <w:t xml:space="preserve"> ve srovnání s 3,6 % v roce 2016. </w:t>
      </w:r>
      <w:r>
        <w:rPr>
          <w:rFonts w:ascii="Times New Roman" w:hAnsi="Times New Roman"/>
          <w:sz w:val="24"/>
          <w:szCs w:val="24"/>
        </w:rPr>
        <w:t>Mezi členské státy, které neodpověděly na největší procento žádostí, které obdržely, patřily MT, CY, BG a EL.</w:t>
      </w:r>
    </w:p>
    <w:p w14:paraId="7D561443" w14:textId="77777777" w:rsidR="00C26AF2" w:rsidRPr="00F36687" w:rsidRDefault="00C26AF2" w:rsidP="00C26AF2">
      <w:pPr>
        <w:pStyle w:val="ListParagraph"/>
        <w:numPr>
          <w:ilvl w:val="0"/>
          <w:numId w:val="43"/>
        </w:numPr>
        <w:spacing w:after="120"/>
        <w:ind w:left="714" w:hanging="357"/>
        <w:rPr>
          <w:rFonts w:ascii="Times New Roman" w:hAnsi="Times New Roman" w:cs="Times New Roman"/>
          <w:b/>
          <w:noProof/>
          <w:sz w:val="24"/>
          <w:szCs w:val="24"/>
        </w:rPr>
      </w:pPr>
      <w:r>
        <w:rPr>
          <w:rFonts w:ascii="Times New Roman" w:hAnsi="Times New Roman"/>
          <w:b/>
          <w:sz w:val="24"/>
          <w:szCs w:val="24"/>
        </w:rPr>
        <w:t>Významné rozdíly mezi aktivitami členských států v systému ECRIS a jejich vytížením</w:t>
      </w:r>
    </w:p>
    <w:p w14:paraId="7D561444" w14:textId="77777777" w:rsidR="00C26AF2" w:rsidRPr="00257380" w:rsidRDefault="00C26AF2" w:rsidP="00C26AF2">
      <w:pPr>
        <w:jc w:val="both"/>
        <w:rPr>
          <w:rFonts w:ascii="Times New Roman" w:hAnsi="Times New Roman" w:cs="Times New Roman"/>
          <w:noProof/>
          <w:sz w:val="24"/>
          <w:szCs w:val="24"/>
        </w:rPr>
      </w:pPr>
      <w:r>
        <w:rPr>
          <w:rFonts w:ascii="Times New Roman" w:hAnsi="Times New Roman"/>
          <w:sz w:val="24"/>
          <w:szCs w:val="24"/>
        </w:rPr>
        <w:t xml:space="preserve">Některé členské státy zasílají podstatně více </w:t>
      </w:r>
      <w:r>
        <w:rPr>
          <w:rFonts w:ascii="Times New Roman" w:hAnsi="Times New Roman"/>
          <w:b/>
          <w:sz w:val="24"/>
          <w:szCs w:val="24"/>
        </w:rPr>
        <w:t>žádostí o informace, než dostávají</w:t>
      </w:r>
      <w:r>
        <w:rPr>
          <w:rFonts w:ascii="Times New Roman" w:hAnsi="Times New Roman"/>
          <w:sz w:val="24"/>
          <w:szCs w:val="24"/>
        </w:rPr>
        <w:t xml:space="preserve"> (DE, UK a CZ), zatímco jiné členské státy při odpovídání na tyto žádosti čelí </w:t>
      </w:r>
      <w:r>
        <w:rPr>
          <w:rFonts w:ascii="Times New Roman" w:hAnsi="Times New Roman"/>
          <w:b/>
          <w:sz w:val="24"/>
          <w:szCs w:val="24"/>
        </w:rPr>
        <w:t xml:space="preserve">značné pracovní zátěži </w:t>
      </w:r>
      <w:r>
        <w:rPr>
          <w:rFonts w:ascii="Times New Roman" w:hAnsi="Times New Roman"/>
          <w:sz w:val="24"/>
          <w:szCs w:val="24"/>
        </w:rPr>
        <w:t>(PL, RO, IT, HR, SK a HU). Pracovní zátěž pro některé další členské státy vzniká většinou zasíláním</w:t>
      </w:r>
      <w:r>
        <w:rPr>
          <w:rFonts w:ascii="Times New Roman" w:hAnsi="Times New Roman"/>
          <w:b/>
          <w:bCs/>
          <w:sz w:val="24"/>
          <w:szCs w:val="24"/>
        </w:rPr>
        <w:t xml:space="preserve"> velkého počtu oznámení </w:t>
      </w:r>
      <w:r>
        <w:rPr>
          <w:rFonts w:ascii="Times New Roman" w:hAnsi="Times New Roman"/>
          <w:sz w:val="24"/>
          <w:szCs w:val="24"/>
        </w:rPr>
        <w:t>o nových odsouzeních členským státům, jejichž je pachatel státním příslušníkem (BE a IT).</w:t>
      </w:r>
    </w:p>
    <w:p w14:paraId="7D561445" w14:textId="77777777" w:rsidR="00C26AF2" w:rsidRPr="00F60BD6" w:rsidRDefault="00C26AF2" w:rsidP="00C26AF2">
      <w:pPr>
        <w:numPr>
          <w:ilvl w:val="0"/>
          <w:numId w:val="27"/>
        </w:numPr>
        <w:ind w:left="714" w:hanging="357"/>
        <w:jc w:val="both"/>
        <w:rPr>
          <w:rFonts w:ascii="Times New Roman" w:hAnsi="Times New Roman" w:cs="Times New Roman"/>
          <w:noProof/>
          <w:sz w:val="24"/>
          <w:szCs w:val="24"/>
        </w:rPr>
      </w:pPr>
      <w:r>
        <w:rPr>
          <w:rFonts w:ascii="Times New Roman" w:hAnsi="Times New Roman"/>
          <w:b/>
          <w:sz w:val="24"/>
        </w:rPr>
        <w:t xml:space="preserve">V současné době se systém ECRIS používá pro </w:t>
      </w:r>
      <w:r>
        <w:rPr>
          <w:rFonts w:ascii="Times New Roman" w:hAnsi="Times New Roman"/>
          <w:b/>
          <w:sz w:val="24"/>
          <w:szCs w:val="24"/>
        </w:rPr>
        <w:t>státní příslušníky třetích zemí</w:t>
      </w:r>
      <w:r>
        <w:rPr>
          <w:rFonts w:ascii="Times New Roman" w:hAnsi="Times New Roman"/>
          <w:b/>
          <w:sz w:val="24"/>
        </w:rPr>
        <w:t xml:space="preserve"> jen zřídka</w:t>
      </w:r>
    </w:p>
    <w:p w14:paraId="7D561446" w14:textId="78F5353F" w:rsidR="00C26AF2" w:rsidRDefault="00C26AF2" w:rsidP="00C26AF2">
      <w:pPr>
        <w:jc w:val="both"/>
        <w:rPr>
          <w:rFonts w:ascii="Times New Roman" w:hAnsi="Times New Roman" w:cs="Times New Roman"/>
          <w:noProof/>
          <w:sz w:val="24"/>
          <w:szCs w:val="24"/>
        </w:rPr>
      </w:pPr>
      <w:r>
        <w:rPr>
          <w:rFonts w:ascii="Times New Roman" w:hAnsi="Times New Roman"/>
          <w:sz w:val="24"/>
          <w:szCs w:val="24"/>
        </w:rPr>
        <w:t xml:space="preserve">V průměru </w:t>
      </w:r>
      <w:r>
        <w:rPr>
          <w:rFonts w:ascii="Times New Roman" w:hAnsi="Times New Roman"/>
          <w:b/>
          <w:sz w:val="24"/>
          <w:szCs w:val="24"/>
        </w:rPr>
        <w:t>92 %</w:t>
      </w:r>
      <w:r>
        <w:rPr>
          <w:rFonts w:ascii="Times New Roman" w:hAnsi="Times New Roman"/>
          <w:sz w:val="24"/>
          <w:szCs w:val="24"/>
        </w:rPr>
        <w:t xml:space="preserve"> všech žádostí se týká </w:t>
      </w:r>
      <w:r>
        <w:rPr>
          <w:rFonts w:ascii="Times New Roman" w:hAnsi="Times New Roman"/>
          <w:b/>
          <w:sz w:val="24"/>
          <w:szCs w:val="24"/>
        </w:rPr>
        <w:t>státních příslušníků EU</w:t>
      </w:r>
      <w:r>
        <w:rPr>
          <w:rFonts w:ascii="Times New Roman" w:hAnsi="Times New Roman"/>
          <w:sz w:val="24"/>
          <w:szCs w:val="24"/>
        </w:rPr>
        <w:t xml:space="preserve"> a zhruba </w:t>
      </w:r>
      <w:r>
        <w:rPr>
          <w:rFonts w:ascii="Times New Roman" w:hAnsi="Times New Roman"/>
          <w:b/>
          <w:sz w:val="24"/>
          <w:szCs w:val="24"/>
        </w:rPr>
        <w:t>8 %</w:t>
      </w:r>
      <w:r>
        <w:rPr>
          <w:rFonts w:ascii="Times New Roman" w:hAnsi="Times New Roman"/>
          <w:sz w:val="24"/>
          <w:szCs w:val="24"/>
        </w:rPr>
        <w:t xml:space="preserve"> </w:t>
      </w:r>
      <w:r>
        <w:rPr>
          <w:rFonts w:ascii="Times New Roman" w:hAnsi="Times New Roman"/>
          <w:b/>
          <w:sz w:val="24"/>
          <w:szCs w:val="24"/>
        </w:rPr>
        <w:t>státních příslušníků třetích zemí a osob bez státní příslušnosti</w:t>
      </w:r>
      <w:r>
        <w:rPr>
          <w:rFonts w:ascii="Times New Roman" w:hAnsi="Times New Roman"/>
          <w:sz w:val="24"/>
          <w:szCs w:val="24"/>
        </w:rPr>
        <w:t xml:space="preserve">. Počet žádostí o informace o státních příslušnících třetích zemí od roku 2017 neustále </w:t>
      </w:r>
      <w:r>
        <w:rPr>
          <w:rFonts w:ascii="Times New Roman" w:hAnsi="Times New Roman"/>
          <w:b/>
          <w:sz w:val="24"/>
          <w:szCs w:val="24"/>
        </w:rPr>
        <w:t>roste</w:t>
      </w:r>
      <w:r>
        <w:rPr>
          <w:rFonts w:ascii="Times New Roman" w:hAnsi="Times New Roman"/>
          <w:sz w:val="24"/>
          <w:szCs w:val="24"/>
        </w:rPr>
        <w:t xml:space="preserve"> a v roce</w:t>
      </w:r>
      <w:r>
        <w:rPr>
          <w:rFonts w:ascii="Times New Roman" w:hAnsi="Times New Roman"/>
          <w:b/>
          <w:sz w:val="24"/>
          <w:szCs w:val="24"/>
        </w:rPr>
        <w:t xml:space="preserve"> 2019 překročil 69 000</w:t>
      </w:r>
      <w:r>
        <w:rPr>
          <w:rFonts w:ascii="Times New Roman" w:hAnsi="Times New Roman"/>
          <w:sz w:val="24"/>
          <w:szCs w:val="24"/>
        </w:rPr>
        <w:t xml:space="preserve">. </w:t>
      </w:r>
    </w:p>
    <w:p w14:paraId="7D561447" w14:textId="77777777" w:rsidR="00C26AF2" w:rsidRPr="001B0C71" w:rsidRDefault="00C26AF2">
      <w:pPr>
        <w:rPr>
          <w:rStyle w:val="Hyperlink"/>
          <w:rFonts w:ascii="Times New Roman" w:hAnsi="Times New Roman" w:cs="Times New Roman"/>
          <w:noProof/>
          <w:color w:val="auto"/>
          <w:sz w:val="24"/>
          <w:szCs w:val="24"/>
          <w:u w:val="none"/>
        </w:rPr>
      </w:pPr>
    </w:p>
    <w:sectPr w:rsidR="00C26AF2" w:rsidRPr="001B0C71">
      <w:headerReference w:type="even" r:id="rId32"/>
      <w:headerReference w:type="default" r:id="rId33"/>
      <w:footerReference w:type="even" r:id="rId34"/>
      <w:footerReference w:type="default" r:id="rId35"/>
      <w:headerReference w:type="first" r:id="rId36"/>
      <w:footerReference w:type="first" r:id="rId37"/>
      <w:pgSz w:w="11907" w:h="16840" w:code="9"/>
      <w:pgMar w:top="1418" w:right="1418" w:bottom="1418" w:left="1418" w:header="851" w:footer="255" w:gutter="0"/>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561470" w14:textId="77777777" w:rsidR="00435F5B" w:rsidRDefault="00435F5B">
      <w:r>
        <w:separator/>
      </w:r>
    </w:p>
  </w:endnote>
  <w:endnote w:type="continuationSeparator" w:id="0">
    <w:p w14:paraId="7D561471" w14:textId="77777777" w:rsidR="00435F5B" w:rsidRDefault="00435F5B">
      <w:r>
        <w:continuationSeparator/>
      </w:r>
    </w:p>
  </w:endnote>
  <w:endnote w:type="continuationNotice" w:id="1">
    <w:p w14:paraId="7D561472" w14:textId="77777777" w:rsidR="00435F5B" w:rsidRDefault="00435F5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00000000" w:usb1="6AC7FDFB" w:usb2="00000012" w:usb3="00000000" w:csb0="0002009F" w:csb1="00000000"/>
  </w:font>
  <w:font w:name="Arial Unicode MS">
    <w:panose1 w:val="020B0604020202020204"/>
    <w:charset w:val="00"/>
    <w:family w:val="roman"/>
    <w:pitch w:val="variable"/>
    <w:sig w:usb0="00000003" w:usb1="00000000" w:usb2="00000000" w:usb3="00000000" w:csb0="00000001" w:csb1="00000000"/>
  </w:font>
  <w:font w:name="TimesNewRoman">
    <w:charset w:val="00"/>
    <w:family w:val="roman"/>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C6E18" w14:textId="77777777" w:rsidR="00422E92" w:rsidRDefault="00422E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B29AE" w14:textId="38A79561" w:rsidR="00191A08" w:rsidRPr="00191A08" w:rsidRDefault="00191A08" w:rsidP="00191A08">
    <w:pPr>
      <w:pStyle w:val="FooterCoverPage"/>
      <w:rPr>
        <w:rFonts w:ascii="Arial" w:hAnsi="Arial" w:cs="Arial"/>
        <w:b/>
        <w:sz w:val="48"/>
      </w:rPr>
    </w:pPr>
    <w:r w:rsidRPr="00191A08">
      <w:rPr>
        <w:rFonts w:ascii="Arial" w:hAnsi="Arial" w:cs="Arial"/>
        <w:b/>
        <w:sz w:val="48"/>
      </w:rPr>
      <w:t>CS</w:t>
    </w:r>
    <w:r w:rsidRPr="00191A08">
      <w:rPr>
        <w:rFonts w:ascii="Arial" w:hAnsi="Arial" w:cs="Arial"/>
        <w:b/>
        <w:sz w:val="48"/>
      </w:rPr>
      <w:tab/>
    </w:r>
    <w:r w:rsidRPr="00191A08">
      <w:rPr>
        <w:rFonts w:ascii="Arial" w:hAnsi="Arial" w:cs="Arial"/>
        <w:b/>
        <w:sz w:val="48"/>
      </w:rPr>
      <w:tab/>
    </w:r>
    <w:r w:rsidRPr="00191A08">
      <w:tab/>
    </w:r>
    <w:r w:rsidRPr="00191A08">
      <w:rPr>
        <w:rFonts w:ascii="Arial" w:hAnsi="Arial" w:cs="Arial"/>
        <w:b/>
        <w:sz w:val="48"/>
      </w:rPr>
      <w:t>CS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81B26" w14:textId="77777777" w:rsidR="00422E92" w:rsidRDefault="00422E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6147B" w14:textId="77777777" w:rsidR="008D3CBA" w:rsidRDefault="008D3C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1614629"/>
      <w:docPartObj>
        <w:docPartGallery w:val="Page Numbers (Bottom of Page)"/>
        <w:docPartUnique/>
      </w:docPartObj>
    </w:sdtPr>
    <w:sdtEndPr>
      <w:rPr>
        <w:noProof/>
      </w:rPr>
    </w:sdtEndPr>
    <w:sdtContent>
      <w:p w14:paraId="7D56147C" w14:textId="72972E38" w:rsidR="008D3CBA" w:rsidRDefault="00A81CAF">
        <w:pPr>
          <w:pStyle w:val="Footer"/>
        </w:pPr>
        <w:r>
          <w:fldChar w:fldCharType="begin"/>
        </w:r>
        <w:r>
          <w:instrText xml:space="preserve"> PAGE   \* MERGEFORMAT </w:instrText>
        </w:r>
        <w:r>
          <w:fldChar w:fldCharType="separate"/>
        </w:r>
        <w:r w:rsidR="00422E92">
          <w:rPr>
            <w:noProof/>
          </w:rPr>
          <w:t>4</w:t>
        </w:r>
        <w:r>
          <w:fldChar w:fldCharType="end"/>
        </w:r>
      </w:p>
    </w:sdtContent>
  </w:sdt>
  <w:p w14:paraId="7D56147D" w14:textId="77777777" w:rsidR="008D3CBA" w:rsidRDefault="008D3CB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1531446"/>
      <w:docPartObj>
        <w:docPartGallery w:val="Page Numbers (Bottom of Page)"/>
        <w:docPartUnique/>
      </w:docPartObj>
    </w:sdtPr>
    <w:sdtEndPr>
      <w:rPr>
        <w:noProof/>
      </w:rPr>
    </w:sdtEndPr>
    <w:sdtContent>
      <w:p w14:paraId="7D56147F" w14:textId="0465B5AF" w:rsidR="008D3CBA" w:rsidRDefault="00A81CAF">
        <w:pPr>
          <w:pStyle w:val="Footer"/>
        </w:pPr>
        <w:r>
          <w:fldChar w:fldCharType="begin"/>
        </w:r>
        <w:r>
          <w:instrText xml:space="preserve"> PAGE   \* MERGEFORMAT </w:instrText>
        </w:r>
        <w:r>
          <w:fldChar w:fldCharType="separate"/>
        </w:r>
        <w:r w:rsidR="00422E92">
          <w:rPr>
            <w:noProof/>
          </w:rPr>
          <w:t>2</w:t>
        </w:r>
        <w:r>
          <w:fldChar w:fldCharType="end"/>
        </w:r>
      </w:p>
    </w:sdtContent>
  </w:sdt>
  <w:p w14:paraId="7D561480" w14:textId="77777777" w:rsidR="008D3CBA" w:rsidRDefault="008D3CB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56146D" w14:textId="77777777" w:rsidR="00435F5B" w:rsidRDefault="00435F5B">
      <w:r>
        <w:separator/>
      </w:r>
    </w:p>
  </w:footnote>
  <w:footnote w:type="continuationSeparator" w:id="0">
    <w:p w14:paraId="7D56146E" w14:textId="77777777" w:rsidR="00435F5B" w:rsidRDefault="00435F5B">
      <w:r>
        <w:continuationSeparator/>
      </w:r>
    </w:p>
  </w:footnote>
  <w:footnote w:type="continuationNotice" w:id="1">
    <w:p w14:paraId="7D56146F" w14:textId="77777777" w:rsidR="00435F5B" w:rsidRDefault="00435F5B">
      <w:pPr>
        <w:spacing w:after="0"/>
      </w:pPr>
    </w:p>
  </w:footnote>
  <w:footnote w:id="2">
    <w:p w14:paraId="7D561481" w14:textId="6F2A9F14" w:rsidR="008D3CBA" w:rsidRPr="0009154E" w:rsidRDefault="00A81CAF">
      <w:pPr>
        <w:pStyle w:val="FootnoteText"/>
        <w:spacing w:after="0"/>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t>
      </w:r>
      <w:r>
        <w:tab/>
      </w:r>
      <w:r>
        <w:rPr>
          <w:rFonts w:ascii="Times New Roman" w:hAnsi="Times New Roman"/>
          <w:sz w:val="20"/>
        </w:rPr>
        <w:t>Úř. věst. L 93, 7.4.2009, s. 23 – ve znění směrnice (EU) 2019/884, Úř. věst. L 151, 7.6.2019, s. 143.</w:t>
      </w:r>
    </w:p>
  </w:footnote>
  <w:footnote w:id="3">
    <w:p w14:paraId="7D561482" w14:textId="3521C4D6" w:rsidR="008D3CBA" w:rsidRPr="00E744F9" w:rsidRDefault="00A81CAF" w:rsidP="002B4ED5">
      <w:pPr>
        <w:pStyle w:val="FootnoteText"/>
        <w:spacing w:after="0"/>
        <w:rPr>
          <w:rFonts w:ascii="Times New Roman" w:hAnsi="Times New Roman" w:cs="Times New Roman"/>
        </w:rPr>
      </w:pPr>
      <w:r>
        <w:rPr>
          <w:rStyle w:val="FootnoteReference"/>
          <w:rFonts w:ascii="Times New Roman" w:hAnsi="Times New Roman" w:cs="Times New Roman"/>
          <w:sz w:val="20"/>
        </w:rPr>
        <w:footnoteRef/>
      </w:r>
      <w:r>
        <w:rPr>
          <w:rFonts w:ascii="Times New Roman" w:hAnsi="Times New Roman"/>
          <w:sz w:val="20"/>
        </w:rPr>
        <w:t xml:space="preserve"> </w:t>
      </w:r>
      <w:r>
        <w:tab/>
      </w:r>
      <w:r>
        <w:rPr>
          <w:rFonts w:ascii="Times New Roman" w:hAnsi="Times New Roman"/>
          <w:sz w:val="20"/>
        </w:rPr>
        <w:t xml:space="preserve">Úř. věst. L 93, 7.4.2009, s. 33. Toto rozhodnutí bude nahrazeno směrnicí (EU) 2019/884 ve vztahu k </w:t>
      </w:r>
      <w:r>
        <w:tab/>
      </w:r>
      <w:r>
        <w:rPr>
          <w:rFonts w:ascii="Times New Roman" w:hAnsi="Times New Roman"/>
          <w:sz w:val="20"/>
        </w:rPr>
        <w:t>členským státům, které jsou touto směrnicí vázány – počínaje dnem 28. června 2022.</w:t>
      </w:r>
    </w:p>
  </w:footnote>
  <w:footnote w:id="4">
    <w:p w14:paraId="1D2C462C" w14:textId="07ABAAEC" w:rsidR="003C076F" w:rsidRDefault="003C076F" w:rsidP="00B6461D">
      <w:pPr>
        <w:spacing w:after="0"/>
        <w:ind w:left="709" w:hanging="709"/>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COM(2017) 341 final</w:t>
      </w:r>
      <w:r w:rsidR="007F3F99">
        <w:rPr>
          <w:rFonts w:ascii="Times New Roman" w:hAnsi="Times New Roman"/>
        </w:rPr>
        <w:t>,</w:t>
      </w:r>
      <w:r>
        <w:rPr>
          <w:rFonts w:ascii="Times New Roman" w:hAnsi="Times New Roman"/>
        </w:rPr>
        <w:t xml:space="preserve"> SWD(2017) 242 final.</w:t>
      </w:r>
    </w:p>
  </w:footnote>
  <w:footnote w:id="5">
    <w:p w14:paraId="06FAE94B" w14:textId="73E7E10E" w:rsidR="00A112D4" w:rsidRPr="00B6461D" w:rsidRDefault="00A112D4" w:rsidP="00B6461D">
      <w:pPr>
        <w:pStyle w:val="FootnoteText"/>
        <w:jc w:val="both"/>
        <w:rPr>
          <w:sz w:val="20"/>
        </w:rPr>
      </w:pPr>
      <w:r>
        <w:rPr>
          <w:rStyle w:val="FootnoteReference"/>
          <w:rFonts w:ascii="Times New Roman" w:hAnsi="Times New Roman" w:cs="Times New Roman"/>
          <w:sz w:val="20"/>
        </w:rPr>
        <w:footnoteRef/>
      </w:r>
      <w:r>
        <w:rPr>
          <w:rFonts w:ascii="Times New Roman" w:hAnsi="Times New Roman"/>
          <w:sz w:val="20"/>
        </w:rPr>
        <w:t xml:space="preserve"> </w:t>
      </w:r>
      <w:r>
        <w:tab/>
      </w:r>
      <w:r>
        <w:rPr>
          <w:rFonts w:ascii="Times New Roman" w:hAnsi="Times New Roman"/>
          <w:sz w:val="20"/>
        </w:rPr>
        <w:t>Komise neobdržela údaje z Kypru, Řecka, Dánska, Litvy a Slovinska.</w:t>
      </w:r>
    </w:p>
  </w:footnote>
  <w:footnote w:id="6">
    <w:p w14:paraId="6928EC41" w14:textId="6083B65B" w:rsidR="00EE2C45" w:rsidRPr="00B6461D" w:rsidRDefault="00EE2C45" w:rsidP="00B6461D">
      <w:pPr>
        <w:pStyle w:val="FootnoteText"/>
        <w:spacing w:after="0"/>
        <w:ind w:left="709" w:hanging="709"/>
        <w:rPr>
          <w:rFonts w:ascii="Times New Roman" w:hAnsi="Times New Roman" w:cs="Times New Roman"/>
          <w:sz w:val="20"/>
        </w:rPr>
      </w:pPr>
      <w:r>
        <w:rPr>
          <w:rStyle w:val="FootnoteReference"/>
        </w:rPr>
        <w:footnoteRef/>
      </w:r>
      <w:r>
        <w:t xml:space="preserve"> </w:t>
      </w:r>
      <w:r>
        <w:tab/>
      </w:r>
      <w:r>
        <w:rPr>
          <w:rFonts w:ascii="Times New Roman" w:hAnsi="Times New Roman"/>
          <w:sz w:val="20"/>
        </w:rPr>
        <w:t>Podrobný popis obecných zásad výměny informací prostřednictvím systému ECRIS viz pracovní dokument útvarů Komise, oddíl 1.</w:t>
      </w:r>
    </w:p>
  </w:footnote>
  <w:footnote w:id="7">
    <w:p w14:paraId="1C634414" w14:textId="37F79A4D" w:rsidR="002E2727" w:rsidRPr="002E2727" w:rsidRDefault="002E2727">
      <w:pPr>
        <w:pStyle w:val="FootnoteText"/>
      </w:pPr>
      <w:r>
        <w:rPr>
          <w:rStyle w:val="FootnoteReference"/>
        </w:rPr>
        <w:footnoteRef/>
      </w:r>
      <w:r>
        <w:t xml:space="preserve"> </w:t>
      </w:r>
      <w:r>
        <w:tab/>
      </w:r>
      <w:r>
        <w:rPr>
          <w:rFonts w:ascii="Times New Roman" w:hAnsi="Times New Roman"/>
          <w:sz w:val="20"/>
        </w:rPr>
        <w:t>Historie připojení k síti systému ECRIS viz pracovní dokument útvarů Komise, oddíl 2.1.</w:t>
      </w:r>
    </w:p>
  </w:footnote>
  <w:footnote w:id="8">
    <w:p w14:paraId="36AE4CE4" w14:textId="77777777" w:rsidR="002E2727" w:rsidRPr="003C076F" w:rsidRDefault="002E2727" w:rsidP="002E2727">
      <w:pPr>
        <w:pStyle w:val="FootnoteText"/>
        <w:spacing w:after="0"/>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t>
      </w:r>
      <w:r>
        <w:tab/>
      </w:r>
      <w:r>
        <w:rPr>
          <w:rFonts w:ascii="Times New Roman" w:hAnsi="Times New Roman"/>
          <w:sz w:val="20"/>
        </w:rPr>
        <w:t>Tento počet zohledňuje 28 členských států.</w:t>
      </w:r>
    </w:p>
  </w:footnote>
  <w:footnote w:id="9">
    <w:p w14:paraId="78D0CECA" w14:textId="5A4DC316" w:rsidR="00E71274" w:rsidRPr="00B6461D" w:rsidRDefault="00E71274">
      <w:pPr>
        <w:pStyle w:val="FootnoteText"/>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t>
      </w:r>
      <w:r>
        <w:tab/>
      </w:r>
      <w:r>
        <w:rPr>
          <w:rFonts w:ascii="Times New Roman" w:hAnsi="Times New Roman"/>
          <w:sz w:val="20"/>
        </w:rPr>
        <w:t>K vývoji počtu propojení v průběhu let viz pracovní dokument útvarů Komise, oddíl 2.1.</w:t>
      </w:r>
    </w:p>
  </w:footnote>
  <w:footnote w:id="10">
    <w:p w14:paraId="7D561486" w14:textId="77777777" w:rsidR="008D3CBA" w:rsidRDefault="00A81CAF">
      <w:pPr>
        <w:pStyle w:val="FootnoteText"/>
        <w:ind w:left="709" w:hanging="709"/>
        <w:rPr>
          <w:rFonts w:ascii="Times New Roman" w:hAnsi="Times New Roman" w:cs="Times New Roman"/>
          <w:sz w:val="20"/>
        </w:rPr>
      </w:pPr>
      <w:r>
        <w:rPr>
          <w:rStyle w:val="FootnoteReference"/>
          <w:rFonts w:ascii="Times New Roman" w:hAnsi="Times New Roman" w:cs="Times New Roman"/>
          <w:sz w:val="20"/>
        </w:rPr>
        <w:footnoteRef/>
      </w:r>
      <w:r>
        <w:t xml:space="preserve"> </w:t>
      </w:r>
      <w:r>
        <w:tab/>
      </w:r>
      <w:r>
        <w:rPr>
          <w:rFonts w:ascii="Times New Roman" w:hAnsi="Times New Roman"/>
          <w:sz w:val="20"/>
        </w:rPr>
        <w:t>Jiné odpovědi jsou například odpovědi obsahující více nalezených osob nebo případy, kdy daná osoba není státním příslušníkem členského státu, který požaduje informace atd.</w:t>
      </w:r>
    </w:p>
  </w:footnote>
  <w:footnote w:id="11">
    <w:p w14:paraId="7D561487" w14:textId="0BBE0ACA" w:rsidR="00E55788" w:rsidRPr="00E55788" w:rsidRDefault="00E55788" w:rsidP="00E55788">
      <w:pPr>
        <w:pStyle w:val="FootnoteText"/>
        <w:spacing w:after="0"/>
        <w:ind w:left="709" w:hanging="709"/>
        <w:rPr>
          <w:rFonts w:ascii="Times New Roman" w:hAnsi="Times New Roman" w:cs="Times New Roman"/>
          <w:sz w:val="20"/>
        </w:rPr>
      </w:pPr>
      <w:r>
        <w:rPr>
          <w:rStyle w:val="FootnoteReference"/>
        </w:rPr>
        <w:footnoteRef/>
      </w:r>
      <w:r>
        <w:t xml:space="preserve"> </w:t>
      </w:r>
      <w:r>
        <w:tab/>
      </w:r>
      <w:r>
        <w:rPr>
          <w:rFonts w:ascii="Times New Roman" w:hAnsi="Times New Roman"/>
          <w:sz w:val="20"/>
        </w:rPr>
        <w:t>Úř. věst. L 220, 15.8.2008, s. 32.</w:t>
      </w:r>
    </w:p>
  </w:footnote>
  <w:footnote w:id="12">
    <w:p w14:paraId="1A1C1A9B" w14:textId="5019454C" w:rsidR="00D63573" w:rsidRPr="00B6461D" w:rsidRDefault="00D63573">
      <w:pPr>
        <w:pStyle w:val="FootnoteText"/>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t>
      </w:r>
      <w:r>
        <w:tab/>
      </w:r>
      <w:r>
        <w:rPr>
          <w:rFonts w:ascii="Times New Roman" w:hAnsi="Times New Roman"/>
          <w:sz w:val="20"/>
        </w:rPr>
        <w:t>Za roky 2017 a 2018 viz pracovní dokument útvarů Komise, oddíl 2.2.</w:t>
      </w:r>
    </w:p>
  </w:footnote>
  <w:footnote w:id="13">
    <w:p w14:paraId="39A9EE66" w14:textId="02C0AED3" w:rsidR="00281E5A" w:rsidRPr="00B6461D" w:rsidRDefault="00281E5A" w:rsidP="00B6461D">
      <w:pPr>
        <w:pStyle w:val="FootnoteText"/>
        <w:spacing w:after="0"/>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t>
      </w:r>
      <w:r>
        <w:tab/>
      </w:r>
      <w:r>
        <w:rPr>
          <w:rFonts w:ascii="Times New Roman" w:hAnsi="Times New Roman"/>
          <w:sz w:val="20"/>
        </w:rPr>
        <w:t>Za roky 2017 a 2018 viz pracovní dokument útvarů Komise, oddíl 2.3.</w:t>
      </w:r>
    </w:p>
  </w:footnote>
  <w:footnote w:id="14">
    <w:p w14:paraId="7D561488" w14:textId="0370C7D7" w:rsidR="0041503A" w:rsidRPr="00F36687" w:rsidRDefault="0041503A" w:rsidP="00E55788">
      <w:pPr>
        <w:pStyle w:val="FootnoteText"/>
        <w:spacing w:after="0"/>
        <w:ind w:left="709" w:hanging="709"/>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t>
      </w:r>
      <w:r>
        <w:tab/>
      </w:r>
      <w:r>
        <w:rPr>
          <w:rFonts w:ascii="Times New Roman" w:hAnsi="Times New Roman"/>
          <w:sz w:val="20"/>
        </w:rPr>
        <w:t>Viz statistiky Eurostatu: https://ec.europa.eu/eurostat/statistics-explained/index.php?title=File:Non-national_population_by_group_of_citizenship,_1_January_2019.png</w:t>
      </w:r>
    </w:p>
    <w:p w14:paraId="7D561489" w14:textId="77777777" w:rsidR="0041503A" w:rsidRDefault="0041503A">
      <w:pPr>
        <w:pStyle w:val="FootnoteText"/>
      </w:pPr>
    </w:p>
  </w:footnote>
  <w:footnote w:id="15">
    <w:p w14:paraId="2129B921" w14:textId="4F2FE58E" w:rsidR="00281E5A" w:rsidRPr="00B6461D" w:rsidRDefault="00281E5A">
      <w:pPr>
        <w:pStyle w:val="FootnoteText"/>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t>
      </w:r>
      <w:r>
        <w:tab/>
      </w:r>
      <w:r>
        <w:rPr>
          <w:rFonts w:ascii="Times New Roman" w:hAnsi="Times New Roman"/>
          <w:sz w:val="20"/>
        </w:rPr>
        <w:t>Více podrobností viz pracovní dokument útvarů Komise, oddíl 2.3.</w:t>
      </w:r>
    </w:p>
  </w:footnote>
  <w:footnote w:id="16">
    <w:p w14:paraId="6FA6982A" w14:textId="303D9FE6" w:rsidR="00281E5A" w:rsidRPr="00B6461D" w:rsidRDefault="00281E5A" w:rsidP="00B6461D">
      <w:pPr>
        <w:spacing w:after="0"/>
        <w:ind w:left="709" w:hanging="709"/>
        <w:jc w:val="both"/>
        <w:rPr>
          <w:rFonts w:ascii="Times New Roman" w:hAnsi="Times New Roman" w:cs="Times New Roman"/>
          <w:b/>
        </w:rPr>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Podrobná analýza statistik jednotlivých členských států týkající se odsouzení a oznámení viz pracovní dokument útvarů Komise, oddíl 3.</w:t>
      </w:r>
    </w:p>
  </w:footnote>
  <w:footnote w:id="17">
    <w:p w14:paraId="524A9EEB" w14:textId="472BFAC5" w:rsidR="00281E5A" w:rsidRPr="00B6461D" w:rsidRDefault="00281E5A" w:rsidP="00B6461D">
      <w:pPr>
        <w:pStyle w:val="FootnoteText"/>
        <w:spacing w:after="0"/>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t>
      </w:r>
      <w:r>
        <w:tab/>
      </w:r>
      <w:r>
        <w:rPr>
          <w:rFonts w:ascii="Times New Roman" w:hAnsi="Times New Roman"/>
          <w:sz w:val="20"/>
        </w:rPr>
        <w:t>Za roky 2017 a 2018 viz pracovní dokument útvarů Komise, oddíl 2.4.</w:t>
      </w:r>
    </w:p>
  </w:footnote>
  <w:footnote w:id="18">
    <w:p w14:paraId="54151127" w14:textId="07EB84F2" w:rsidR="00281E5A" w:rsidRPr="00B6461D" w:rsidRDefault="00281E5A" w:rsidP="00281E5A">
      <w:pPr>
        <w:jc w:val="both"/>
        <w:rPr>
          <w:rFonts w:ascii="Times New Roman" w:hAnsi="Times New Roman" w:cs="Times New Roman"/>
          <w:noProof/>
        </w:rPr>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Za roky 2017 a 2018 viz pracovní dokument útvarů Komise, oddíl 2.5.</w:t>
      </w:r>
    </w:p>
    <w:p w14:paraId="0C2BC496" w14:textId="4A9B4E8C" w:rsidR="00281E5A" w:rsidRPr="00281E5A" w:rsidRDefault="00281E5A">
      <w:pPr>
        <w:pStyle w:val="FootnoteText"/>
      </w:pPr>
    </w:p>
  </w:footnote>
  <w:footnote w:id="19">
    <w:p w14:paraId="6DBE9467" w14:textId="564133F7" w:rsidR="00782CB8" w:rsidRPr="00782CB8" w:rsidRDefault="00782CB8">
      <w:pPr>
        <w:pStyle w:val="FootnoteText"/>
        <w:rPr>
          <w:rFonts w:ascii="Times New Roman" w:hAnsi="Times New Roman" w:cs="Times New Roman"/>
          <w:sz w:val="20"/>
        </w:rPr>
      </w:pPr>
      <w:r>
        <w:rPr>
          <w:rStyle w:val="FootnoteReference"/>
          <w:rFonts w:ascii="Times New Roman" w:hAnsi="Times New Roman" w:cs="Times New Roman"/>
          <w:sz w:val="20"/>
        </w:rPr>
        <w:footnoteRef/>
      </w:r>
      <w:r>
        <w:tab/>
      </w:r>
      <w:r>
        <w:rPr>
          <w:rFonts w:ascii="Times New Roman" w:hAnsi="Times New Roman"/>
          <w:sz w:val="20"/>
        </w:rPr>
        <w:t xml:space="preserve"> Viz oddíl 1.2 výše.</w:t>
      </w:r>
    </w:p>
  </w:footnote>
  <w:footnote w:id="20">
    <w:p w14:paraId="619BA470" w14:textId="3249C91B" w:rsidR="00AA1A56" w:rsidRPr="00B6461D" w:rsidRDefault="00AA1A56" w:rsidP="006F05DF">
      <w:pPr>
        <w:pStyle w:val="FootnoteText"/>
        <w:ind w:left="851" w:hanging="851"/>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t>
      </w:r>
      <w:r>
        <w:tab/>
      </w:r>
      <w:r>
        <w:rPr>
          <w:rFonts w:ascii="Times New Roman" w:hAnsi="Times New Roman"/>
          <w:sz w:val="20"/>
        </w:rPr>
        <w:t>Další informace viz pracovní dokument útvarů Komise: tabulka v oddíle 2.6 a statistiky jednotlivých členských států o opožděných odpovědích v oddíle 3.</w:t>
      </w:r>
    </w:p>
  </w:footnote>
  <w:footnote w:id="21">
    <w:p w14:paraId="7D56148A" w14:textId="77777777" w:rsidR="0077561E" w:rsidRPr="0077561E" w:rsidRDefault="0077561E" w:rsidP="0039561E">
      <w:pPr>
        <w:pStyle w:val="FootnoteText"/>
        <w:spacing w:after="0"/>
        <w:rPr>
          <w:sz w:val="20"/>
        </w:rPr>
      </w:pPr>
      <w:r>
        <w:rPr>
          <w:rStyle w:val="FootnoteReference"/>
          <w:sz w:val="20"/>
        </w:rPr>
        <w:footnoteRef/>
      </w:r>
      <w:r>
        <w:rPr>
          <w:sz w:val="20"/>
        </w:rPr>
        <w:t xml:space="preserve"> </w:t>
      </w:r>
      <w:r>
        <w:tab/>
      </w:r>
      <w:r>
        <w:rPr>
          <w:rFonts w:ascii="Times New Roman" w:hAnsi="Times New Roman"/>
          <w:sz w:val="20"/>
        </w:rPr>
        <w:t>Směrnice 2011/93/EU o boji proti pohlavnímu zneužívání a pohlavnímu vykořisťování dětí a proti dětské pornografii, Úř. věst. L 335, 17.12.2011, s. 1.</w:t>
      </w:r>
    </w:p>
  </w:footnote>
  <w:footnote w:id="22">
    <w:p w14:paraId="5E69DB99" w14:textId="30DE00D1" w:rsidR="00AA1A56" w:rsidRPr="00AA1A56" w:rsidRDefault="00AA1A56" w:rsidP="00B6461D">
      <w:pPr>
        <w:spacing w:after="0"/>
        <w:ind w:left="709" w:hanging="709"/>
        <w:jc w:val="both"/>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Podrobnější informace o objemech žádostí u jednotlivých kategorií nebo účelů v letech 2017–2019 viz pracovní dokument útvarů Komise, oddíl 2.7.</w:t>
      </w:r>
    </w:p>
  </w:footnote>
  <w:footnote w:id="23">
    <w:p w14:paraId="7D56148B" w14:textId="4FD2154A" w:rsidR="008D3CBA" w:rsidRDefault="00A81CAF">
      <w:pPr>
        <w:pStyle w:val="FootnoteText"/>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t>
      </w:r>
      <w:r>
        <w:tab/>
      </w:r>
      <w:r>
        <w:rPr>
          <w:rFonts w:ascii="Times New Roman" w:hAnsi="Times New Roman"/>
          <w:sz w:val="20"/>
        </w:rPr>
        <w:t>Viz také tabulka v pracovním dokumentu útvarů Komise, oddíl 2.8.</w:t>
      </w:r>
    </w:p>
  </w:footnote>
  <w:footnote w:id="24">
    <w:p w14:paraId="7D56148C" w14:textId="7B31300F" w:rsidR="00AC474D" w:rsidRPr="00F36687" w:rsidRDefault="00AC474D" w:rsidP="00F36687">
      <w:pPr>
        <w:pStyle w:val="FootnoteText"/>
        <w:spacing w:after="0"/>
        <w:ind w:left="680" w:hanging="680"/>
        <w:jc w:val="both"/>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t>
      </w:r>
      <w:r>
        <w:tab/>
      </w:r>
      <w:r>
        <w:rPr>
          <w:rFonts w:ascii="Times New Roman" w:hAnsi="Times New Roman"/>
          <w:sz w:val="20"/>
        </w:rPr>
        <w:t>Nařízení 2019/816/EU, kterým se zřizuje ECRIS-TCN, Úř. věst. L 135, 22.5.2019, s. 1, směrnice 2019/884/EU, kterou se mění rámcové rozhodnutí Rady 2009/315/SVV, Úř. věst. L 151, 7.6.2019, s. 143.</w:t>
      </w:r>
    </w:p>
  </w:footnote>
  <w:footnote w:id="25">
    <w:p w14:paraId="7D56148D" w14:textId="32A0525D" w:rsidR="008D3CBA" w:rsidRDefault="00A81CAF" w:rsidP="00964FE7">
      <w:pPr>
        <w:pStyle w:val="FootnoteText"/>
        <w:ind w:left="709" w:hanging="709"/>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t>
      </w:r>
      <w:r>
        <w:tab/>
      </w:r>
      <w:r>
        <w:rPr>
          <w:rFonts w:ascii="Times New Roman" w:hAnsi="Times New Roman"/>
          <w:sz w:val="20"/>
        </w:rPr>
        <w:t>Viz poznámka pod čarou 9. Viz také tabulka v pracovním dokumentu útvarů Komise, oddíl 2.9.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5B6D8" w14:textId="77777777" w:rsidR="00422E92" w:rsidRDefault="00422E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0D920" w14:textId="77777777" w:rsidR="00422E92" w:rsidRDefault="00422E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B4B0A" w14:textId="77777777" w:rsidR="00422E92" w:rsidRDefault="00422E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61479" w14:textId="77777777" w:rsidR="008D3CBA" w:rsidRDefault="008D3CB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6147A" w14:textId="77777777" w:rsidR="008D3CBA" w:rsidRDefault="008D3CB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6147E" w14:textId="77777777" w:rsidR="008D3CBA" w:rsidRDefault="008D3C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527B5"/>
    <w:multiLevelType w:val="hybridMultilevel"/>
    <w:tmpl w:val="587E3CAE"/>
    <w:lvl w:ilvl="0" w:tplc="147079E8">
      <w:start w:val="1"/>
      <w:numFmt w:val="bullet"/>
      <w:pStyle w:val="Listbullet2cm"/>
      <w:lvlText w:val=""/>
      <w:lvlJc w:val="left"/>
      <w:pPr>
        <w:tabs>
          <w:tab w:val="num" w:pos="1494"/>
        </w:tabs>
        <w:ind w:left="1474" w:hanging="340"/>
      </w:pPr>
      <w:rPr>
        <w:rFonts w:ascii="Symbol" w:hAnsi="Symbol" w:hint="default"/>
        <w:sz w:val="20"/>
      </w:rPr>
    </w:lvl>
    <w:lvl w:ilvl="1" w:tplc="2752F458">
      <w:start w:val="1"/>
      <w:numFmt w:val="bullet"/>
      <w:pStyle w:val="Listbullet2cm"/>
      <w:lvlText w:val=""/>
      <w:lvlJc w:val="left"/>
      <w:pPr>
        <w:tabs>
          <w:tab w:val="num" w:pos="1440"/>
        </w:tabs>
        <w:ind w:left="1420" w:hanging="340"/>
      </w:pPr>
      <w:rPr>
        <w:rFonts w:ascii="Symbol" w:hAnsi="Symbol" w:hint="default"/>
      </w:rPr>
    </w:lvl>
    <w:lvl w:ilvl="2" w:tplc="53A40F5C" w:tentative="1">
      <w:start w:val="1"/>
      <w:numFmt w:val="bullet"/>
      <w:lvlText w:val=""/>
      <w:lvlJc w:val="left"/>
      <w:pPr>
        <w:tabs>
          <w:tab w:val="num" w:pos="2160"/>
        </w:tabs>
        <w:ind w:left="2160" w:hanging="360"/>
      </w:pPr>
      <w:rPr>
        <w:rFonts w:ascii="Wingdings" w:hAnsi="Wingdings" w:hint="default"/>
      </w:rPr>
    </w:lvl>
    <w:lvl w:ilvl="3" w:tplc="7A2C8FDE" w:tentative="1">
      <w:start w:val="1"/>
      <w:numFmt w:val="bullet"/>
      <w:lvlText w:val=""/>
      <w:lvlJc w:val="left"/>
      <w:pPr>
        <w:tabs>
          <w:tab w:val="num" w:pos="2880"/>
        </w:tabs>
        <w:ind w:left="2880" w:hanging="360"/>
      </w:pPr>
      <w:rPr>
        <w:rFonts w:ascii="Symbol" w:hAnsi="Symbol" w:hint="default"/>
      </w:rPr>
    </w:lvl>
    <w:lvl w:ilvl="4" w:tplc="B874C7CC" w:tentative="1">
      <w:start w:val="1"/>
      <w:numFmt w:val="bullet"/>
      <w:lvlText w:val="o"/>
      <w:lvlJc w:val="left"/>
      <w:pPr>
        <w:tabs>
          <w:tab w:val="num" w:pos="3600"/>
        </w:tabs>
        <w:ind w:left="3600" w:hanging="360"/>
      </w:pPr>
      <w:rPr>
        <w:rFonts w:ascii="Courier New" w:hAnsi="Courier New" w:hint="default"/>
      </w:rPr>
    </w:lvl>
    <w:lvl w:ilvl="5" w:tplc="63D690E6" w:tentative="1">
      <w:start w:val="1"/>
      <w:numFmt w:val="bullet"/>
      <w:lvlText w:val=""/>
      <w:lvlJc w:val="left"/>
      <w:pPr>
        <w:tabs>
          <w:tab w:val="num" w:pos="4320"/>
        </w:tabs>
        <w:ind w:left="4320" w:hanging="360"/>
      </w:pPr>
      <w:rPr>
        <w:rFonts w:ascii="Wingdings" w:hAnsi="Wingdings" w:hint="default"/>
      </w:rPr>
    </w:lvl>
    <w:lvl w:ilvl="6" w:tplc="2D3E0C88" w:tentative="1">
      <w:start w:val="1"/>
      <w:numFmt w:val="bullet"/>
      <w:lvlText w:val=""/>
      <w:lvlJc w:val="left"/>
      <w:pPr>
        <w:tabs>
          <w:tab w:val="num" w:pos="5040"/>
        </w:tabs>
        <w:ind w:left="5040" w:hanging="360"/>
      </w:pPr>
      <w:rPr>
        <w:rFonts w:ascii="Symbol" w:hAnsi="Symbol" w:hint="default"/>
      </w:rPr>
    </w:lvl>
    <w:lvl w:ilvl="7" w:tplc="0AEC5C3E" w:tentative="1">
      <w:start w:val="1"/>
      <w:numFmt w:val="bullet"/>
      <w:lvlText w:val="o"/>
      <w:lvlJc w:val="left"/>
      <w:pPr>
        <w:tabs>
          <w:tab w:val="num" w:pos="5760"/>
        </w:tabs>
        <w:ind w:left="5760" w:hanging="360"/>
      </w:pPr>
      <w:rPr>
        <w:rFonts w:ascii="Courier New" w:hAnsi="Courier New" w:hint="default"/>
      </w:rPr>
    </w:lvl>
    <w:lvl w:ilvl="8" w:tplc="180A8BE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A431A5"/>
    <w:multiLevelType w:val="singleLevel"/>
    <w:tmpl w:val="FCDAD016"/>
    <w:lvl w:ilvl="0">
      <w:start w:val="1"/>
      <w:numFmt w:val="bullet"/>
      <w:pStyle w:val="ListBullet1"/>
      <w:lvlText w:val=""/>
      <w:lvlJc w:val="left"/>
      <w:pPr>
        <w:tabs>
          <w:tab w:val="num" w:pos="360"/>
        </w:tabs>
        <w:ind w:left="360" w:hanging="360"/>
      </w:pPr>
      <w:rPr>
        <w:rFonts w:ascii="Wingdings" w:hAnsi="Wingdings" w:hint="default"/>
      </w:rPr>
    </w:lvl>
  </w:abstractNum>
  <w:abstractNum w:abstractNumId="2" w15:restartNumberingAfterBreak="0">
    <w:nsid w:val="061C00CF"/>
    <w:multiLevelType w:val="hybridMultilevel"/>
    <w:tmpl w:val="ABCAFF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F20208"/>
    <w:multiLevelType w:val="singleLevel"/>
    <w:tmpl w:val="B5AC3962"/>
    <w:lvl w:ilvl="0">
      <w:start w:val="1"/>
      <w:numFmt w:val="bullet"/>
      <w:pStyle w:val="Bullet"/>
      <w:lvlText w:val=""/>
      <w:lvlJc w:val="left"/>
      <w:pPr>
        <w:tabs>
          <w:tab w:val="num" w:pos="360"/>
        </w:tabs>
        <w:ind w:left="360" w:hanging="360"/>
      </w:pPr>
      <w:rPr>
        <w:rFonts w:ascii="Symbol" w:hAnsi="Symbol" w:hint="default"/>
      </w:rPr>
    </w:lvl>
  </w:abstractNum>
  <w:abstractNum w:abstractNumId="4" w15:restartNumberingAfterBreak="0">
    <w:nsid w:val="0CD14F8D"/>
    <w:multiLevelType w:val="hybridMultilevel"/>
    <w:tmpl w:val="21ECA3CA"/>
    <w:lvl w:ilvl="0" w:tplc="08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0EA86DCF"/>
    <w:multiLevelType w:val="hybridMultilevel"/>
    <w:tmpl w:val="023E7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D3773A"/>
    <w:multiLevelType w:val="singleLevel"/>
    <w:tmpl w:val="18CA76E8"/>
    <w:lvl w:ilvl="0">
      <w:start w:val="1"/>
      <w:numFmt w:val="bullet"/>
      <w:pStyle w:val="TaBult1"/>
      <w:lvlText w:val=""/>
      <w:lvlJc w:val="left"/>
      <w:pPr>
        <w:tabs>
          <w:tab w:val="num" w:pos="360"/>
        </w:tabs>
        <w:ind w:left="360" w:hanging="360"/>
      </w:pPr>
      <w:rPr>
        <w:rFonts w:ascii="Wingdings" w:hAnsi="Wingdings" w:hint="default"/>
      </w:rPr>
    </w:lvl>
  </w:abstractNum>
  <w:abstractNum w:abstractNumId="7" w15:restartNumberingAfterBreak="0">
    <w:nsid w:val="20231E57"/>
    <w:multiLevelType w:val="singleLevel"/>
    <w:tmpl w:val="B5E20F18"/>
    <w:lvl w:ilvl="0">
      <w:start w:val="1"/>
      <w:numFmt w:val="bullet"/>
      <w:pStyle w:val="Bullet1"/>
      <w:lvlText w:val=""/>
      <w:lvlJc w:val="left"/>
      <w:pPr>
        <w:tabs>
          <w:tab w:val="num" w:pos="360"/>
        </w:tabs>
        <w:ind w:left="360" w:hanging="360"/>
      </w:pPr>
      <w:rPr>
        <w:rFonts w:ascii="Symbol" w:hAnsi="Symbol" w:hint="default"/>
      </w:rPr>
    </w:lvl>
  </w:abstractNum>
  <w:abstractNum w:abstractNumId="8" w15:restartNumberingAfterBreak="0">
    <w:nsid w:val="22E44180"/>
    <w:multiLevelType w:val="multilevel"/>
    <w:tmpl w:val="6C90453A"/>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3CF01AE"/>
    <w:multiLevelType w:val="multilevel"/>
    <w:tmpl w:val="1E66B5CC"/>
    <w:lvl w:ilvl="0">
      <w:start w:val="1"/>
      <w:numFmt w:val="bullet"/>
      <w:pStyle w:val="List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75631B"/>
    <w:multiLevelType w:val="singleLevel"/>
    <w:tmpl w:val="D1F2C4D8"/>
    <w:lvl w:ilvl="0">
      <w:start w:val="1"/>
      <w:numFmt w:val="bullet"/>
      <w:pStyle w:val="ListNumber"/>
      <w:lvlText w:val=""/>
      <w:lvlJc w:val="left"/>
      <w:pPr>
        <w:tabs>
          <w:tab w:val="num" w:pos="765"/>
        </w:tabs>
        <w:ind w:left="765" w:hanging="283"/>
      </w:pPr>
      <w:rPr>
        <w:rFonts w:ascii="Symbol" w:hAnsi="Symbol"/>
      </w:rPr>
    </w:lvl>
  </w:abstractNum>
  <w:abstractNum w:abstractNumId="11" w15:restartNumberingAfterBreak="0">
    <w:nsid w:val="2CD40552"/>
    <w:multiLevelType w:val="hybridMultilevel"/>
    <w:tmpl w:val="726CF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ED044C"/>
    <w:multiLevelType w:val="hybridMultilevel"/>
    <w:tmpl w:val="279E5052"/>
    <w:lvl w:ilvl="0" w:tplc="0809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F144D28"/>
    <w:multiLevelType w:val="singleLevel"/>
    <w:tmpl w:val="6DC45E2C"/>
    <w:lvl w:ilvl="0">
      <w:start w:val="1"/>
      <w:numFmt w:val="bullet"/>
      <w:pStyle w:val="Bullet10"/>
      <w:lvlText w:val=""/>
      <w:lvlJc w:val="left"/>
      <w:pPr>
        <w:tabs>
          <w:tab w:val="num" w:pos="360"/>
        </w:tabs>
        <w:ind w:left="360" w:hanging="360"/>
      </w:pPr>
      <w:rPr>
        <w:rFonts w:ascii="Symbol" w:hAnsi="Symbol" w:hint="default"/>
      </w:rPr>
    </w:lvl>
  </w:abstractNum>
  <w:abstractNum w:abstractNumId="14" w15:restartNumberingAfterBreak="0">
    <w:nsid w:val="3C914D61"/>
    <w:multiLevelType w:val="singleLevel"/>
    <w:tmpl w:val="C2F6FA2A"/>
    <w:lvl w:ilvl="0">
      <w:start w:val="1"/>
      <w:numFmt w:val="decimal"/>
      <w:pStyle w:val="Listnumber2cm"/>
      <w:lvlText w:val="%1"/>
      <w:lvlJc w:val="left"/>
      <w:pPr>
        <w:tabs>
          <w:tab w:val="num" w:pos="1701"/>
        </w:tabs>
        <w:ind w:left="1701" w:hanging="567"/>
      </w:pPr>
      <w:rPr>
        <w:rFonts w:hint="default"/>
      </w:rPr>
    </w:lvl>
  </w:abstractNum>
  <w:abstractNum w:abstractNumId="15" w15:restartNumberingAfterBreak="0">
    <w:nsid w:val="3E503334"/>
    <w:multiLevelType w:val="hybridMultilevel"/>
    <w:tmpl w:val="8744AD0A"/>
    <w:lvl w:ilvl="0" w:tplc="080C0001">
      <w:start w:val="1"/>
      <w:numFmt w:val="bullet"/>
      <w:lvlText w:val=""/>
      <w:lvlJc w:val="left"/>
      <w:pPr>
        <w:ind w:left="643" w:hanging="360"/>
      </w:pPr>
      <w:rPr>
        <w:rFonts w:ascii="Symbol" w:hAnsi="Symbol" w:hint="default"/>
        <w:b w:val="0"/>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6" w15:restartNumberingAfterBreak="0">
    <w:nsid w:val="40A83CEA"/>
    <w:multiLevelType w:val="hybridMultilevel"/>
    <w:tmpl w:val="541C3B0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86" w:hanging="360"/>
      </w:pPr>
      <w:rPr>
        <w:rFonts w:ascii="Symbol" w:hAnsi="Symbol"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41260B5C"/>
    <w:multiLevelType w:val="hybridMultilevel"/>
    <w:tmpl w:val="46301692"/>
    <w:lvl w:ilvl="0" w:tplc="08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42544AE5"/>
    <w:multiLevelType w:val="hybridMultilevel"/>
    <w:tmpl w:val="072697CC"/>
    <w:lvl w:ilvl="0" w:tplc="0809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9" w15:restartNumberingAfterBreak="0">
    <w:nsid w:val="44AA7DEB"/>
    <w:multiLevelType w:val="singleLevel"/>
    <w:tmpl w:val="5798E670"/>
    <w:lvl w:ilvl="0">
      <w:start w:val="1"/>
      <w:numFmt w:val="bullet"/>
      <w:pStyle w:val="Puce2"/>
      <w:lvlText w:val=""/>
      <w:lvlJc w:val="left"/>
      <w:pPr>
        <w:tabs>
          <w:tab w:val="num" w:pos="927"/>
        </w:tabs>
        <w:ind w:left="907" w:hanging="340"/>
      </w:pPr>
      <w:rPr>
        <w:rFonts w:ascii="Wingdings" w:hAnsi="Wingdings" w:hint="default"/>
      </w:rPr>
    </w:lvl>
  </w:abstractNum>
  <w:abstractNum w:abstractNumId="20" w15:restartNumberingAfterBreak="0">
    <w:nsid w:val="465D172F"/>
    <w:multiLevelType w:val="multilevel"/>
    <w:tmpl w:val="9CBAF6BE"/>
    <w:lvl w:ilvl="0">
      <w:start w:val="1"/>
      <w:numFmt w:val="decimal"/>
      <w:pStyle w:val="ListNumber1"/>
      <w:lvlText w:val="(%1)"/>
      <w:lvlJc w:val="left"/>
      <w:pPr>
        <w:tabs>
          <w:tab w:val="num" w:pos="1191"/>
        </w:tabs>
        <w:ind w:left="1191" w:hanging="709"/>
      </w:pPr>
      <w:rPr>
        <w:rFonts w:hint="default"/>
      </w:rPr>
    </w:lvl>
    <w:lvl w:ilvl="1">
      <w:start w:val="1"/>
      <w:numFmt w:val="lowerLetter"/>
      <w:pStyle w:val="ListNumber1Level2"/>
      <w:lvlText w:val="(%2)"/>
      <w:lvlJc w:val="left"/>
      <w:pPr>
        <w:tabs>
          <w:tab w:val="num" w:pos="1899"/>
        </w:tabs>
        <w:ind w:left="1899" w:hanging="708"/>
      </w:pPr>
      <w:rPr>
        <w:rFonts w:hint="default"/>
      </w:rPr>
    </w:lvl>
    <w:lvl w:ilvl="2">
      <w:start w:val="1"/>
      <w:numFmt w:val="bullet"/>
      <w:pStyle w:val="ListNumber1Level3"/>
      <w:lvlText w:val="–"/>
      <w:lvlJc w:val="left"/>
      <w:pPr>
        <w:tabs>
          <w:tab w:val="num" w:pos="2608"/>
        </w:tabs>
        <w:ind w:left="2608" w:hanging="709"/>
      </w:pPr>
      <w:rPr>
        <w:rFonts w:ascii="Times New Roman" w:hAnsi="Times New Roman" w:hint="default"/>
      </w:rPr>
    </w:lvl>
    <w:lvl w:ilvl="3">
      <w:start w:val="1"/>
      <w:numFmt w:val="bullet"/>
      <w:pStyle w:val="ListNumber1Level4"/>
      <w:lvlText w:val=""/>
      <w:lvlJc w:val="left"/>
      <w:pPr>
        <w:tabs>
          <w:tab w:val="num" w:pos="3317"/>
        </w:tabs>
        <w:ind w:left="3317"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4C3B30B9"/>
    <w:multiLevelType w:val="hybridMultilevel"/>
    <w:tmpl w:val="AD448F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F12FAC"/>
    <w:multiLevelType w:val="hybridMultilevel"/>
    <w:tmpl w:val="DA3CDF7E"/>
    <w:lvl w:ilvl="0" w:tplc="E06C52E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2195C26"/>
    <w:multiLevelType w:val="singleLevel"/>
    <w:tmpl w:val="2A2099E6"/>
    <w:lvl w:ilvl="0">
      <w:start w:val="1"/>
      <w:numFmt w:val="bullet"/>
      <w:pStyle w:val="Lista"/>
      <w:lvlText w:val=""/>
      <w:lvlJc w:val="left"/>
      <w:pPr>
        <w:tabs>
          <w:tab w:val="num" w:pos="360"/>
        </w:tabs>
        <w:ind w:left="360" w:hanging="360"/>
      </w:pPr>
      <w:rPr>
        <w:rFonts w:ascii="Symbol" w:hAnsi="Symbol" w:hint="default"/>
      </w:rPr>
    </w:lvl>
  </w:abstractNum>
  <w:abstractNum w:abstractNumId="24" w15:restartNumberingAfterBreak="0">
    <w:nsid w:val="5687478B"/>
    <w:multiLevelType w:val="hybridMultilevel"/>
    <w:tmpl w:val="DF9CF0A4"/>
    <w:lvl w:ilvl="0" w:tplc="0809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5" w15:restartNumberingAfterBreak="0">
    <w:nsid w:val="5BB02CEE"/>
    <w:multiLevelType w:val="hybridMultilevel"/>
    <w:tmpl w:val="A478F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EA11F0"/>
    <w:multiLevelType w:val="hybridMultilevel"/>
    <w:tmpl w:val="16D07B52"/>
    <w:lvl w:ilvl="0" w:tplc="E898B9B8">
      <w:start w:val="1"/>
      <w:numFmt w:val="bullet"/>
      <w:pStyle w:val="Listbullet1cm"/>
      <w:lvlText w:val=""/>
      <w:lvlJc w:val="left"/>
      <w:pPr>
        <w:tabs>
          <w:tab w:val="num" w:pos="1647"/>
        </w:tabs>
        <w:ind w:left="1627" w:hanging="340"/>
      </w:pPr>
      <w:rPr>
        <w:rFonts w:ascii="Symbol" w:hAnsi="Symbol" w:hint="default"/>
        <w:sz w:val="20"/>
      </w:rPr>
    </w:lvl>
    <w:lvl w:ilvl="1" w:tplc="387C74FA" w:tentative="1">
      <w:start w:val="1"/>
      <w:numFmt w:val="bullet"/>
      <w:lvlText w:val="o"/>
      <w:lvlJc w:val="left"/>
      <w:pPr>
        <w:tabs>
          <w:tab w:val="num" w:pos="1440"/>
        </w:tabs>
        <w:ind w:left="1440" w:hanging="360"/>
      </w:pPr>
      <w:rPr>
        <w:rFonts w:ascii="Courier New" w:hAnsi="Courier New" w:hint="default"/>
      </w:rPr>
    </w:lvl>
    <w:lvl w:ilvl="2" w:tplc="3B7E9B3E" w:tentative="1">
      <w:start w:val="1"/>
      <w:numFmt w:val="bullet"/>
      <w:lvlText w:val=""/>
      <w:lvlJc w:val="left"/>
      <w:pPr>
        <w:tabs>
          <w:tab w:val="num" w:pos="2160"/>
        </w:tabs>
        <w:ind w:left="2160" w:hanging="360"/>
      </w:pPr>
      <w:rPr>
        <w:rFonts w:ascii="Wingdings" w:hAnsi="Wingdings" w:hint="default"/>
      </w:rPr>
    </w:lvl>
    <w:lvl w:ilvl="3" w:tplc="24345B38" w:tentative="1">
      <w:start w:val="1"/>
      <w:numFmt w:val="bullet"/>
      <w:lvlText w:val=""/>
      <w:lvlJc w:val="left"/>
      <w:pPr>
        <w:tabs>
          <w:tab w:val="num" w:pos="2880"/>
        </w:tabs>
        <w:ind w:left="2880" w:hanging="360"/>
      </w:pPr>
      <w:rPr>
        <w:rFonts w:ascii="Symbol" w:hAnsi="Symbol" w:hint="default"/>
      </w:rPr>
    </w:lvl>
    <w:lvl w:ilvl="4" w:tplc="C8B8E8CC" w:tentative="1">
      <w:start w:val="1"/>
      <w:numFmt w:val="bullet"/>
      <w:lvlText w:val="o"/>
      <w:lvlJc w:val="left"/>
      <w:pPr>
        <w:tabs>
          <w:tab w:val="num" w:pos="3600"/>
        </w:tabs>
        <w:ind w:left="3600" w:hanging="360"/>
      </w:pPr>
      <w:rPr>
        <w:rFonts w:ascii="Courier New" w:hAnsi="Courier New" w:hint="default"/>
      </w:rPr>
    </w:lvl>
    <w:lvl w:ilvl="5" w:tplc="83DABCBE" w:tentative="1">
      <w:start w:val="1"/>
      <w:numFmt w:val="bullet"/>
      <w:lvlText w:val=""/>
      <w:lvlJc w:val="left"/>
      <w:pPr>
        <w:tabs>
          <w:tab w:val="num" w:pos="4320"/>
        </w:tabs>
        <w:ind w:left="4320" w:hanging="360"/>
      </w:pPr>
      <w:rPr>
        <w:rFonts w:ascii="Wingdings" w:hAnsi="Wingdings" w:hint="default"/>
      </w:rPr>
    </w:lvl>
    <w:lvl w:ilvl="6" w:tplc="65D04D92" w:tentative="1">
      <w:start w:val="1"/>
      <w:numFmt w:val="bullet"/>
      <w:lvlText w:val=""/>
      <w:lvlJc w:val="left"/>
      <w:pPr>
        <w:tabs>
          <w:tab w:val="num" w:pos="5040"/>
        </w:tabs>
        <w:ind w:left="5040" w:hanging="360"/>
      </w:pPr>
      <w:rPr>
        <w:rFonts w:ascii="Symbol" w:hAnsi="Symbol" w:hint="default"/>
      </w:rPr>
    </w:lvl>
    <w:lvl w:ilvl="7" w:tplc="476C85D6" w:tentative="1">
      <w:start w:val="1"/>
      <w:numFmt w:val="bullet"/>
      <w:lvlText w:val="o"/>
      <w:lvlJc w:val="left"/>
      <w:pPr>
        <w:tabs>
          <w:tab w:val="num" w:pos="5760"/>
        </w:tabs>
        <w:ind w:left="5760" w:hanging="360"/>
      </w:pPr>
      <w:rPr>
        <w:rFonts w:ascii="Courier New" w:hAnsi="Courier New" w:hint="default"/>
      </w:rPr>
    </w:lvl>
    <w:lvl w:ilvl="8" w:tplc="DF8A459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62B5C67"/>
    <w:multiLevelType w:val="singleLevel"/>
    <w:tmpl w:val="8F10F890"/>
    <w:lvl w:ilvl="0">
      <w:start w:val="1"/>
      <w:numFmt w:val="bullet"/>
      <w:pStyle w:val="BodyTextIndent"/>
      <w:lvlText w:val="–"/>
      <w:lvlJc w:val="left"/>
      <w:pPr>
        <w:tabs>
          <w:tab w:val="num" w:pos="283"/>
        </w:tabs>
        <w:ind w:left="283" w:hanging="283"/>
      </w:pPr>
      <w:rPr>
        <w:rFonts w:ascii="Times New Roman" w:hAnsi="Times New Roman"/>
      </w:rPr>
    </w:lvl>
  </w:abstractNum>
  <w:abstractNum w:abstractNumId="28" w15:restartNumberingAfterBreak="0">
    <w:nsid w:val="66C02E3F"/>
    <w:multiLevelType w:val="hybridMultilevel"/>
    <w:tmpl w:val="91B0992A"/>
    <w:lvl w:ilvl="0" w:tplc="BE84792A">
      <w:start w:val="1"/>
      <w:numFmt w:val="decimal"/>
      <w:lvlText w:val="%1."/>
      <w:lvlJc w:val="left"/>
      <w:pPr>
        <w:tabs>
          <w:tab w:val="num" w:pos="720"/>
        </w:tabs>
        <w:ind w:left="720" w:hanging="360"/>
      </w:pPr>
    </w:lvl>
    <w:lvl w:ilvl="1" w:tplc="AB4ADF3A">
      <w:start w:val="1"/>
      <w:numFmt w:val="bullet"/>
      <w:pStyle w:val="TableBullet"/>
      <w:lvlText w:val=""/>
      <w:lvlJc w:val="left"/>
      <w:pPr>
        <w:tabs>
          <w:tab w:val="num" w:pos="1440"/>
        </w:tabs>
        <w:ind w:left="1420" w:hanging="340"/>
      </w:pPr>
      <w:rPr>
        <w:rFonts w:ascii="Symbol" w:hAnsi="Symbol" w:hint="default"/>
      </w:rPr>
    </w:lvl>
    <w:lvl w:ilvl="2" w:tplc="728012D0">
      <w:start w:val="1"/>
      <w:numFmt w:val="lowerRoman"/>
      <w:lvlText w:val="%3."/>
      <w:lvlJc w:val="right"/>
      <w:pPr>
        <w:tabs>
          <w:tab w:val="num" w:pos="2160"/>
        </w:tabs>
        <w:ind w:left="2160" w:hanging="180"/>
      </w:pPr>
    </w:lvl>
    <w:lvl w:ilvl="3" w:tplc="188E441A" w:tentative="1">
      <w:start w:val="1"/>
      <w:numFmt w:val="decimal"/>
      <w:lvlText w:val="%4."/>
      <w:lvlJc w:val="left"/>
      <w:pPr>
        <w:tabs>
          <w:tab w:val="num" w:pos="2880"/>
        </w:tabs>
        <w:ind w:left="2880" w:hanging="360"/>
      </w:pPr>
    </w:lvl>
    <w:lvl w:ilvl="4" w:tplc="FD262742" w:tentative="1">
      <w:start w:val="1"/>
      <w:numFmt w:val="lowerLetter"/>
      <w:lvlText w:val="%5."/>
      <w:lvlJc w:val="left"/>
      <w:pPr>
        <w:tabs>
          <w:tab w:val="num" w:pos="3600"/>
        </w:tabs>
        <w:ind w:left="3600" w:hanging="360"/>
      </w:pPr>
    </w:lvl>
    <w:lvl w:ilvl="5" w:tplc="77C2C0B4" w:tentative="1">
      <w:start w:val="1"/>
      <w:numFmt w:val="lowerRoman"/>
      <w:lvlText w:val="%6."/>
      <w:lvlJc w:val="right"/>
      <w:pPr>
        <w:tabs>
          <w:tab w:val="num" w:pos="4320"/>
        </w:tabs>
        <w:ind w:left="4320" w:hanging="180"/>
      </w:pPr>
    </w:lvl>
    <w:lvl w:ilvl="6" w:tplc="38D81E78" w:tentative="1">
      <w:start w:val="1"/>
      <w:numFmt w:val="decimal"/>
      <w:lvlText w:val="%7."/>
      <w:lvlJc w:val="left"/>
      <w:pPr>
        <w:tabs>
          <w:tab w:val="num" w:pos="5040"/>
        </w:tabs>
        <w:ind w:left="5040" w:hanging="360"/>
      </w:pPr>
    </w:lvl>
    <w:lvl w:ilvl="7" w:tplc="20EC8814" w:tentative="1">
      <w:start w:val="1"/>
      <w:numFmt w:val="lowerLetter"/>
      <w:lvlText w:val="%8."/>
      <w:lvlJc w:val="left"/>
      <w:pPr>
        <w:tabs>
          <w:tab w:val="num" w:pos="5760"/>
        </w:tabs>
        <w:ind w:left="5760" w:hanging="360"/>
      </w:pPr>
    </w:lvl>
    <w:lvl w:ilvl="8" w:tplc="EF3C8C46" w:tentative="1">
      <w:start w:val="1"/>
      <w:numFmt w:val="lowerRoman"/>
      <w:lvlText w:val="%9."/>
      <w:lvlJc w:val="right"/>
      <w:pPr>
        <w:tabs>
          <w:tab w:val="num" w:pos="6480"/>
        </w:tabs>
        <w:ind w:left="6480" w:hanging="180"/>
      </w:pPr>
    </w:lvl>
  </w:abstractNum>
  <w:abstractNum w:abstractNumId="29" w15:restartNumberingAfterBreak="0">
    <w:nsid w:val="67381CEE"/>
    <w:multiLevelType w:val="hybridMultilevel"/>
    <w:tmpl w:val="BAF01B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858419E"/>
    <w:multiLevelType w:val="multilevel"/>
    <w:tmpl w:val="DDD0F768"/>
    <w:lvl w:ilvl="0">
      <w:start w:val="1"/>
      <w:numFmt w:val="bullet"/>
      <w:pStyle w:val="SteriaBullet"/>
      <w:lvlText w:val=""/>
      <w:lvlJc w:val="left"/>
      <w:pPr>
        <w:tabs>
          <w:tab w:val="num" w:pos="4235"/>
        </w:tabs>
        <w:ind w:left="4235" w:hanging="360"/>
      </w:pPr>
      <w:rPr>
        <w:rFonts w:ascii="Wingdings" w:hAnsi="Wingdings" w:hint="default"/>
        <w:color w:val="FF5900"/>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E4708B"/>
    <w:multiLevelType w:val="hybridMultilevel"/>
    <w:tmpl w:val="9654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6764EE"/>
    <w:multiLevelType w:val="multilevel"/>
    <w:tmpl w:val="590CAE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3130"/>
        </w:tabs>
        <w:ind w:left="3130" w:hanging="720"/>
      </w:pPr>
    </w:lvl>
    <w:lvl w:ilvl="3">
      <w:start w:val="1"/>
      <w:numFmt w:val="decimal"/>
      <w:pStyle w:val="Heading4"/>
      <w:lvlText w:val="%1.%2.%3.%4"/>
      <w:lvlJc w:val="left"/>
      <w:pPr>
        <w:tabs>
          <w:tab w:val="num" w:pos="3842"/>
        </w:tabs>
        <w:ind w:left="3842" w:hanging="864"/>
      </w:pPr>
    </w:lvl>
    <w:lvl w:ilvl="4">
      <w:start w:val="1"/>
      <w:numFmt w:val="decimal"/>
      <w:pStyle w:val="Heading5"/>
      <w:lvlText w:val="%1.%2.%3.%4.%5"/>
      <w:lvlJc w:val="left"/>
      <w:pPr>
        <w:tabs>
          <w:tab w:val="num" w:pos="4269"/>
        </w:tabs>
        <w:ind w:left="4269"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3" w15:restartNumberingAfterBreak="0">
    <w:nsid w:val="74A06403"/>
    <w:multiLevelType w:val="hybridMultilevel"/>
    <w:tmpl w:val="9F4A8AF2"/>
    <w:lvl w:ilvl="0" w:tplc="DC7AC5D2">
      <w:start w:val="1"/>
      <w:numFmt w:val="decimal"/>
      <w:pStyle w:val="Listnumber1cm"/>
      <w:lvlText w:val="%1"/>
      <w:lvlJc w:val="left"/>
      <w:pPr>
        <w:tabs>
          <w:tab w:val="num" w:pos="927"/>
        </w:tabs>
        <w:ind w:left="851" w:hanging="284"/>
      </w:pPr>
      <w:rPr>
        <w:rFonts w:hint="default"/>
      </w:rPr>
    </w:lvl>
    <w:lvl w:ilvl="1" w:tplc="AFFCEF48" w:tentative="1">
      <w:start w:val="1"/>
      <w:numFmt w:val="lowerLetter"/>
      <w:lvlText w:val="%2."/>
      <w:lvlJc w:val="left"/>
      <w:pPr>
        <w:tabs>
          <w:tab w:val="num" w:pos="1440"/>
        </w:tabs>
        <w:ind w:left="1440" w:hanging="360"/>
      </w:pPr>
    </w:lvl>
    <w:lvl w:ilvl="2" w:tplc="279CE068" w:tentative="1">
      <w:start w:val="1"/>
      <w:numFmt w:val="lowerRoman"/>
      <w:lvlText w:val="%3."/>
      <w:lvlJc w:val="right"/>
      <w:pPr>
        <w:tabs>
          <w:tab w:val="num" w:pos="2160"/>
        </w:tabs>
        <w:ind w:left="2160" w:hanging="180"/>
      </w:pPr>
    </w:lvl>
    <w:lvl w:ilvl="3" w:tplc="BA000492" w:tentative="1">
      <w:start w:val="1"/>
      <w:numFmt w:val="decimal"/>
      <w:lvlText w:val="%4."/>
      <w:lvlJc w:val="left"/>
      <w:pPr>
        <w:tabs>
          <w:tab w:val="num" w:pos="2880"/>
        </w:tabs>
        <w:ind w:left="2880" w:hanging="360"/>
      </w:pPr>
    </w:lvl>
    <w:lvl w:ilvl="4" w:tplc="A1E8A902" w:tentative="1">
      <w:start w:val="1"/>
      <w:numFmt w:val="lowerLetter"/>
      <w:lvlText w:val="%5."/>
      <w:lvlJc w:val="left"/>
      <w:pPr>
        <w:tabs>
          <w:tab w:val="num" w:pos="3600"/>
        </w:tabs>
        <w:ind w:left="3600" w:hanging="360"/>
      </w:pPr>
    </w:lvl>
    <w:lvl w:ilvl="5" w:tplc="4D2E328A" w:tentative="1">
      <w:start w:val="1"/>
      <w:numFmt w:val="lowerRoman"/>
      <w:lvlText w:val="%6."/>
      <w:lvlJc w:val="right"/>
      <w:pPr>
        <w:tabs>
          <w:tab w:val="num" w:pos="4320"/>
        </w:tabs>
        <w:ind w:left="4320" w:hanging="180"/>
      </w:pPr>
    </w:lvl>
    <w:lvl w:ilvl="6" w:tplc="27E29162" w:tentative="1">
      <w:start w:val="1"/>
      <w:numFmt w:val="decimal"/>
      <w:lvlText w:val="%7."/>
      <w:lvlJc w:val="left"/>
      <w:pPr>
        <w:tabs>
          <w:tab w:val="num" w:pos="5040"/>
        </w:tabs>
        <w:ind w:left="5040" w:hanging="360"/>
      </w:pPr>
    </w:lvl>
    <w:lvl w:ilvl="7" w:tplc="D1B82ED0" w:tentative="1">
      <w:start w:val="1"/>
      <w:numFmt w:val="lowerLetter"/>
      <w:lvlText w:val="%8."/>
      <w:lvlJc w:val="left"/>
      <w:pPr>
        <w:tabs>
          <w:tab w:val="num" w:pos="5760"/>
        </w:tabs>
        <w:ind w:left="5760" w:hanging="360"/>
      </w:pPr>
    </w:lvl>
    <w:lvl w:ilvl="8" w:tplc="2C0A0A6A" w:tentative="1">
      <w:start w:val="1"/>
      <w:numFmt w:val="lowerRoman"/>
      <w:lvlText w:val="%9."/>
      <w:lvlJc w:val="right"/>
      <w:pPr>
        <w:tabs>
          <w:tab w:val="num" w:pos="6480"/>
        </w:tabs>
        <w:ind w:left="6480" w:hanging="180"/>
      </w:pPr>
    </w:lvl>
  </w:abstractNum>
  <w:abstractNum w:abstractNumId="34" w15:restartNumberingAfterBreak="0">
    <w:nsid w:val="7EE31169"/>
    <w:multiLevelType w:val="hybridMultilevel"/>
    <w:tmpl w:val="29BED7C2"/>
    <w:lvl w:ilvl="0" w:tplc="E06C52E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2"/>
  </w:num>
  <w:num w:numId="2">
    <w:abstractNumId w:val="28"/>
  </w:num>
  <w:num w:numId="3">
    <w:abstractNumId w:val="0"/>
  </w:num>
  <w:num w:numId="4">
    <w:abstractNumId w:val="14"/>
  </w:num>
  <w:num w:numId="5">
    <w:abstractNumId w:val="26"/>
  </w:num>
  <w:num w:numId="6">
    <w:abstractNumId w:val="33"/>
  </w:num>
  <w:num w:numId="7">
    <w:abstractNumId w:val="20"/>
  </w:num>
  <w:num w:numId="8">
    <w:abstractNumId w:val="3"/>
  </w:num>
  <w:num w:numId="9">
    <w:abstractNumId w:val="7"/>
  </w:num>
  <w:num w:numId="10">
    <w:abstractNumId w:val="13"/>
  </w:num>
  <w:num w:numId="11">
    <w:abstractNumId w:val="23"/>
  </w:num>
  <w:num w:numId="12">
    <w:abstractNumId w:val="9"/>
  </w:num>
  <w:num w:numId="13">
    <w:abstractNumId w:val="1"/>
  </w:num>
  <w:num w:numId="14">
    <w:abstractNumId w:val="10"/>
  </w:num>
  <w:num w:numId="15">
    <w:abstractNumId w:val="19"/>
  </w:num>
  <w:num w:numId="16">
    <w:abstractNumId w:val="30"/>
  </w:num>
  <w:num w:numId="17">
    <w:abstractNumId w:val="6"/>
  </w:num>
  <w:num w:numId="18">
    <w:abstractNumId w:val="27"/>
  </w:num>
  <w:num w:numId="19">
    <w:abstractNumId w:val="11"/>
  </w:num>
  <w:num w:numId="20">
    <w:abstractNumId w:val="31"/>
  </w:num>
  <w:num w:numId="21">
    <w:abstractNumId w:val="8"/>
  </w:num>
  <w:num w:numId="22">
    <w:abstractNumId w:val="21"/>
  </w:num>
  <w:num w:numId="23">
    <w:abstractNumId w:val="32"/>
  </w:num>
  <w:num w:numId="24">
    <w:abstractNumId w:val="32"/>
  </w:num>
  <w:num w:numId="25">
    <w:abstractNumId w:val="32"/>
  </w:num>
  <w:num w:numId="26">
    <w:abstractNumId w:val="32"/>
  </w:num>
  <w:num w:numId="27">
    <w:abstractNumId w:val="15"/>
  </w:num>
  <w:num w:numId="28">
    <w:abstractNumId w:val="22"/>
  </w:num>
  <w:num w:numId="29">
    <w:abstractNumId w:val="34"/>
  </w:num>
  <w:num w:numId="30">
    <w:abstractNumId w:val="32"/>
  </w:num>
  <w:num w:numId="31">
    <w:abstractNumId w:val="25"/>
  </w:num>
  <w:num w:numId="32">
    <w:abstractNumId w:val="5"/>
  </w:num>
  <w:num w:numId="33">
    <w:abstractNumId w:val="32"/>
  </w:num>
  <w:num w:numId="34">
    <w:abstractNumId w:val="32"/>
  </w:num>
  <w:num w:numId="35">
    <w:abstractNumId w:val="32"/>
  </w:num>
  <w:num w:numId="36">
    <w:abstractNumId w:val="32"/>
  </w:num>
  <w:num w:numId="37">
    <w:abstractNumId w:val="32"/>
  </w:num>
  <w:num w:numId="38">
    <w:abstractNumId w:val="32"/>
  </w:num>
  <w:num w:numId="39">
    <w:abstractNumId w:val="32"/>
  </w:num>
  <w:num w:numId="40">
    <w:abstractNumId w:val="32"/>
  </w:num>
  <w:num w:numId="41">
    <w:abstractNumId w:val="2"/>
  </w:num>
  <w:num w:numId="42">
    <w:abstractNumId w:val="29"/>
  </w:num>
  <w:num w:numId="43">
    <w:abstractNumId w:val="17"/>
  </w:num>
  <w:num w:numId="44">
    <w:abstractNumId w:val="4"/>
  </w:num>
  <w:num w:numId="45">
    <w:abstractNumId w:val="24"/>
  </w:num>
  <w:num w:numId="46">
    <w:abstractNumId w:val="12"/>
  </w:num>
  <w:num w:numId="47">
    <w:abstractNumId w:val="16"/>
  </w:num>
  <w:num w:numId="48">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99913891-C197-43E4-8ED4-8FDEE55A93A7"/>
    <w:docVar w:name="LW_COVERPAGE_TYPE" w:val="1"/>
    <w:docVar w:name="LW_CROSSREFERENCE" w:val="{SWD(2020) 378 final}"/>
    <w:docVar w:name="LW_DocType" w:val="NORMAL"/>
    <w:docVar w:name="LW_EMISSION" w:val="21.12.2020"/>
    <w:docVar w:name="LW_EMISSION_ISODATE" w:val="2020-12-21"/>
    <w:docVar w:name="LW_EMISSION_LOCATION" w:val="BRX"/>
    <w:docVar w:name="LW_EMISSION_PREFIX" w:val="V Bruselu dne "/>
    <w:docVar w:name="LW_EMISSION_SUFFIX" w:val=" "/>
    <w:docVar w:name="LW_ID_DOCTYPE_NONLW" w:val="CP-006"/>
    <w:docVar w:name="LW_LANGUE" w:val="CS"/>
    <w:docVar w:name="LW_LEVEL_OF_SENSITIVITY" w:val="Standard treatment"/>
    <w:docVar w:name="LW_NOM.INST" w:val="EVROPSKÁ KOMISE"/>
    <w:docVar w:name="LW_NOM.INST_JOINTDOC" w:val="&lt;EMPTY&gt;"/>
    <w:docVar w:name="LW_PART_NBR" w:val="1"/>
    <w:docVar w:name="LW_PART_NBR_TOTAL" w:val="1"/>
    <w:docVar w:name="LW_REF.INST.NEW" w:val="COM"/>
    <w:docVar w:name="LW_REF.INST.NEW_ADOPTED" w:val="final"/>
    <w:docVar w:name="LW_REF.INST.NEW_TEXT" w:val="(2020) 77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o vy\u769?me\u780?ne\u780? informaci\u769? z rejstr\u780?i\u769?ku trestu\u778? mezi c\u780?lensky\u769?mi sta\u769?ty prostr\u780?ednictvi\u769?m Evropske\u769?ho informac\u780?ni\u769?ho syste\u769?mu rejstr\u780?i\u769?ku\u778? trestu\u778? (ECRIS)"/>
    <w:docVar w:name="LW_TYPE.DOC.CP" w:val="ZPRÁVA KOMISE EVROPSKÉMU PARLAMENTU A RAD\u282?"/>
  </w:docVars>
  <w:rsids>
    <w:rsidRoot w:val="008D3CBA"/>
    <w:rsid w:val="000024BD"/>
    <w:rsid w:val="00004101"/>
    <w:rsid w:val="00004F08"/>
    <w:rsid w:val="000101B0"/>
    <w:rsid w:val="00011C13"/>
    <w:rsid w:val="00011ECD"/>
    <w:rsid w:val="00013C60"/>
    <w:rsid w:val="00015690"/>
    <w:rsid w:val="00017239"/>
    <w:rsid w:val="00017E4C"/>
    <w:rsid w:val="00020322"/>
    <w:rsid w:val="00020D30"/>
    <w:rsid w:val="00021E8F"/>
    <w:rsid w:val="00021E9C"/>
    <w:rsid w:val="00022E97"/>
    <w:rsid w:val="0002392A"/>
    <w:rsid w:val="000270FE"/>
    <w:rsid w:val="0002743F"/>
    <w:rsid w:val="00027D8B"/>
    <w:rsid w:val="00027E2E"/>
    <w:rsid w:val="0003113F"/>
    <w:rsid w:val="00032470"/>
    <w:rsid w:val="00033441"/>
    <w:rsid w:val="000356FA"/>
    <w:rsid w:val="0003638C"/>
    <w:rsid w:val="00036DFC"/>
    <w:rsid w:val="00040923"/>
    <w:rsid w:val="00041422"/>
    <w:rsid w:val="000426CA"/>
    <w:rsid w:val="00042FC2"/>
    <w:rsid w:val="00045D71"/>
    <w:rsid w:val="0004647C"/>
    <w:rsid w:val="00047D4C"/>
    <w:rsid w:val="00047FDA"/>
    <w:rsid w:val="00050C8A"/>
    <w:rsid w:val="00051679"/>
    <w:rsid w:val="000526E4"/>
    <w:rsid w:val="00053E5E"/>
    <w:rsid w:val="000542BF"/>
    <w:rsid w:val="0005632A"/>
    <w:rsid w:val="00057342"/>
    <w:rsid w:val="0005755A"/>
    <w:rsid w:val="00057A14"/>
    <w:rsid w:val="00060A65"/>
    <w:rsid w:val="00061507"/>
    <w:rsid w:val="000617A6"/>
    <w:rsid w:val="000617BE"/>
    <w:rsid w:val="00061862"/>
    <w:rsid w:val="00062186"/>
    <w:rsid w:val="000633FA"/>
    <w:rsid w:val="000635EB"/>
    <w:rsid w:val="0006422C"/>
    <w:rsid w:val="00065027"/>
    <w:rsid w:val="00065D59"/>
    <w:rsid w:val="0006640B"/>
    <w:rsid w:val="0006788E"/>
    <w:rsid w:val="00067C7B"/>
    <w:rsid w:val="00070F94"/>
    <w:rsid w:val="000721A6"/>
    <w:rsid w:val="0007298E"/>
    <w:rsid w:val="000735CA"/>
    <w:rsid w:val="00073FA7"/>
    <w:rsid w:val="000742A9"/>
    <w:rsid w:val="00074F6F"/>
    <w:rsid w:val="00074FE0"/>
    <w:rsid w:val="00075419"/>
    <w:rsid w:val="000766B4"/>
    <w:rsid w:val="00076A1D"/>
    <w:rsid w:val="00076EEC"/>
    <w:rsid w:val="0008070E"/>
    <w:rsid w:val="00080DDF"/>
    <w:rsid w:val="0008146B"/>
    <w:rsid w:val="00081D42"/>
    <w:rsid w:val="000831BF"/>
    <w:rsid w:val="0008519F"/>
    <w:rsid w:val="0008525C"/>
    <w:rsid w:val="0009154E"/>
    <w:rsid w:val="0009160D"/>
    <w:rsid w:val="00092037"/>
    <w:rsid w:val="00092661"/>
    <w:rsid w:val="00094014"/>
    <w:rsid w:val="00094952"/>
    <w:rsid w:val="000955D2"/>
    <w:rsid w:val="00097ED3"/>
    <w:rsid w:val="00097F18"/>
    <w:rsid w:val="000A0026"/>
    <w:rsid w:val="000A0485"/>
    <w:rsid w:val="000A18B6"/>
    <w:rsid w:val="000A21B5"/>
    <w:rsid w:val="000A227E"/>
    <w:rsid w:val="000A3AB6"/>
    <w:rsid w:val="000A40B7"/>
    <w:rsid w:val="000A5EAE"/>
    <w:rsid w:val="000A60D9"/>
    <w:rsid w:val="000A76B3"/>
    <w:rsid w:val="000B1E14"/>
    <w:rsid w:val="000B2583"/>
    <w:rsid w:val="000B36DA"/>
    <w:rsid w:val="000B396C"/>
    <w:rsid w:val="000B4A00"/>
    <w:rsid w:val="000B6216"/>
    <w:rsid w:val="000B76F3"/>
    <w:rsid w:val="000B77F8"/>
    <w:rsid w:val="000C1A1B"/>
    <w:rsid w:val="000C1EF9"/>
    <w:rsid w:val="000C2884"/>
    <w:rsid w:val="000C29B9"/>
    <w:rsid w:val="000C318F"/>
    <w:rsid w:val="000C5D3A"/>
    <w:rsid w:val="000C6583"/>
    <w:rsid w:val="000C6EB6"/>
    <w:rsid w:val="000C6EE0"/>
    <w:rsid w:val="000C70CE"/>
    <w:rsid w:val="000C71F8"/>
    <w:rsid w:val="000C74CB"/>
    <w:rsid w:val="000D0562"/>
    <w:rsid w:val="000D09DC"/>
    <w:rsid w:val="000D0FCC"/>
    <w:rsid w:val="000D23EA"/>
    <w:rsid w:val="000D30EA"/>
    <w:rsid w:val="000D3EB5"/>
    <w:rsid w:val="000D5F92"/>
    <w:rsid w:val="000E043D"/>
    <w:rsid w:val="000E0ADC"/>
    <w:rsid w:val="000E0D66"/>
    <w:rsid w:val="000E2EC6"/>
    <w:rsid w:val="000E3A2C"/>
    <w:rsid w:val="000E4CEB"/>
    <w:rsid w:val="000E4EE6"/>
    <w:rsid w:val="000E621B"/>
    <w:rsid w:val="000E7602"/>
    <w:rsid w:val="000E7EA9"/>
    <w:rsid w:val="000F1298"/>
    <w:rsid w:val="000F4148"/>
    <w:rsid w:val="000F5662"/>
    <w:rsid w:val="000F5C16"/>
    <w:rsid w:val="000F6927"/>
    <w:rsid w:val="000F6C98"/>
    <w:rsid w:val="000F7398"/>
    <w:rsid w:val="00102545"/>
    <w:rsid w:val="0010553D"/>
    <w:rsid w:val="001057D9"/>
    <w:rsid w:val="00105E20"/>
    <w:rsid w:val="00107BFA"/>
    <w:rsid w:val="00110EC9"/>
    <w:rsid w:val="00111A99"/>
    <w:rsid w:val="00112C5B"/>
    <w:rsid w:val="00114227"/>
    <w:rsid w:val="001154CD"/>
    <w:rsid w:val="001166F2"/>
    <w:rsid w:val="00117904"/>
    <w:rsid w:val="00120B35"/>
    <w:rsid w:val="00120FEF"/>
    <w:rsid w:val="00121808"/>
    <w:rsid w:val="0012233A"/>
    <w:rsid w:val="00122A90"/>
    <w:rsid w:val="001248D7"/>
    <w:rsid w:val="00124DF5"/>
    <w:rsid w:val="00126A26"/>
    <w:rsid w:val="001303EB"/>
    <w:rsid w:val="001316E8"/>
    <w:rsid w:val="001323BD"/>
    <w:rsid w:val="00132A9C"/>
    <w:rsid w:val="00135605"/>
    <w:rsid w:val="00135E8A"/>
    <w:rsid w:val="001364A7"/>
    <w:rsid w:val="00136551"/>
    <w:rsid w:val="00136A7F"/>
    <w:rsid w:val="00136C72"/>
    <w:rsid w:val="00136DDE"/>
    <w:rsid w:val="0014170F"/>
    <w:rsid w:val="00141FCB"/>
    <w:rsid w:val="00142169"/>
    <w:rsid w:val="001439CD"/>
    <w:rsid w:val="00143ABA"/>
    <w:rsid w:val="0014469C"/>
    <w:rsid w:val="00145598"/>
    <w:rsid w:val="001457EF"/>
    <w:rsid w:val="00146EA9"/>
    <w:rsid w:val="00147AB6"/>
    <w:rsid w:val="00147D8D"/>
    <w:rsid w:val="001509E7"/>
    <w:rsid w:val="0015193F"/>
    <w:rsid w:val="001536E0"/>
    <w:rsid w:val="00153761"/>
    <w:rsid w:val="00154FEB"/>
    <w:rsid w:val="00155254"/>
    <w:rsid w:val="001554A8"/>
    <w:rsid w:val="001554B7"/>
    <w:rsid w:val="00155D08"/>
    <w:rsid w:val="00155E9F"/>
    <w:rsid w:val="00156BE6"/>
    <w:rsid w:val="00157EF5"/>
    <w:rsid w:val="001634F2"/>
    <w:rsid w:val="0016463C"/>
    <w:rsid w:val="00165419"/>
    <w:rsid w:val="00166AD3"/>
    <w:rsid w:val="00171354"/>
    <w:rsid w:val="001714DA"/>
    <w:rsid w:val="00172C7B"/>
    <w:rsid w:val="001740E0"/>
    <w:rsid w:val="0017411D"/>
    <w:rsid w:val="0017416E"/>
    <w:rsid w:val="001744BB"/>
    <w:rsid w:val="0017648A"/>
    <w:rsid w:val="00176C79"/>
    <w:rsid w:val="00176CF8"/>
    <w:rsid w:val="00180C01"/>
    <w:rsid w:val="001816E5"/>
    <w:rsid w:val="001821DF"/>
    <w:rsid w:val="00183E61"/>
    <w:rsid w:val="00184676"/>
    <w:rsid w:val="00184E65"/>
    <w:rsid w:val="001859FD"/>
    <w:rsid w:val="0018631E"/>
    <w:rsid w:val="0018643A"/>
    <w:rsid w:val="00186F83"/>
    <w:rsid w:val="00191A08"/>
    <w:rsid w:val="00193CF3"/>
    <w:rsid w:val="001943B9"/>
    <w:rsid w:val="001958FE"/>
    <w:rsid w:val="00196AB2"/>
    <w:rsid w:val="001970FA"/>
    <w:rsid w:val="00197FB0"/>
    <w:rsid w:val="001A0C98"/>
    <w:rsid w:val="001A2416"/>
    <w:rsid w:val="001A4151"/>
    <w:rsid w:val="001A4EF3"/>
    <w:rsid w:val="001A544E"/>
    <w:rsid w:val="001A5FF1"/>
    <w:rsid w:val="001A6639"/>
    <w:rsid w:val="001A68CA"/>
    <w:rsid w:val="001A7096"/>
    <w:rsid w:val="001A7E8F"/>
    <w:rsid w:val="001B033A"/>
    <w:rsid w:val="001B03A2"/>
    <w:rsid w:val="001B0C71"/>
    <w:rsid w:val="001B1025"/>
    <w:rsid w:val="001B1295"/>
    <w:rsid w:val="001B3780"/>
    <w:rsid w:val="001B490C"/>
    <w:rsid w:val="001B516E"/>
    <w:rsid w:val="001B5770"/>
    <w:rsid w:val="001B66BF"/>
    <w:rsid w:val="001B68D0"/>
    <w:rsid w:val="001B6E97"/>
    <w:rsid w:val="001C14C6"/>
    <w:rsid w:val="001C2125"/>
    <w:rsid w:val="001C235A"/>
    <w:rsid w:val="001C2F12"/>
    <w:rsid w:val="001D1ACC"/>
    <w:rsid w:val="001D2902"/>
    <w:rsid w:val="001D2B03"/>
    <w:rsid w:val="001D3BBD"/>
    <w:rsid w:val="001D3E03"/>
    <w:rsid w:val="001D423D"/>
    <w:rsid w:val="001D6986"/>
    <w:rsid w:val="001D74AA"/>
    <w:rsid w:val="001D7E72"/>
    <w:rsid w:val="001E00D2"/>
    <w:rsid w:val="001E1D97"/>
    <w:rsid w:val="001E2350"/>
    <w:rsid w:val="001E2565"/>
    <w:rsid w:val="001E2F07"/>
    <w:rsid w:val="001E426C"/>
    <w:rsid w:val="001E56F2"/>
    <w:rsid w:val="001E72C5"/>
    <w:rsid w:val="001E753F"/>
    <w:rsid w:val="001F0007"/>
    <w:rsid w:val="001F1630"/>
    <w:rsid w:val="001F3661"/>
    <w:rsid w:val="001F49CB"/>
    <w:rsid w:val="001F49DA"/>
    <w:rsid w:val="001F4E96"/>
    <w:rsid w:val="001F52B1"/>
    <w:rsid w:val="001F630A"/>
    <w:rsid w:val="001F75C6"/>
    <w:rsid w:val="001F7E0E"/>
    <w:rsid w:val="00202330"/>
    <w:rsid w:val="002041B4"/>
    <w:rsid w:val="00204E3C"/>
    <w:rsid w:val="00205BF2"/>
    <w:rsid w:val="0020648A"/>
    <w:rsid w:val="00210875"/>
    <w:rsid w:val="002170C8"/>
    <w:rsid w:val="0022136D"/>
    <w:rsid w:val="00222A5B"/>
    <w:rsid w:val="002231AD"/>
    <w:rsid w:val="00226486"/>
    <w:rsid w:val="00227A78"/>
    <w:rsid w:val="00233392"/>
    <w:rsid w:val="002343FC"/>
    <w:rsid w:val="002347D0"/>
    <w:rsid w:val="0023515B"/>
    <w:rsid w:val="0023533F"/>
    <w:rsid w:val="0023568F"/>
    <w:rsid w:val="00235A14"/>
    <w:rsid w:val="0023670B"/>
    <w:rsid w:val="00236A0A"/>
    <w:rsid w:val="0023704F"/>
    <w:rsid w:val="00237E0A"/>
    <w:rsid w:val="00240036"/>
    <w:rsid w:val="00240507"/>
    <w:rsid w:val="00240DA3"/>
    <w:rsid w:val="00241BA2"/>
    <w:rsid w:val="00242315"/>
    <w:rsid w:val="0024360D"/>
    <w:rsid w:val="00244A82"/>
    <w:rsid w:val="0024534F"/>
    <w:rsid w:val="002454E1"/>
    <w:rsid w:val="00246741"/>
    <w:rsid w:val="002508F6"/>
    <w:rsid w:val="00251B7B"/>
    <w:rsid w:val="0025283B"/>
    <w:rsid w:val="0025293A"/>
    <w:rsid w:val="00253850"/>
    <w:rsid w:val="0025497D"/>
    <w:rsid w:val="00257380"/>
    <w:rsid w:val="002602E6"/>
    <w:rsid w:val="0026031F"/>
    <w:rsid w:val="00260508"/>
    <w:rsid w:val="00260CA3"/>
    <w:rsid w:val="002627FF"/>
    <w:rsid w:val="0026281A"/>
    <w:rsid w:val="00262D3E"/>
    <w:rsid w:val="00263307"/>
    <w:rsid w:val="002635CE"/>
    <w:rsid w:val="00264FC2"/>
    <w:rsid w:val="002652FF"/>
    <w:rsid w:val="00265998"/>
    <w:rsid w:val="00265D19"/>
    <w:rsid w:val="0026671E"/>
    <w:rsid w:val="00270D53"/>
    <w:rsid w:val="00271449"/>
    <w:rsid w:val="00272777"/>
    <w:rsid w:val="00272E12"/>
    <w:rsid w:val="002732E1"/>
    <w:rsid w:val="0027472D"/>
    <w:rsid w:val="00274D34"/>
    <w:rsid w:val="0027512E"/>
    <w:rsid w:val="00275153"/>
    <w:rsid w:val="00275414"/>
    <w:rsid w:val="00276D17"/>
    <w:rsid w:val="002770F2"/>
    <w:rsid w:val="002777C5"/>
    <w:rsid w:val="0027797E"/>
    <w:rsid w:val="00277B5A"/>
    <w:rsid w:val="00277BC1"/>
    <w:rsid w:val="00280256"/>
    <w:rsid w:val="00281E5A"/>
    <w:rsid w:val="0028214B"/>
    <w:rsid w:val="002823AC"/>
    <w:rsid w:val="002828E8"/>
    <w:rsid w:val="002831EC"/>
    <w:rsid w:val="002832EC"/>
    <w:rsid w:val="00283312"/>
    <w:rsid w:val="00284464"/>
    <w:rsid w:val="00285CA5"/>
    <w:rsid w:val="00286310"/>
    <w:rsid w:val="00286613"/>
    <w:rsid w:val="0028785E"/>
    <w:rsid w:val="00287E58"/>
    <w:rsid w:val="002905DC"/>
    <w:rsid w:val="002919AA"/>
    <w:rsid w:val="00292811"/>
    <w:rsid w:val="00292EE3"/>
    <w:rsid w:val="0029336A"/>
    <w:rsid w:val="00294837"/>
    <w:rsid w:val="00297622"/>
    <w:rsid w:val="002A0CF8"/>
    <w:rsid w:val="002A1630"/>
    <w:rsid w:val="002A2D46"/>
    <w:rsid w:val="002A329F"/>
    <w:rsid w:val="002A4926"/>
    <w:rsid w:val="002A51BB"/>
    <w:rsid w:val="002A644A"/>
    <w:rsid w:val="002A72B3"/>
    <w:rsid w:val="002B0354"/>
    <w:rsid w:val="002B0AB7"/>
    <w:rsid w:val="002B1149"/>
    <w:rsid w:val="002B1F44"/>
    <w:rsid w:val="002B21CD"/>
    <w:rsid w:val="002B3F11"/>
    <w:rsid w:val="002B400F"/>
    <w:rsid w:val="002B4ED5"/>
    <w:rsid w:val="002B5287"/>
    <w:rsid w:val="002B5A58"/>
    <w:rsid w:val="002B749E"/>
    <w:rsid w:val="002C2C15"/>
    <w:rsid w:val="002C47B2"/>
    <w:rsid w:val="002C66BE"/>
    <w:rsid w:val="002C6944"/>
    <w:rsid w:val="002C6A4F"/>
    <w:rsid w:val="002C7DDF"/>
    <w:rsid w:val="002C7E8A"/>
    <w:rsid w:val="002D16A7"/>
    <w:rsid w:val="002D1E6C"/>
    <w:rsid w:val="002D30DF"/>
    <w:rsid w:val="002D552F"/>
    <w:rsid w:val="002D5E17"/>
    <w:rsid w:val="002D6928"/>
    <w:rsid w:val="002E07DD"/>
    <w:rsid w:val="002E0B55"/>
    <w:rsid w:val="002E2727"/>
    <w:rsid w:val="002E2A9B"/>
    <w:rsid w:val="002E5D88"/>
    <w:rsid w:val="002E6A98"/>
    <w:rsid w:val="002E79B4"/>
    <w:rsid w:val="002F0067"/>
    <w:rsid w:val="002F0C7C"/>
    <w:rsid w:val="002F37C0"/>
    <w:rsid w:val="002F3F77"/>
    <w:rsid w:val="002F443F"/>
    <w:rsid w:val="002F5E1F"/>
    <w:rsid w:val="002F7183"/>
    <w:rsid w:val="003008E7"/>
    <w:rsid w:val="00301993"/>
    <w:rsid w:val="00303FC3"/>
    <w:rsid w:val="003058EB"/>
    <w:rsid w:val="00305AC4"/>
    <w:rsid w:val="00305BA5"/>
    <w:rsid w:val="00306464"/>
    <w:rsid w:val="00307CAB"/>
    <w:rsid w:val="00307FEE"/>
    <w:rsid w:val="003118CB"/>
    <w:rsid w:val="00312794"/>
    <w:rsid w:val="00314E1B"/>
    <w:rsid w:val="003153D2"/>
    <w:rsid w:val="003156A7"/>
    <w:rsid w:val="00316A30"/>
    <w:rsid w:val="00316C19"/>
    <w:rsid w:val="00320B4F"/>
    <w:rsid w:val="003244DB"/>
    <w:rsid w:val="0032487B"/>
    <w:rsid w:val="00325A78"/>
    <w:rsid w:val="00325FB2"/>
    <w:rsid w:val="00326C60"/>
    <w:rsid w:val="00326E02"/>
    <w:rsid w:val="003307E6"/>
    <w:rsid w:val="00332619"/>
    <w:rsid w:val="003357B7"/>
    <w:rsid w:val="003357F0"/>
    <w:rsid w:val="00340AE5"/>
    <w:rsid w:val="003414ED"/>
    <w:rsid w:val="00344D2E"/>
    <w:rsid w:val="00345008"/>
    <w:rsid w:val="003469A0"/>
    <w:rsid w:val="00347611"/>
    <w:rsid w:val="00347B31"/>
    <w:rsid w:val="00350238"/>
    <w:rsid w:val="0035026C"/>
    <w:rsid w:val="003520CE"/>
    <w:rsid w:val="00352EE6"/>
    <w:rsid w:val="00353666"/>
    <w:rsid w:val="00355DFE"/>
    <w:rsid w:val="0035683F"/>
    <w:rsid w:val="00356918"/>
    <w:rsid w:val="00360A6A"/>
    <w:rsid w:val="00361344"/>
    <w:rsid w:val="00361BD7"/>
    <w:rsid w:val="00362824"/>
    <w:rsid w:val="003628D3"/>
    <w:rsid w:val="003629FD"/>
    <w:rsid w:val="00363260"/>
    <w:rsid w:val="00363BFF"/>
    <w:rsid w:val="00365CCD"/>
    <w:rsid w:val="003727E2"/>
    <w:rsid w:val="003735B8"/>
    <w:rsid w:val="00373628"/>
    <w:rsid w:val="003740B9"/>
    <w:rsid w:val="00374624"/>
    <w:rsid w:val="00374F10"/>
    <w:rsid w:val="00376ED3"/>
    <w:rsid w:val="003803BD"/>
    <w:rsid w:val="00380D2C"/>
    <w:rsid w:val="00381F5C"/>
    <w:rsid w:val="003831D9"/>
    <w:rsid w:val="00383326"/>
    <w:rsid w:val="00383B0B"/>
    <w:rsid w:val="00384895"/>
    <w:rsid w:val="003855CE"/>
    <w:rsid w:val="00385BAB"/>
    <w:rsid w:val="00386C8B"/>
    <w:rsid w:val="00390D06"/>
    <w:rsid w:val="00391AB9"/>
    <w:rsid w:val="00392240"/>
    <w:rsid w:val="003926DC"/>
    <w:rsid w:val="00392A5A"/>
    <w:rsid w:val="00394083"/>
    <w:rsid w:val="00394572"/>
    <w:rsid w:val="00394640"/>
    <w:rsid w:val="0039561E"/>
    <w:rsid w:val="003960BC"/>
    <w:rsid w:val="0039625D"/>
    <w:rsid w:val="003A1715"/>
    <w:rsid w:val="003A193C"/>
    <w:rsid w:val="003A313A"/>
    <w:rsid w:val="003A46F0"/>
    <w:rsid w:val="003A4D03"/>
    <w:rsid w:val="003A607E"/>
    <w:rsid w:val="003A60DE"/>
    <w:rsid w:val="003B1C22"/>
    <w:rsid w:val="003B36C8"/>
    <w:rsid w:val="003B3BC2"/>
    <w:rsid w:val="003B4279"/>
    <w:rsid w:val="003B43BA"/>
    <w:rsid w:val="003B443B"/>
    <w:rsid w:val="003B6442"/>
    <w:rsid w:val="003B6693"/>
    <w:rsid w:val="003C076F"/>
    <w:rsid w:val="003C07C8"/>
    <w:rsid w:val="003C1861"/>
    <w:rsid w:val="003C2D4E"/>
    <w:rsid w:val="003C31E4"/>
    <w:rsid w:val="003C36E9"/>
    <w:rsid w:val="003C5B05"/>
    <w:rsid w:val="003C60AB"/>
    <w:rsid w:val="003C7690"/>
    <w:rsid w:val="003D0207"/>
    <w:rsid w:val="003D0E20"/>
    <w:rsid w:val="003D1FAB"/>
    <w:rsid w:val="003D231B"/>
    <w:rsid w:val="003D2FF8"/>
    <w:rsid w:val="003D3E87"/>
    <w:rsid w:val="003D421C"/>
    <w:rsid w:val="003D44ED"/>
    <w:rsid w:val="003D491C"/>
    <w:rsid w:val="003D4C2D"/>
    <w:rsid w:val="003D4C7E"/>
    <w:rsid w:val="003D5292"/>
    <w:rsid w:val="003D70C6"/>
    <w:rsid w:val="003D7D37"/>
    <w:rsid w:val="003E270B"/>
    <w:rsid w:val="003E33B5"/>
    <w:rsid w:val="003E43B9"/>
    <w:rsid w:val="003E45AC"/>
    <w:rsid w:val="003E4EA6"/>
    <w:rsid w:val="003E4F96"/>
    <w:rsid w:val="003E5339"/>
    <w:rsid w:val="003E5AE2"/>
    <w:rsid w:val="003E5D91"/>
    <w:rsid w:val="003E6A3D"/>
    <w:rsid w:val="003E6F57"/>
    <w:rsid w:val="003F2151"/>
    <w:rsid w:val="003F231E"/>
    <w:rsid w:val="003F2CE4"/>
    <w:rsid w:val="003F3230"/>
    <w:rsid w:val="003F3A6C"/>
    <w:rsid w:val="003F5453"/>
    <w:rsid w:val="003F5772"/>
    <w:rsid w:val="003F607D"/>
    <w:rsid w:val="003F6081"/>
    <w:rsid w:val="003F64D9"/>
    <w:rsid w:val="00403038"/>
    <w:rsid w:val="0040393D"/>
    <w:rsid w:val="004060ED"/>
    <w:rsid w:val="00406C18"/>
    <w:rsid w:val="00407DCF"/>
    <w:rsid w:val="004114E7"/>
    <w:rsid w:val="00412483"/>
    <w:rsid w:val="004130B7"/>
    <w:rsid w:val="00413E1E"/>
    <w:rsid w:val="00414422"/>
    <w:rsid w:val="0041503A"/>
    <w:rsid w:val="00415142"/>
    <w:rsid w:val="00416ACF"/>
    <w:rsid w:val="004177EC"/>
    <w:rsid w:val="004208C6"/>
    <w:rsid w:val="00420BCF"/>
    <w:rsid w:val="004221F2"/>
    <w:rsid w:val="004229A4"/>
    <w:rsid w:val="00422E92"/>
    <w:rsid w:val="004248EE"/>
    <w:rsid w:val="00425448"/>
    <w:rsid w:val="00425C48"/>
    <w:rsid w:val="00426FFB"/>
    <w:rsid w:val="00430342"/>
    <w:rsid w:val="00430CB2"/>
    <w:rsid w:val="00431E25"/>
    <w:rsid w:val="0043330C"/>
    <w:rsid w:val="004334DD"/>
    <w:rsid w:val="00433BD9"/>
    <w:rsid w:val="004343EA"/>
    <w:rsid w:val="00434906"/>
    <w:rsid w:val="00435F5B"/>
    <w:rsid w:val="00436781"/>
    <w:rsid w:val="0044007D"/>
    <w:rsid w:val="00442636"/>
    <w:rsid w:val="00443200"/>
    <w:rsid w:val="00443254"/>
    <w:rsid w:val="004438EC"/>
    <w:rsid w:val="004449A3"/>
    <w:rsid w:val="00447CBF"/>
    <w:rsid w:val="00450C06"/>
    <w:rsid w:val="0045268C"/>
    <w:rsid w:val="00453402"/>
    <w:rsid w:val="0045381C"/>
    <w:rsid w:val="00453EAA"/>
    <w:rsid w:val="00455D85"/>
    <w:rsid w:val="00455F8B"/>
    <w:rsid w:val="00457A2A"/>
    <w:rsid w:val="00461115"/>
    <w:rsid w:val="0046166A"/>
    <w:rsid w:val="00462987"/>
    <w:rsid w:val="004631A3"/>
    <w:rsid w:val="00464D3E"/>
    <w:rsid w:val="00465B6E"/>
    <w:rsid w:val="004661ED"/>
    <w:rsid w:val="00466346"/>
    <w:rsid w:val="004673FE"/>
    <w:rsid w:val="004675F9"/>
    <w:rsid w:val="004677EB"/>
    <w:rsid w:val="004706A9"/>
    <w:rsid w:val="00470B07"/>
    <w:rsid w:val="004718BA"/>
    <w:rsid w:val="00472062"/>
    <w:rsid w:val="00473349"/>
    <w:rsid w:val="00473EA3"/>
    <w:rsid w:val="004741A3"/>
    <w:rsid w:val="004750D3"/>
    <w:rsid w:val="00477E7B"/>
    <w:rsid w:val="00477F2B"/>
    <w:rsid w:val="00480B90"/>
    <w:rsid w:val="00480D90"/>
    <w:rsid w:val="00481DC0"/>
    <w:rsid w:val="00482535"/>
    <w:rsid w:val="004836BD"/>
    <w:rsid w:val="00484ADE"/>
    <w:rsid w:val="004865CD"/>
    <w:rsid w:val="0048684A"/>
    <w:rsid w:val="00486AB5"/>
    <w:rsid w:val="0049043F"/>
    <w:rsid w:val="004912A3"/>
    <w:rsid w:val="004920EF"/>
    <w:rsid w:val="00492A66"/>
    <w:rsid w:val="00496385"/>
    <w:rsid w:val="00497217"/>
    <w:rsid w:val="004A223D"/>
    <w:rsid w:val="004A2FA4"/>
    <w:rsid w:val="004A3EA4"/>
    <w:rsid w:val="004A4801"/>
    <w:rsid w:val="004B1093"/>
    <w:rsid w:val="004B12BF"/>
    <w:rsid w:val="004B1C48"/>
    <w:rsid w:val="004B30F8"/>
    <w:rsid w:val="004B394C"/>
    <w:rsid w:val="004B681D"/>
    <w:rsid w:val="004B6F46"/>
    <w:rsid w:val="004B7406"/>
    <w:rsid w:val="004B7480"/>
    <w:rsid w:val="004B7AD4"/>
    <w:rsid w:val="004C0038"/>
    <w:rsid w:val="004C088F"/>
    <w:rsid w:val="004C1585"/>
    <w:rsid w:val="004C221C"/>
    <w:rsid w:val="004C222D"/>
    <w:rsid w:val="004C3A88"/>
    <w:rsid w:val="004C3D76"/>
    <w:rsid w:val="004C3FAE"/>
    <w:rsid w:val="004C766C"/>
    <w:rsid w:val="004D0494"/>
    <w:rsid w:val="004D0EA1"/>
    <w:rsid w:val="004D3448"/>
    <w:rsid w:val="004D429C"/>
    <w:rsid w:val="004D4EA4"/>
    <w:rsid w:val="004D5606"/>
    <w:rsid w:val="004D5A72"/>
    <w:rsid w:val="004D70D4"/>
    <w:rsid w:val="004D7F8A"/>
    <w:rsid w:val="004E0D50"/>
    <w:rsid w:val="004E37DB"/>
    <w:rsid w:val="004E3D49"/>
    <w:rsid w:val="004E3F9A"/>
    <w:rsid w:val="004E4C8B"/>
    <w:rsid w:val="004E70CC"/>
    <w:rsid w:val="004F00CB"/>
    <w:rsid w:val="004F1049"/>
    <w:rsid w:val="004F2329"/>
    <w:rsid w:val="004F6011"/>
    <w:rsid w:val="004F6931"/>
    <w:rsid w:val="00500BF9"/>
    <w:rsid w:val="00500DE7"/>
    <w:rsid w:val="00501089"/>
    <w:rsid w:val="005020A2"/>
    <w:rsid w:val="0050724A"/>
    <w:rsid w:val="005106C9"/>
    <w:rsid w:val="00511714"/>
    <w:rsid w:val="00511E6B"/>
    <w:rsid w:val="0051213C"/>
    <w:rsid w:val="00512A32"/>
    <w:rsid w:val="00513B26"/>
    <w:rsid w:val="00513E7E"/>
    <w:rsid w:val="00515D79"/>
    <w:rsid w:val="00515F95"/>
    <w:rsid w:val="0051649D"/>
    <w:rsid w:val="00517BE1"/>
    <w:rsid w:val="00517D60"/>
    <w:rsid w:val="00517FB2"/>
    <w:rsid w:val="005200B3"/>
    <w:rsid w:val="0052078E"/>
    <w:rsid w:val="00521337"/>
    <w:rsid w:val="00521CE7"/>
    <w:rsid w:val="005273AF"/>
    <w:rsid w:val="005279BA"/>
    <w:rsid w:val="00527F50"/>
    <w:rsid w:val="00530666"/>
    <w:rsid w:val="00532909"/>
    <w:rsid w:val="00532B32"/>
    <w:rsid w:val="0053503F"/>
    <w:rsid w:val="00535328"/>
    <w:rsid w:val="00535349"/>
    <w:rsid w:val="00535FB9"/>
    <w:rsid w:val="00536A8D"/>
    <w:rsid w:val="005445E2"/>
    <w:rsid w:val="00544897"/>
    <w:rsid w:val="00544CEA"/>
    <w:rsid w:val="00544F1A"/>
    <w:rsid w:val="005452E8"/>
    <w:rsid w:val="0054666B"/>
    <w:rsid w:val="005470CE"/>
    <w:rsid w:val="00547FE4"/>
    <w:rsid w:val="005505A7"/>
    <w:rsid w:val="00550B94"/>
    <w:rsid w:val="00551F37"/>
    <w:rsid w:val="00556E6B"/>
    <w:rsid w:val="005577F9"/>
    <w:rsid w:val="005629A3"/>
    <w:rsid w:val="00562BDB"/>
    <w:rsid w:val="00563702"/>
    <w:rsid w:val="005638A2"/>
    <w:rsid w:val="005643F7"/>
    <w:rsid w:val="005649F3"/>
    <w:rsid w:val="005651AC"/>
    <w:rsid w:val="00565ECE"/>
    <w:rsid w:val="00566738"/>
    <w:rsid w:val="00566857"/>
    <w:rsid w:val="00567133"/>
    <w:rsid w:val="00567939"/>
    <w:rsid w:val="00567C9B"/>
    <w:rsid w:val="005725D1"/>
    <w:rsid w:val="00573695"/>
    <w:rsid w:val="005742C6"/>
    <w:rsid w:val="0057693C"/>
    <w:rsid w:val="00580043"/>
    <w:rsid w:val="00580A38"/>
    <w:rsid w:val="00582E77"/>
    <w:rsid w:val="0058317C"/>
    <w:rsid w:val="00583E40"/>
    <w:rsid w:val="00584387"/>
    <w:rsid w:val="005856C6"/>
    <w:rsid w:val="005873C0"/>
    <w:rsid w:val="0059012F"/>
    <w:rsid w:val="0059016A"/>
    <w:rsid w:val="00590788"/>
    <w:rsid w:val="00590A35"/>
    <w:rsid w:val="00591169"/>
    <w:rsid w:val="00591B9E"/>
    <w:rsid w:val="005929E0"/>
    <w:rsid w:val="00593AF7"/>
    <w:rsid w:val="00593D85"/>
    <w:rsid w:val="00593DF2"/>
    <w:rsid w:val="00595598"/>
    <w:rsid w:val="00595F35"/>
    <w:rsid w:val="005978E9"/>
    <w:rsid w:val="00597B0B"/>
    <w:rsid w:val="005A0D5E"/>
    <w:rsid w:val="005A1796"/>
    <w:rsid w:val="005A1F6F"/>
    <w:rsid w:val="005A1FB6"/>
    <w:rsid w:val="005A2259"/>
    <w:rsid w:val="005A29A8"/>
    <w:rsid w:val="005A4AE3"/>
    <w:rsid w:val="005A4BDC"/>
    <w:rsid w:val="005A4CC9"/>
    <w:rsid w:val="005B096A"/>
    <w:rsid w:val="005B2181"/>
    <w:rsid w:val="005B2C16"/>
    <w:rsid w:val="005B33E6"/>
    <w:rsid w:val="005C0BD4"/>
    <w:rsid w:val="005C3776"/>
    <w:rsid w:val="005C3CCE"/>
    <w:rsid w:val="005C432D"/>
    <w:rsid w:val="005C44CE"/>
    <w:rsid w:val="005C4D08"/>
    <w:rsid w:val="005C4E0B"/>
    <w:rsid w:val="005C6D16"/>
    <w:rsid w:val="005D0A73"/>
    <w:rsid w:val="005D0A91"/>
    <w:rsid w:val="005D1089"/>
    <w:rsid w:val="005D12D8"/>
    <w:rsid w:val="005D2B4A"/>
    <w:rsid w:val="005D3ABC"/>
    <w:rsid w:val="005D416C"/>
    <w:rsid w:val="005D4920"/>
    <w:rsid w:val="005D49FB"/>
    <w:rsid w:val="005D7422"/>
    <w:rsid w:val="005D7D35"/>
    <w:rsid w:val="005E0E30"/>
    <w:rsid w:val="005E1B30"/>
    <w:rsid w:val="005E2E56"/>
    <w:rsid w:val="005E349A"/>
    <w:rsid w:val="005E4BE9"/>
    <w:rsid w:val="005E4E32"/>
    <w:rsid w:val="005E5032"/>
    <w:rsid w:val="005E5328"/>
    <w:rsid w:val="005E6575"/>
    <w:rsid w:val="005E7207"/>
    <w:rsid w:val="005E7945"/>
    <w:rsid w:val="005F05A0"/>
    <w:rsid w:val="005F182F"/>
    <w:rsid w:val="005F2FE3"/>
    <w:rsid w:val="005F4343"/>
    <w:rsid w:val="005F5274"/>
    <w:rsid w:val="005F53A9"/>
    <w:rsid w:val="005F6384"/>
    <w:rsid w:val="005F6974"/>
    <w:rsid w:val="005F7527"/>
    <w:rsid w:val="0060040A"/>
    <w:rsid w:val="006004FA"/>
    <w:rsid w:val="00602A52"/>
    <w:rsid w:val="00603849"/>
    <w:rsid w:val="00603861"/>
    <w:rsid w:val="00603A3F"/>
    <w:rsid w:val="00603DAB"/>
    <w:rsid w:val="00605101"/>
    <w:rsid w:val="00605325"/>
    <w:rsid w:val="006063F5"/>
    <w:rsid w:val="00607F52"/>
    <w:rsid w:val="00610E0B"/>
    <w:rsid w:val="0061144D"/>
    <w:rsid w:val="006134DF"/>
    <w:rsid w:val="00614811"/>
    <w:rsid w:val="00614912"/>
    <w:rsid w:val="00614E51"/>
    <w:rsid w:val="0061543B"/>
    <w:rsid w:val="0061544B"/>
    <w:rsid w:val="00616685"/>
    <w:rsid w:val="0061720F"/>
    <w:rsid w:val="00617670"/>
    <w:rsid w:val="006202B8"/>
    <w:rsid w:val="006208CB"/>
    <w:rsid w:val="006216BC"/>
    <w:rsid w:val="00624BDF"/>
    <w:rsid w:val="0062615B"/>
    <w:rsid w:val="00627353"/>
    <w:rsid w:val="006300DD"/>
    <w:rsid w:val="00631A90"/>
    <w:rsid w:val="00631C0C"/>
    <w:rsid w:val="006326CC"/>
    <w:rsid w:val="00632A9A"/>
    <w:rsid w:val="0063510D"/>
    <w:rsid w:val="00635BDC"/>
    <w:rsid w:val="00635DCB"/>
    <w:rsid w:val="0063723E"/>
    <w:rsid w:val="00641B08"/>
    <w:rsid w:val="00641BBF"/>
    <w:rsid w:val="0064309A"/>
    <w:rsid w:val="00643C1F"/>
    <w:rsid w:val="00643DA4"/>
    <w:rsid w:val="00646F0D"/>
    <w:rsid w:val="00653F45"/>
    <w:rsid w:val="006555A4"/>
    <w:rsid w:val="00656E5B"/>
    <w:rsid w:val="00660CF6"/>
    <w:rsid w:val="00662178"/>
    <w:rsid w:val="00662DB6"/>
    <w:rsid w:val="006633D6"/>
    <w:rsid w:val="00665D12"/>
    <w:rsid w:val="0066619B"/>
    <w:rsid w:val="006662DC"/>
    <w:rsid w:val="00670618"/>
    <w:rsid w:val="0067520E"/>
    <w:rsid w:val="00676193"/>
    <w:rsid w:val="00677ED4"/>
    <w:rsid w:val="006800DB"/>
    <w:rsid w:val="00680C8E"/>
    <w:rsid w:val="00680F56"/>
    <w:rsid w:val="00682446"/>
    <w:rsid w:val="0068289C"/>
    <w:rsid w:val="00684A85"/>
    <w:rsid w:val="0068515A"/>
    <w:rsid w:val="00685891"/>
    <w:rsid w:val="006858AB"/>
    <w:rsid w:val="00687DE0"/>
    <w:rsid w:val="00691E37"/>
    <w:rsid w:val="006928CD"/>
    <w:rsid w:val="00696023"/>
    <w:rsid w:val="006A0E6D"/>
    <w:rsid w:val="006A3685"/>
    <w:rsid w:val="006A3F76"/>
    <w:rsid w:val="006A5089"/>
    <w:rsid w:val="006A6298"/>
    <w:rsid w:val="006B1C8B"/>
    <w:rsid w:val="006B249F"/>
    <w:rsid w:val="006B2866"/>
    <w:rsid w:val="006B3628"/>
    <w:rsid w:val="006B4A0E"/>
    <w:rsid w:val="006B5724"/>
    <w:rsid w:val="006C2424"/>
    <w:rsid w:val="006C2F32"/>
    <w:rsid w:val="006C3868"/>
    <w:rsid w:val="006C6407"/>
    <w:rsid w:val="006C6ED3"/>
    <w:rsid w:val="006D0F24"/>
    <w:rsid w:val="006D1141"/>
    <w:rsid w:val="006D11F2"/>
    <w:rsid w:val="006D22E0"/>
    <w:rsid w:val="006D25AE"/>
    <w:rsid w:val="006D33AD"/>
    <w:rsid w:val="006D4FBB"/>
    <w:rsid w:val="006D5177"/>
    <w:rsid w:val="006D6BA7"/>
    <w:rsid w:val="006D7648"/>
    <w:rsid w:val="006E00FB"/>
    <w:rsid w:val="006E083A"/>
    <w:rsid w:val="006E250E"/>
    <w:rsid w:val="006E2735"/>
    <w:rsid w:val="006E327C"/>
    <w:rsid w:val="006E35CB"/>
    <w:rsid w:val="006E3B1B"/>
    <w:rsid w:val="006E4483"/>
    <w:rsid w:val="006E5820"/>
    <w:rsid w:val="006E758A"/>
    <w:rsid w:val="006E7BA9"/>
    <w:rsid w:val="006F05DF"/>
    <w:rsid w:val="006F110B"/>
    <w:rsid w:val="006F19D8"/>
    <w:rsid w:val="006F4022"/>
    <w:rsid w:val="006F4906"/>
    <w:rsid w:val="006F5DA7"/>
    <w:rsid w:val="006F60BA"/>
    <w:rsid w:val="007008E8"/>
    <w:rsid w:val="0070433B"/>
    <w:rsid w:val="00704964"/>
    <w:rsid w:val="007049CD"/>
    <w:rsid w:val="007052E9"/>
    <w:rsid w:val="00706061"/>
    <w:rsid w:val="00706086"/>
    <w:rsid w:val="00706366"/>
    <w:rsid w:val="0070666C"/>
    <w:rsid w:val="0071225D"/>
    <w:rsid w:val="007132D6"/>
    <w:rsid w:val="007141B0"/>
    <w:rsid w:val="00715A75"/>
    <w:rsid w:val="00716C59"/>
    <w:rsid w:val="00717CE1"/>
    <w:rsid w:val="00720044"/>
    <w:rsid w:val="00720E18"/>
    <w:rsid w:val="007213FF"/>
    <w:rsid w:val="0072157D"/>
    <w:rsid w:val="00722C9D"/>
    <w:rsid w:val="00723018"/>
    <w:rsid w:val="007237C9"/>
    <w:rsid w:val="007239BE"/>
    <w:rsid w:val="0072473C"/>
    <w:rsid w:val="00724E84"/>
    <w:rsid w:val="00725180"/>
    <w:rsid w:val="007253DF"/>
    <w:rsid w:val="00725A33"/>
    <w:rsid w:val="00730EE1"/>
    <w:rsid w:val="0073163A"/>
    <w:rsid w:val="0073207B"/>
    <w:rsid w:val="007349D4"/>
    <w:rsid w:val="00734CEF"/>
    <w:rsid w:val="00734D99"/>
    <w:rsid w:val="007356DA"/>
    <w:rsid w:val="007364EE"/>
    <w:rsid w:val="007366D9"/>
    <w:rsid w:val="00737590"/>
    <w:rsid w:val="00737B11"/>
    <w:rsid w:val="00737D59"/>
    <w:rsid w:val="007420D5"/>
    <w:rsid w:val="00742D9C"/>
    <w:rsid w:val="007435BC"/>
    <w:rsid w:val="00746FA9"/>
    <w:rsid w:val="007470FE"/>
    <w:rsid w:val="007504D6"/>
    <w:rsid w:val="00750F9C"/>
    <w:rsid w:val="007510C0"/>
    <w:rsid w:val="007511A0"/>
    <w:rsid w:val="007511BB"/>
    <w:rsid w:val="007512A7"/>
    <w:rsid w:val="00751DC4"/>
    <w:rsid w:val="0075247D"/>
    <w:rsid w:val="00753712"/>
    <w:rsid w:val="00753D9E"/>
    <w:rsid w:val="007545C4"/>
    <w:rsid w:val="00755B30"/>
    <w:rsid w:val="00756B24"/>
    <w:rsid w:val="0075712F"/>
    <w:rsid w:val="0075767E"/>
    <w:rsid w:val="00760D3B"/>
    <w:rsid w:val="00760EA6"/>
    <w:rsid w:val="00761260"/>
    <w:rsid w:val="007619E4"/>
    <w:rsid w:val="007621FF"/>
    <w:rsid w:val="00762B04"/>
    <w:rsid w:val="007637FF"/>
    <w:rsid w:val="00764F3C"/>
    <w:rsid w:val="00765D45"/>
    <w:rsid w:val="007677FC"/>
    <w:rsid w:val="00771592"/>
    <w:rsid w:val="007723C2"/>
    <w:rsid w:val="007724A6"/>
    <w:rsid w:val="0077517D"/>
    <w:rsid w:val="0077561E"/>
    <w:rsid w:val="0078068C"/>
    <w:rsid w:val="007827D1"/>
    <w:rsid w:val="00782CB8"/>
    <w:rsid w:val="00782E40"/>
    <w:rsid w:val="0078329E"/>
    <w:rsid w:val="00784B86"/>
    <w:rsid w:val="00784FD3"/>
    <w:rsid w:val="0078662F"/>
    <w:rsid w:val="00787315"/>
    <w:rsid w:val="0078794E"/>
    <w:rsid w:val="0079039F"/>
    <w:rsid w:val="00790426"/>
    <w:rsid w:val="00790812"/>
    <w:rsid w:val="00791A4B"/>
    <w:rsid w:val="00791B69"/>
    <w:rsid w:val="00793922"/>
    <w:rsid w:val="0079394E"/>
    <w:rsid w:val="00794986"/>
    <w:rsid w:val="00794C8A"/>
    <w:rsid w:val="007953FE"/>
    <w:rsid w:val="00797E7E"/>
    <w:rsid w:val="007A0DF3"/>
    <w:rsid w:val="007A141B"/>
    <w:rsid w:val="007A195A"/>
    <w:rsid w:val="007A341C"/>
    <w:rsid w:val="007A3C30"/>
    <w:rsid w:val="007A6C36"/>
    <w:rsid w:val="007A78D9"/>
    <w:rsid w:val="007A7947"/>
    <w:rsid w:val="007A7B81"/>
    <w:rsid w:val="007A7CB0"/>
    <w:rsid w:val="007B0453"/>
    <w:rsid w:val="007B0597"/>
    <w:rsid w:val="007B1141"/>
    <w:rsid w:val="007B4EF9"/>
    <w:rsid w:val="007B6FCB"/>
    <w:rsid w:val="007C1654"/>
    <w:rsid w:val="007C52D8"/>
    <w:rsid w:val="007C5507"/>
    <w:rsid w:val="007C62B7"/>
    <w:rsid w:val="007C6924"/>
    <w:rsid w:val="007C70E8"/>
    <w:rsid w:val="007D0719"/>
    <w:rsid w:val="007D3350"/>
    <w:rsid w:val="007D36B1"/>
    <w:rsid w:val="007D3936"/>
    <w:rsid w:val="007D3A01"/>
    <w:rsid w:val="007D4989"/>
    <w:rsid w:val="007D54B3"/>
    <w:rsid w:val="007D5B71"/>
    <w:rsid w:val="007D62F0"/>
    <w:rsid w:val="007D6864"/>
    <w:rsid w:val="007D688C"/>
    <w:rsid w:val="007D6F20"/>
    <w:rsid w:val="007E0115"/>
    <w:rsid w:val="007E080E"/>
    <w:rsid w:val="007E1B84"/>
    <w:rsid w:val="007E2238"/>
    <w:rsid w:val="007E23D3"/>
    <w:rsid w:val="007E366E"/>
    <w:rsid w:val="007E4489"/>
    <w:rsid w:val="007E6B3D"/>
    <w:rsid w:val="007F0222"/>
    <w:rsid w:val="007F185A"/>
    <w:rsid w:val="007F3F99"/>
    <w:rsid w:val="007F484D"/>
    <w:rsid w:val="007F51C4"/>
    <w:rsid w:val="007F532B"/>
    <w:rsid w:val="007F6F0A"/>
    <w:rsid w:val="007F7053"/>
    <w:rsid w:val="00800D46"/>
    <w:rsid w:val="00801917"/>
    <w:rsid w:val="00804157"/>
    <w:rsid w:val="00804EB8"/>
    <w:rsid w:val="008052FE"/>
    <w:rsid w:val="00805532"/>
    <w:rsid w:val="008067D1"/>
    <w:rsid w:val="00807F54"/>
    <w:rsid w:val="0081156B"/>
    <w:rsid w:val="00811DAB"/>
    <w:rsid w:val="008137B3"/>
    <w:rsid w:val="0081383E"/>
    <w:rsid w:val="00814798"/>
    <w:rsid w:val="00814F2E"/>
    <w:rsid w:val="00817343"/>
    <w:rsid w:val="008177AB"/>
    <w:rsid w:val="008205CD"/>
    <w:rsid w:val="00820CD3"/>
    <w:rsid w:val="00821BD9"/>
    <w:rsid w:val="0082225D"/>
    <w:rsid w:val="00823584"/>
    <w:rsid w:val="00824365"/>
    <w:rsid w:val="00824868"/>
    <w:rsid w:val="00825725"/>
    <w:rsid w:val="00825E5F"/>
    <w:rsid w:val="0082679D"/>
    <w:rsid w:val="00826D64"/>
    <w:rsid w:val="0083068E"/>
    <w:rsid w:val="00830ECE"/>
    <w:rsid w:val="00830F30"/>
    <w:rsid w:val="00831034"/>
    <w:rsid w:val="00833BBF"/>
    <w:rsid w:val="00836020"/>
    <w:rsid w:val="008360B9"/>
    <w:rsid w:val="008369F1"/>
    <w:rsid w:val="00841917"/>
    <w:rsid w:val="008424A7"/>
    <w:rsid w:val="008438AA"/>
    <w:rsid w:val="008458BA"/>
    <w:rsid w:val="008458C9"/>
    <w:rsid w:val="00846932"/>
    <w:rsid w:val="00850193"/>
    <w:rsid w:val="0085031D"/>
    <w:rsid w:val="00850437"/>
    <w:rsid w:val="00850B32"/>
    <w:rsid w:val="00851526"/>
    <w:rsid w:val="008547D0"/>
    <w:rsid w:val="00854AAC"/>
    <w:rsid w:val="008551CA"/>
    <w:rsid w:val="00855AAD"/>
    <w:rsid w:val="00856168"/>
    <w:rsid w:val="00856F32"/>
    <w:rsid w:val="00865991"/>
    <w:rsid w:val="00866652"/>
    <w:rsid w:val="00866692"/>
    <w:rsid w:val="0087096E"/>
    <w:rsid w:val="00872EC1"/>
    <w:rsid w:val="0087596F"/>
    <w:rsid w:val="00876778"/>
    <w:rsid w:val="0088016B"/>
    <w:rsid w:val="00880BB5"/>
    <w:rsid w:val="00880F94"/>
    <w:rsid w:val="008816E7"/>
    <w:rsid w:val="00881BCD"/>
    <w:rsid w:val="00884191"/>
    <w:rsid w:val="00884433"/>
    <w:rsid w:val="0088484F"/>
    <w:rsid w:val="00886184"/>
    <w:rsid w:val="0088668E"/>
    <w:rsid w:val="00891509"/>
    <w:rsid w:val="00891F0B"/>
    <w:rsid w:val="00895136"/>
    <w:rsid w:val="00896089"/>
    <w:rsid w:val="00897364"/>
    <w:rsid w:val="00897BA3"/>
    <w:rsid w:val="00897E63"/>
    <w:rsid w:val="008A06B4"/>
    <w:rsid w:val="008A1EE8"/>
    <w:rsid w:val="008A32E5"/>
    <w:rsid w:val="008A3B01"/>
    <w:rsid w:val="008A3D71"/>
    <w:rsid w:val="008A5508"/>
    <w:rsid w:val="008A5A88"/>
    <w:rsid w:val="008A75C6"/>
    <w:rsid w:val="008B00F7"/>
    <w:rsid w:val="008B10D5"/>
    <w:rsid w:val="008B3C09"/>
    <w:rsid w:val="008B479D"/>
    <w:rsid w:val="008B4D19"/>
    <w:rsid w:val="008B55BE"/>
    <w:rsid w:val="008B5737"/>
    <w:rsid w:val="008B6984"/>
    <w:rsid w:val="008C0151"/>
    <w:rsid w:val="008C04ED"/>
    <w:rsid w:val="008C2337"/>
    <w:rsid w:val="008C6210"/>
    <w:rsid w:val="008C7424"/>
    <w:rsid w:val="008C7727"/>
    <w:rsid w:val="008D0CBF"/>
    <w:rsid w:val="008D1750"/>
    <w:rsid w:val="008D2C2E"/>
    <w:rsid w:val="008D3C03"/>
    <w:rsid w:val="008D3CBA"/>
    <w:rsid w:val="008D4A5C"/>
    <w:rsid w:val="008D7AB2"/>
    <w:rsid w:val="008E3695"/>
    <w:rsid w:val="008E3E0C"/>
    <w:rsid w:val="008E59C1"/>
    <w:rsid w:val="008F1A68"/>
    <w:rsid w:val="008F20DE"/>
    <w:rsid w:val="008F2BBF"/>
    <w:rsid w:val="008F3B12"/>
    <w:rsid w:val="008F41D5"/>
    <w:rsid w:val="008F481D"/>
    <w:rsid w:val="008F5D3A"/>
    <w:rsid w:val="008F5D55"/>
    <w:rsid w:val="008F5E55"/>
    <w:rsid w:val="008F6269"/>
    <w:rsid w:val="008F7920"/>
    <w:rsid w:val="008F7C3D"/>
    <w:rsid w:val="00900B5E"/>
    <w:rsid w:val="009010BE"/>
    <w:rsid w:val="00901391"/>
    <w:rsid w:val="00901731"/>
    <w:rsid w:val="009018D7"/>
    <w:rsid w:val="009019FB"/>
    <w:rsid w:val="00901C5B"/>
    <w:rsid w:val="00905ABB"/>
    <w:rsid w:val="009116F6"/>
    <w:rsid w:val="009116F8"/>
    <w:rsid w:val="009119AF"/>
    <w:rsid w:val="00913A71"/>
    <w:rsid w:val="00914176"/>
    <w:rsid w:val="009142BB"/>
    <w:rsid w:val="009169C7"/>
    <w:rsid w:val="00920D9B"/>
    <w:rsid w:val="00920FC3"/>
    <w:rsid w:val="009227C5"/>
    <w:rsid w:val="009238DC"/>
    <w:rsid w:val="00923968"/>
    <w:rsid w:val="00923A90"/>
    <w:rsid w:val="009241BF"/>
    <w:rsid w:val="009250E5"/>
    <w:rsid w:val="00925828"/>
    <w:rsid w:val="0092719C"/>
    <w:rsid w:val="009304D6"/>
    <w:rsid w:val="00934E64"/>
    <w:rsid w:val="00935675"/>
    <w:rsid w:val="00936293"/>
    <w:rsid w:val="00936B38"/>
    <w:rsid w:val="0094021C"/>
    <w:rsid w:val="00941563"/>
    <w:rsid w:val="00943CE5"/>
    <w:rsid w:val="00946758"/>
    <w:rsid w:val="00947678"/>
    <w:rsid w:val="00947C54"/>
    <w:rsid w:val="00950298"/>
    <w:rsid w:val="0095060C"/>
    <w:rsid w:val="009509B8"/>
    <w:rsid w:val="00951417"/>
    <w:rsid w:val="00952234"/>
    <w:rsid w:val="0095380E"/>
    <w:rsid w:val="00953ED2"/>
    <w:rsid w:val="00953F1D"/>
    <w:rsid w:val="00953FC3"/>
    <w:rsid w:val="0096145A"/>
    <w:rsid w:val="00962107"/>
    <w:rsid w:val="00962BFD"/>
    <w:rsid w:val="0096310A"/>
    <w:rsid w:val="00964FE7"/>
    <w:rsid w:val="00965101"/>
    <w:rsid w:val="00965130"/>
    <w:rsid w:val="00965275"/>
    <w:rsid w:val="00967AA2"/>
    <w:rsid w:val="00971CC9"/>
    <w:rsid w:val="0097351F"/>
    <w:rsid w:val="0097489D"/>
    <w:rsid w:val="00974FEA"/>
    <w:rsid w:val="009762E7"/>
    <w:rsid w:val="00977485"/>
    <w:rsid w:val="00977C78"/>
    <w:rsid w:val="00977FFB"/>
    <w:rsid w:val="009816CC"/>
    <w:rsid w:val="00981F09"/>
    <w:rsid w:val="009829D5"/>
    <w:rsid w:val="00982FC1"/>
    <w:rsid w:val="009832C5"/>
    <w:rsid w:val="009835C3"/>
    <w:rsid w:val="00987B84"/>
    <w:rsid w:val="00990501"/>
    <w:rsid w:val="00991427"/>
    <w:rsid w:val="00993047"/>
    <w:rsid w:val="00993221"/>
    <w:rsid w:val="00993E92"/>
    <w:rsid w:val="00994FFA"/>
    <w:rsid w:val="009952F8"/>
    <w:rsid w:val="00996790"/>
    <w:rsid w:val="00996C98"/>
    <w:rsid w:val="009A037E"/>
    <w:rsid w:val="009A17D2"/>
    <w:rsid w:val="009A195B"/>
    <w:rsid w:val="009A1968"/>
    <w:rsid w:val="009A1CC5"/>
    <w:rsid w:val="009A25D1"/>
    <w:rsid w:val="009A2671"/>
    <w:rsid w:val="009A344E"/>
    <w:rsid w:val="009A50B7"/>
    <w:rsid w:val="009A5666"/>
    <w:rsid w:val="009A5DAD"/>
    <w:rsid w:val="009A7840"/>
    <w:rsid w:val="009A7F3B"/>
    <w:rsid w:val="009B1E8C"/>
    <w:rsid w:val="009B2132"/>
    <w:rsid w:val="009B3517"/>
    <w:rsid w:val="009B4451"/>
    <w:rsid w:val="009B46A8"/>
    <w:rsid w:val="009B47D7"/>
    <w:rsid w:val="009B53E9"/>
    <w:rsid w:val="009B6532"/>
    <w:rsid w:val="009B6680"/>
    <w:rsid w:val="009C0417"/>
    <w:rsid w:val="009C07AF"/>
    <w:rsid w:val="009C1450"/>
    <w:rsid w:val="009C1B0D"/>
    <w:rsid w:val="009C3D50"/>
    <w:rsid w:val="009C45B2"/>
    <w:rsid w:val="009C495F"/>
    <w:rsid w:val="009C5191"/>
    <w:rsid w:val="009C6921"/>
    <w:rsid w:val="009C6AA6"/>
    <w:rsid w:val="009D1A7C"/>
    <w:rsid w:val="009D1E4A"/>
    <w:rsid w:val="009D26F8"/>
    <w:rsid w:val="009D2E6D"/>
    <w:rsid w:val="009D366E"/>
    <w:rsid w:val="009D38FD"/>
    <w:rsid w:val="009D4531"/>
    <w:rsid w:val="009D4ACD"/>
    <w:rsid w:val="009D55F5"/>
    <w:rsid w:val="009D63DD"/>
    <w:rsid w:val="009D7120"/>
    <w:rsid w:val="009D79DD"/>
    <w:rsid w:val="009E1A99"/>
    <w:rsid w:val="009E6532"/>
    <w:rsid w:val="009E71CB"/>
    <w:rsid w:val="009F016C"/>
    <w:rsid w:val="009F08F1"/>
    <w:rsid w:val="009F0CFC"/>
    <w:rsid w:val="009F0E5B"/>
    <w:rsid w:val="009F1D58"/>
    <w:rsid w:val="009F41A0"/>
    <w:rsid w:val="009F4650"/>
    <w:rsid w:val="009F4C95"/>
    <w:rsid w:val="009F542D"/>
    <w:rsid w:val="009F67B6"/>
    <w:rsid w:val="00A007C5"/>
    <w:rsid w:val="00A01D56"/>
    <w:rsid w:val="00A0227F"/>
    <w:rsid w:val="00A0245B"/>
    <w:rsid w:val="00A03A09"/>
    <w:rsid w:val="00A0630B"/>
    <w:rsid w:val="00A10E78"/>
    <w:rsid w:val="00A112D4"/>
    <w:rsid w:val="00A11A4A"/>
    <w:rsid w:val="00A12289"/>
    <w:rsid w:val="00A12647"/>
    <w:rsid w:val="00A1393F"/>
    <w:rsid w:val="00A13EB2"/>
    <w:rsid w:val="00A14034"/>
    <w:rsid w:val="00A1516F"/>
    <w:rsid w:val="00A157B6"/>
    <w:rsid w:val="00A171FC"/>
    <w:rsid w:val="00A17CF6"/>
    <w:rsid w:val="00A20D9A"/>
    <w:rsid w:val="00A20F1E"/>
    <w:rsid w:val="00A230FE"/>
    <w:rsid w:val="00A23D66"/>
    <w:rsid w:val="00A26E7A"/>
    <w:rsid w:val="00A27FEA"/>
    <w:rsid w:val="00A306A4"/>
    <w:rsid w:val="00A30F81"/>
    <w:rsid w:val="00A3149D"/>
    <w:rsid w:val="00A3349F"/>
    <w:rsid w:val="00A33FE0"/>
    <w:rsid w:val="00A35080"/>
    <w:rsid w:val="00A358D6"/>
    <w:rsid w:val="00A35E81"/>
    <w:rsid w:val="00A35EB4"/>
    <w:rsid w:val="00A36006"/>
    <w:rsid w:val="00A37A9F"/>
    <w:rsid w:val="00A37C32"/>
    <w:rsid w:val="00A37FC4"/>
    <w:rsid w:val="00A400AA"/>
    <w:rsid w:val="00A405BC"/>
    <w:rsid w:val="00A40657"/>
    <w:rsid w:val="00A41720"/>
    <w:rsid w:val="00A4215A"/>
    <w:rsid w:val="00A45D65"/>
    <w:rsid w:val="00A45E41"/>
    <w:rsid w:val="00A46227"/>
    <w:rsid w:val="00A47CF6"/>
    <w:rsid w:val="00A50983"/>
    <w:rsid w:val="00A537E3"/>
    <w:rsid w:val="00A55564"/>
    <w:rsid w:val="00A57666"/>
    <w:rsid w:val="00A6019F"/>
    <w:rsid w:val="00A60230"/>
    <w:rsid w:val="00A60AED"/>
    <w:rsid w:val="00A613F3"/>
    <w:rsid w:val="00A61A9B"/>
    <w:rsid w:val="00A62C0D"/>
    <w:rsid w:val="00A63F65"/>
    <w:rsid w:val="00A661F4"/>
    <w:rsid w:val="00A662D0"/>
    <w:rsid w:val="00A716E4"/>
    <w:rsid w:val="00A71B6B"/>
    <w:rsid w:val="00A7264B"/>
    <w:rsid w:val="00A73918"/>
    <w:rsid w:val="00A73E7E"/>
    <w:rsid w:val="00A7452F"/>
    <w:rsid w:val="00A751BF"/>
    <w:rsid w:val="00A778CB"/>
    <w:rsid w:val="00A81378"/>
    <w:rsid w:val="00A819A8"/>
    <w:rsid w:val="00A81CAF"/>
    <w:rsid w:val="00A834D1"/>
    <w:rsid w:val="00A83AD4"/>
    <w:rsid w:val="00A83B0E"/>
    <w:rsid w:val="00A85005"/>
    <w:rsid w:val="00A85546"/>
    <w:rsid w:val="00A864A0"/>
    <w:rsid w:val="00A8715D"/>
    <w:rsid w:val="00A876B5"/>
    <w:rsid w:val="00A90125"/>
    <w:rsid w:val="00A91CEB"/>
    <w:rsid w:val="00A9207F"/>
    <w:rsid w:val="00A94A4D"/>
    <w:rsid w:val="00A94CE5"/>
    <w:rsid w:val="00A94FE0"/>
    <w:rsid w:val="00A9518C"/>
    <w:rsid w:val="00A95DDB"/>
    <w:rsid w:val="00A96281"/>
    <w:rsid w:val="00A96748"/>
    <w:rsid w:val="00A96A14"/>
    <w:rsid w:val="00AA10D6"/>
    <w:rsid w:val="00AA1A56"/>
    <w:rsid w:val="00AA210C"/>
    <w:rsid w:val="00AA3557"/>
    <w:rsid w:val="00AA4D30"/>
    <w:rsid w:val="00AA5560"/>
    <w:rsid w:val="00AA5BBD"/>
    <w:rsid w:val="00AA5F04"/>
    <w:rsid w:val="00AA6DD2"/>
    <w:rsid w:val="00AA7FAA"/>
    <w:rsid w:val="00AB0A33"/>
    <w:rsid w:val="00AB0B6F"/>
    <w:rsid w:val="00AB1668"/>
    <w:rsid w:val="00AB1911"/>
    <w:rsid w:val="00AB4209"/>
    <w:rsid w:val="00AB42D3"/>
    <w:rsid w:val="00AB5B4D"/>
    <w:rsid w:val="00AC3217"/>
    <w:rsid w:val="00AC399E"/>
    <w:rsid w:val="00AC3F45"/>
    <w:rsid w:val="00AC45FF"/>
    <w:rsid w:val="00AC474D"/>
    <w:rsid w:val="00AC528C"/>
    <w:rsid w:val="00AC6096"/>
    <w:rsid w:val="00AC6167"/>
    <w:rsid w:val="00AC6A44"/>
    <w:rsid w:val="00AC732D"/>
    <w:rsid w:val="00AD1219"/>
    <w:rsid w:val="00AD183F"/>
    <w:rsid w:val="00AD464B"/>
    <w:rsid w:val="00AD53D4"/>
    <w:rsid w:val="00AD69F8"/>
    <w:rsid w:val="00AD73AC"/>
    <w:rsid w:val="00AE123A"/>
    <w:rsid w:val="00AE3826"/>
    <w:rsid w:val="00AE3AA7"/>
    <w:rsid w:val="00AE404A"/>
    <w:rsid w:val="00AE732B"/>
    <w:rsid w:val="00AE77AB"/>
    <w:rsid w:val="00AF05FF"/>
    <w:rsid w:val="00AF2683"/>
    <w:rsid w:val="00AF2F58"/>
    <w:rsid w:val="00AF3225"/>
    <w:rsid w:val="00AF3319"/>
    <w:rsid w:val="00AF341D"/>
    <w:rsid w:val="00AF507C"/>
    <w:rsid w:val="00AF5D5E"/>
    <w:rsid w:val="00AF775E"/>
    <w:rsid w:val="00B00017"/>
    <w:rsid w:val="00B0122A"/>
    <w:rsid w:val="00B0194D"/>
    <w:rsid w:val="00B01A99"/>
    <w:rsid w:val="00B0271B"/>
    <w:rsid w:val="00B03361"/>
    <w:rsid w:val="00B044D9"/>
    <w:rsid w:val="00B056CB"/>
    <w:rsid w:val="00B06B75"/>
    <w:rsid w:val="00B07B08"/>
    <w:rsid w:val="00B10997"/>
    <w:rsid w:val="00B11FE4"/>
    <w:rsid w:val="00B12E90"/>
    <w:rsid w:val="00B13A3C"/>
    <w:rsid w:val="00B13A90"/>
    <w:rsid w:val="00B13E3E"/>
    <w:rsid w:val="00B140B2"/>
    <w:rsid w:val="00B15EA5"/>
    <w:rsid w:val="00B16937"/>
    <w:rsid w:val="00B16FDC"/>
    <w:rsid w:val="00B174CC"/>
    <w:rsid w:val="00B175F3"/>
    <w:rsid w:val="00B208AA"/>
    <w:rsid w:val="00B20A91"/>
    <w:rsid w:val="00B21196"/>
    <w:rsid w:val="00B21892"/>
    <w:rsid w:val="00B21B78"/>
    <w:rsid w:val="00B23407"/>
    <w:rsid w:val="00B234C6"/>
    <w:rsid w:val="00B23C62"/>
    <w:rsid w:val="00B24DC0"/>
    <w:rsid w:val="00B25C8D"/>
    <w:rsid w:val="00B303C2"/>
    <w:rsid w:val="00B30E69"/>
    <w:rsid w:val="00B31DA7"/>
    <w:rsid w:val="00B31FD9"/>
    <w:rsid w:val="00B32402"/>
    <w:rsid w:val="00B3240D"/>
    <w:rsid w:val="00B356B8"/>
    <w:rsid w:val="00B35E94"/>
    <w:rsid w:val="00B36117"/>
    <w:rsid w:val="00B37CD0"/>
    <w:rsid w:val="00B41C26"/>
    <w:rsid w:val="00B41CD4"/>
    <w:rsid w:val="00B437F1"/>
    <w:rsid w:val="00B50D40"/>
    <w:rsid w:val="00B51B4F"/>
    <w:rsid w:val="00B539C2"/>
    <w:rsid w:val="00B547E4"/>
    <w:rsid w:val="00B55B19"/>
    <w:rsid w:val="00B56A32"/>
    <w:rsid w:val="00B56E4C"/>
    <w:rsid w:val="00B603B9"/>
    <w:rsid w:val="00B606B3"/>
    <w:rsid w:val="00B61116"/>
    <w:rsid w:val="00B6148C"/>
    <w:rsid w:val="00B61587"/>
    <w:rsid w:val="00B61724"/>
    <w:rsid w:val="00B625B4"/>
    <w:rsid w:val="00B631F5"/>
    <w:rsid w:val="00B63912"/>
    <w:rsid w:val="00B6461D"/>
    <w:rsid w:val="00B64E11"/>
    <w:rsid w:val="00B64E68"/>
    <w:rsid w:val="00B653FE"/>
    <w:rsid w:val="00B65FF0"/>
    <w:rsid w:val="00B667A2"/>
    <w:rsid w:val="00B66C2C"/>
    <w:rsid w:val="00B674AF"/>
    <w:rsid w:val="00B678D9"/>
    <w:rsid w:val="00B700E6"/>
    <w:rsid w:val="00B7011C"/>
    <w:rsid w:val="00B70E8B"/>
    <w:rsid w:val="00B728F1"/>
    <w:rsid w:val="00B7321B"/>
    <w:rsid w:val="00B74600"/>
    <w:rsid w:val="00B74B05"/>
    <w:rsid w:val="00B7659B"/>
    <w:rsid w:val="00B82F9D"/>
    <w:rsid w:val="00B833A4"/>
    <w:rsid w:val="00B84AAE"/>
    <w:rsid w:val="00B85699"/>
    <w:rsid w:val="00B857BA"/>
    <w:rsid w:val="00B86E5E"/>
    <w:rsid w:val="00B86F98"/>
    <w:rsid w:val="00B91001"/>
    <w:rsid w:val="00B93325"/>
    <w:rsid w:val="00B9397B"/>
    <w:rsid w:val="00B94270"/>
    <w:rsid w:val="00B9491F"/>
    <w:rsid w:val="00B956E4"/>
    <w:rsid w:val="00B96399"/>
    <w:rsid w:val="00B969AD"/>
    <w:rsid w:val="00B97DE0"/>
    <w:rsid w:val="00B97EB3"/>
    <w:rsid w:val="00BA0137"/>
    <w:rsid w:val="00BA0D19"/>
    <w:rsid w:val="00BA2767"/>
    <w:rsid w:val="00BA28AD"/>
    <w:rsid w:val="00BA2BBC"/>
    <w:rsid w:val="00BA56A9"/>
    <w:rsid w:val="00BA5BF7"/>
    <w:rsid w:val="00BA667C"/>
    <w:rsid w:val="00BB33F8"/>
    <w:rsid w:val="00BB35CB"/>
    <w:rsid w:val="00BB3D31"/>
    <w:rsid w:val="00BB4F16"/>
    <w:rsid w:val="00BB5B4C"/>
    <w:rsid w:val="00BB628C"/>
    <w:rsid w:val="00BB65C8"/>
    <w:rsid w:val="00BB7536"/>
    <w:rsid w:val="00BB7D1A"/>
    <w:rsid w:val="00BC0177"/>
    <w:rsid w:val="00BC192A"/>
    <w:rsid w:val="00BC33FA"/>
    <w:rsid w:val="00BC36F5"/>
    <w:rsid w:val="00BD1226"/>
    <w:rsid w:val="00BD24A8"/>
    <w:rsid w:val="00BD3108"/>
    <w:rsid w:val="00BD458D"/>
    <w:rsid w:val="00BD48AD"/>
    <w:rsid w:val="00BD6F52"/>
    <w:rsid w:val="00BE159A"/>
    <w:rsid w:val="00BE1D90"/>
    <w:rsid w:val="00BE2C47"/>
    <w:rsid w:val="00BE3C9A"/>
    <w:rsid w:val="00BE3F1F"/>
    <w:rsid w:val="00BE4BF6"/>
    <w:rsid w:val="00BE5CAB"/>
    <w:rsid w:val="00BE7E0B"/>
    <w:rsid w:val="00BF258A"/>
    <w:rsid w:val="00BF356F"/>
    <w:rsid w:val="00BF43D6"/>
    <w:rsid w:val="00BF49F2"/>
    <w:rsid w:val="00BF521C"/>
    <w:rsid w:val="00BF60DD"/>
    <w:rsid w:val="00BF6847"/>
    <w:rsid w:val="00BF734D"/>
    <w:rsid w:val="00BF79AB"/>
    <w:rsid w:val="00C005C7"/>
    <w:rsid w:val="00C006C9"/>
    <w:rsid w:val="00C0152D"/>
    <w:rsid w:val="00C03CB7"/>
    <w:rsid w:val="00C040FF"/>
    <w:rsid w:val="00C04518"/>
    <w:rsid w:val="00C058E7"/>
    <w:rsid w:val="00C061FF"/>
    <w:rsid w:val="00C11338"/>
    <w:rsid w:val="00C11940"/>
    <w:rsid w:val="00C13F00"/>
    <w:rsid w:val="00C13F08"/>
    <w:rsid w:val="00C1436C"/>
    <w:rsid w:val="00C1524A"/>
    <w:rsid w:val="00C15351"/>
    <w:rsid w:val="00C1575B"/>
    <w:rsid w:val="00C16C97"/>
    <w:rsid w:val="00C1780A"/>
    <w:rsid w:val="00C20501"/>
    <w:rsid w:val="00C20E4F"/>
    <w:rsid w:val="00C21471"/>
    <w:rsid w:val="00C238DE"/>
    <w:rsid w:val="00C23B64"/>
    <w:rsid w:val="00C24482"/>
    <w:rsid w:val="00C247D9"/>
    <w:rsid w:val="00C2501A"/>
    <w:rsid w:val="00C26AF2"/>
    <w:rsid w:val="00C26BE9"/>
    <w:rsid w:val="00C26D32"/>
    <w:rsid w:val="00C2726E"/>
    <w:rsid w:val="00C30F7D"/>
    <w:rsid w:val="00C3164B"/>
    <w:rsid w:val="00C31682"/>
    <w:rsid w:val="00C330CE"/>
    <w:rsid w:val="00C334C2"/>
    <w:rsid w:val="00C33C9D"/>
    <w:rsid w:val="00C351C3"/>
    <w:rsid w:val="00C378B5"/>
    <w:rsid w:val="00C40C24"/>
    <w:rsid w:val="00C41B05"/>
    <w:rsid w:val="00C4282B"/>
    <w:rsid w:val="00C436B2"/>
    <w:rsid w:val="00C43A45"/>
    <w:rsid w:val="00C444F9"/>
    <w:rsid w:val="00C45E66"/>
    <w:rsid w:val="00C460FC"/>
    <w:rsid w:val="00C4749C"/>
    <w:rsid w:val="00C50C8F"/>
    <w:rsid w:val="00C51BD6"/>
    <w:rsid w:val="00C51C78"/>
    <w:rsid w:val="00C528D0"/>
    <w:rsid w:val="00C53274"/>
    <w:rsid w:val="00C5349A"/>
    <w:rsid w:val="00C53C7A"/>
    <w:rsid w:val="00C546EA"/>
    <w:rsid w:val="00C5554F"/>
    <w:rsid w:val="00C5720B"/>
    <w:rsid w:val="00C57295"/>
    <w:rsid w:val="00C6022F"/>
    <w:rsid w:val="00C60AA1"/>
    <w:rsid w:val="00C60CFD"/>
    <w:rsid w:val="00C615E3"/>
    <w:rsid w:val="00C61676"/>
    <w:rsid w:val="00C650AB"/>
    <w:rsid w:val="00C65CAE"/>
    <w:rsid w:val="00C74239"/>
    <w:rsid w:val="00C75A5B"/>
    <w:rsid w:val="00C7604E"/>
    <w:rsid w:val="00C804A4"/>
    <w:rsid w:val="00C81B7B"/>
    <w:rsid w:val="00C82438"/>
    <w:rsid w:val="00C83418"/>
    <w:rsid w:val="00C8491D"/>
    <w:rsid w:val="00C85695"/>
    <w:rsid w:val="00C85D0F"/>
    <w:rsid w:val="00C8695C"/>
    <w:rsid w:val="00C9061F"/>
    <w:rsid w:val="00C90A07"/>
    <w:rsid w:val="00C90A30"/>
    <w:rsid w:val="00C90D09"/>
    <w:rsid w:val="00C92B09"/>
    <w:rsid w:val="00C936FC"/>
    <w:rsid w:val="00C93BAA"/>
    <w:rsid w:val="00C94098"/>
    <w:rsid w:val="00C96735"/>
    <w:rsid w:val="00C97033"/>
    <w:rsid w:val="00CA05F4"/>
    <w:rsid w:val="00CA0725"/>
    <w:rsid w:val="00CA16CA"/>
    <w:rsid w:val="00CA1C12"/>
    <w:rsid w:val="00CA39B0"/>
    <w:rsid w:val="00CA53A8"/>
    <w:rsid w:val="00CA5A0A"/>
    <w:rsid w:val="00CA5DD1"/>
    <w:rsid w:val="00CA6890"/>
    <w:rsid w:val="00CA6C11"/>
    <w:rsid w:val="00CA7C85"/>
    <w:rsid w:val="00CB1942"/>
    <w:rsid w:val="00CB1B86"/>
    <w:rsid w:val="00CB3631"/>
    <w:rsid w:val="00CB4303"/>
    <w:rsid w:val="00CB5C70"/>
    <w:rsid w:val="00CB631A"/>
    <w:rsid w:val="00CB685D"/>
    <w:rsid w:val="00CB7446"/>
    <w:rsid w:val="00CC0778"/>
    <w:rsid w:val="00CC1923"/>
    <w:rsid w:val="00CC2604"/>
    <w:rsid w:val="00CC3998"/>
    <w:rsid w:val="00CC4630"/>
    <w:rsid w:val="00CC4A01"/>
    <w:rsid w:val="00CC601F"/>
    <w:rsid w:val="00CC6350"/>
    <w:rsid w:val="00CC76C5"/>
    <w:rsid w:val="00CD06A3"/>
    <w:rsid w:val="00CD29CA"/>
    <w:rsid w:val="00CD3BA6"/>
    <w:rsid w:val="00CD3E15"/>
    <w:rsid w:val="00CD43C9"/>
    <w:rsid w:val="00CD4936"/>
    <w:rsid w:val="00CD4EF7"/>
    <w:rsid w:val="00CD5D67"/>
    <w:rsid w:val="00CD5FD6"/>
    <w:rsid w:val="00CD6FE8"/>
    <w:rsid w:val="00CD7B34"/>
    <w:rsid w:val="00CD7B40"/>
    <w:rsid w:val="00CE13D3"/>
    <w:rsid w:val="00CE18B3"/>
    <w:rsid w:val="00CE1A08"/>
    <w:rsid w:val="00CE3217"/>
    <w:rsid w:val="00CE5198"/>
    <w:rsid w:val="00CE6213"/>
    <w:rsid w:val="00CE66C1"/>
    <w:rsid w:val="00CE7423"/>
    <w:rsid w:val="00CE792E"/>
    <w:rsid w:val="00CF0E22"/>
    <w:rsid w:val="00CF391B"/>
    <w:rsid w:val="00CF3991"/>
    <w:rsid w:val="00CF4EAE"/>
    <w:rsid w:val="00CF5034"/>
    <w:rsid w:val="00CF5232"/>
    <w:rsid w:val="00CF5B68"/>
    <w:rsid w:val="00CF65A4"/>
    <w:rsid w:val="00CF6A31"/>
    <w:rsid w:val="00CF739F"/>
    <w:rsid w:val="00CF779F"/>
    <w:rsid w:val="00CF7B00"/>
    <w:rsid w:val="00D0112D"/>
    <w:rsid w:val="00D01803"/>
    <w:rsid w:val="00D02630"/>
    <w:rsid w:val="00D028D2"/>
    <w:rsid w:val="00D02F05"/>
    <w:rsid w:val="00D0353C"/>
    <w:rsid w:val="00D04462"/>
    <w:rsid w:val="00D04CB4"/>
    <w:rsid w:val="00D0601E"/>
    <w:rsid w:val="00D0657C"/>
    <w:rsid w:val="00D06ED6"/>
    <w:rsid w:val="00D070A9"/>
    <w:rsid w:val="00D07CA7"/>
    <w:rsid w:val="00D1225F"/>
    <w:rsid w:val="00D13A10"/>
    <w:rsid w:val="00D13CD8"/>
    <w:rsid w:val="00D14FC5"/>
    <w:rsid w:val="00D1651C"/>
    <w:rsid w:val="00D16ACE"/>
    <w:rsid w:val="00D16CD9"/>
    <w:rsid w:val="00D176B5"/>
    <w:rsid w:val="00D204F0"/>
    <w:rsid w:val="00D2303D"/>
    <w:rsid w:val="00D243BF"/>
    <w:rsid w:val="00D24A7C"/>
    <w:rsid w:val="00D25859"/>
    <w:rsid w:val="00D27307"/>
    <w:rsid w:val="00D30271"/>
    <w:rsid w:val="00D30413"/>
    <w:rsid w:val="00D30C21"/>
    <w:rsid w:val="00D33E8F"/>
    <w:rsid w:val="00D3433E"/>
    <w:rsid w:val="00D36D6E"/>
    <w:rsid w:val="00D408A9"/>
    <w:rsid w:val="00D411C6"/>
    <w:rsid w:val="00D41A1C"/>
    <w:rsid w:val="00D42BF2"/>
    <w:rsid w:val="00D42C85"/>
    <w:rsid w:val="00D43A2C"/>
    <w:rsid w:val="00D44420"/>
    <w:rsid w:val="00D448B9"/>
    <w:rsid w:val="00D4558D"/>
    <w:rsid w:val="00D45AAD"/>
    <w:rsid w:val="00D45DC8"/>
    <w:rsid w:val="00D461D4"/>
    <w:rsid w:val="00D46858"/>
    <w:rsid w:val="00D46FB6"/>
    <w:rsid w:val="00D47C24"/>
    <w:rsid w:val="00D50784"/>
    <w:rsid w:val="00D50912"/>
    <w:rsid w:val="00D50BCB"/>
    <w:rsid w:val="00D51961"/>
    <w:rsid w:val="00D52578"/>
    <w:rsid w:val="00D54B8B"/>
    <w:rsid w:val="00D552AD"/>
    <w:rsid w:val="00D57F77"/>
    <w:rsid w:val="00D604BA"/>
    <w:rsid w:val="00D608EE"/>
    <w:rsid w:val="00D60BA6"/>
    <w:rsid w:val="00D6129B"/>
    <w:rsid w:val="00D616C3"/>
    <w:rsid w:val="00D6292C"/>
    <w:rsid w:val="00D63456"/>
    <w:rsid w:val="00D63573"/>
    <w:rsid w:val="00D65FD3"/>
    <w:rsid w:val="00D6655A"/>
    <w:rsid w:val="00D670A6"/>
    <w:rsid w:val="00D67503"/>
    <w:rsid w:val="00D6779D"/>
    <w:rsid w:val="00D70964"/>
    <w:rsid w:val="00D71236"/>
    <w:rsid w:val="00D71BA5"/>
    <w:rsid w:val="00D72657"/>
    <w:rsid w:val="00D73AC3"/>
    <w:rsid w:val="00D758BD"/>
    <w:rsid w:val="00D778CE"/>
    <w:rsid w:val="00D81C8D"/>
    <w:rsid w:val="00D8348B"/>
    <w:rsid w:val="00D86DC2"/>
    <w:rsid w:val="00D87685"/>
    <w:rsid w:val="00D87F4B"/>
    <w:rsid w:val="00D91E21"/>
    <w:rsid w:val="00D91E78"/>
    <w:rsid w:val="00D92FDC"/>
    <w:rsid w:val="00D9328F"/>
    <w:rsid w:val="00D93B12"/>
    <w:rsid w:val="00D94568"/>
    <w:rsid w:val="00D96678"/>
    <w:rsid w:val="00D97E72"/>
    <w:rsid w:val="00DA1A5A"/>
    <w:rsid w:val="00DA1BE9"/>
    <w:rsid w:val="00DA1F76"/>
    <w:rsid w:val="00DA2747"/>
    <w:rsid w:val="00DA646B"/>
    <w:rsid w:val="00DA740C"/>
    <w:rsid w:val="00DA7F41"/>
    <w:rsid w:val="00DB2248"/>
    <w:rsid w:val="00DB35AE"/>
    <w:rsid w:val="00DB40B9"/>
    <w:rsid w:val="00DB4251"/>
    <w:rsid w:val="00DB4452"/>
    <w:rsid w:val="00DB5EF7"/>
    <w:rsid w:val="00DB65B6"/>
    <w:rsid w:val="00DB7B49"/>
    <w:rsid w:val="00DC0396"/>
    <w:rsid w:val="00DC0D52"/>
    <w:rsid w:val="00DC1B53"/>
    <w:rsid w:val="00DC2C3B"/>
    <w:rsid w:val="00DC4BA8"/>
    <w:rsid w:val="00DC5CBF"/>
    <w:rsid w:val="00DC7DBE"/>
    <w:rsid w:val="00DD044E"/>
    <w:rsid w:val="00DD42D7"/>
    <w:rsid w:val="00DD59A2"/>
    <w:rsid w:val="00DD5B46"/>
    <w:rsid w:val="00DD5F22"/>
    <w:rsid w:val="00DD6BAE"/>
    <w:rsid w:val="00DD6E3F"/>
    <w:rsid w:val="00DD7155"/>
    <w:rsid w:val="00DE0E36"/>
    <w:rsid w:val="00DE1567"/>
    <w:rsid w:val="00DE2956"/>
    <w:rsid w:val="00DE3924"/>
    <w:rsid w:val="00DE4D03"/>
    <w:rsid w:val="00DE6424"/>
    <w:rsid w:val="00DE6C72"/>
    <w:rsid w:val="00DE7723"/>
    <w:rsid w:val="00DE7DA8"/>
    <w:rsid w:val="00DF1069"/>
    <w:rsid w:val="00DF15B2"/>
    <w:rsid w:val="00DF15D6"/>
    <w:rsid w:val="00DF2112"/>
    <w:rsid w:val="00DF2EC9"/>
    <w:rsid w:val="00DF2F0F"/>
    <w:rsid w:val="00DF300A"/>
    <w:rsid w:val="00DF6970"/>
    <w:rsid w:val="00DF79D8"/>
    <w:rsid w:val="00DF7FED"/>
    <w:rsid w:val="00E0153E"/>
    <w:rsid w:val="00E02D0E"/>
    <w:rsid w:val="00E033F4"/>
    <w:rsid w:val="00E03D86"/>
    <w:rsid w:val="00E04E97"/>
    <w:rsid w:val="00E0662F"/>
    <w:rsid w:val="00E06FA4"/>
    <w:rsid w:val="00E077D4"/>
    <w:rsid w:val="00E106B5"/>
    <w:rsid w:val="00E10FA4"/>
    <w:rsid w:val="00E10FAA"/>
    <w:rsid w:val="00E1111A"/>
    <w:rsid w:val="00E128DA"/>
    <w:rsid w:val="00E13809"/>
    <w:rsid w:val="00E13DAE"/>
    <w:rsid w:val="00E14BAB"/>
    <w:rsid w:val="00E14DD1"/>
    <w:rsid w:val="00E163E3"/>
    <w:rsid w:val="00E1756B"/>
    <w:rsid w:val="00E17CEF"/>
    <w:rsid w:val="00E21454"/>
    <w:rsid w:val="00E21A2C"/>
    <w:rsid w:val="00E22B64"/>
    <w:rsid w:val="00E238F9"/>
    <w:rsid w:val="00E24354"/>
    <w:rsid w:val="00E25C20"/>
    <w:rsid w:val="00E26EC3"/>
    <w:rsid w:val="00E2713A"/>
    <w:rsid w:val="00E30358"/>
    <w:rsid w:val="00E30668"/>
    <w:rsid w:val="00E321C4"/>
    <w:rsid w:val="00E32879"/>
    <w:rsid w:val="00E32CAB"/>
    <w:rsid w:val="00E335C4"/>
    <w:rsid w:val="00E34CAE"/>
    <w:rsid w:val="00E34EE9"/>
    <w:rsid w:val="00E34FF3"/>
    <w:rsid w:val="00E35F87"/>
    <w:rsid w:val="00E40D3D"/>
    <w:rsid w:val="00E4117D"/>
    <w:rsid w:val="00E41A9B"/>
    <w:rsid w:val="00E42F83"/>
    <w:rsid w:val="00E469B0"/>
    <w:rsid w:val="00E47B7A"/>
    <w:rsid w:val="00E509BB"/>
    <w:rsid w:val="00E527C2"/>
    <w:rsid w:val="00E537D6"/>
    <w:rsid w:val="00E53A75"/>
    <w:rsid w:val="00E53D83"/>
    <w:rsid w:val="00E549DA"/>
    <w:rsid w:val="00E55788"/>
    <w:rsid w:val="00E55DC9"/>
    <w:rsid w:val="00E60C9E"/>
    <w:rsid w:val="00E613E1"/>
    <w:rsid w:val="00E6350F"/>
    <w:rsid w:val="00E63B62"/>
    <w:rsid w:val="00E64324"/>
    <w:rsid w:val="00E658E5"/>
    <w:rsid w:val="00E663BF"/>
    <w:rsid w:val="00E66BD7"/>
    <w:rsid w:val="00E700F0"/>
    <w:rsid w:val="00E707AE"/>
    <w:rsid w:val="00E709C4"/>
    <w:rsid w:val="00E70B7F"/>
    <w:rsid w:val="00E71274"/>
    <w:rsid w:val="00E728B6"/>
    <w:rsid w:val="00E744F9"/>
    <w:rsid w:val="00E7472B"/>
    <w:rsid w:val="00E76238"/>
    <w:rsid w:val="00E76348"/>
    <w:rsid w:val="00E80119"/>
    <w:rsid w:val="00E8162F"/>
    <w:rsid w:val="00E84D51"/>
    <w:rsid w:val="00E85856"/>
    <w:rsid w:val="00E909D0"/>
    <w:rsid w:val="00E90FE0"/>
    <w:rsid w:val="00E9531F"/>
    <w:rsid w:val="00E9608A"/>
    <w:rsid w:val="00E96180"/>
    <w:rsid w:val="00EA0102"/>
    <w:rsid w:val="00EA10CD"/>
    <w:rsid w:val="00EA1379"/>
    <w:rsid w:val="00EA2C9B"/>
    <w:rsid w:val="00EA3E21"/>
    <w:rsid w:val="00EA5E47"/>
    <w:rsid w:val="00EA6590"/>
    <w:rsid w:val="00EB150B"/>
    <w:rsid w:val="00EB15DD"/>
    <w:rsid w:val="00EB2272"/>
    <w:rsid w:val="00EB27AD"/>
    <w:rsid w:val="00EB2807"/>
    <w:rsid w:val="00EB3C59"/>
    <w:rsid w:val="00EB50FE"/>
    <w:rsid w:val="00EB5A15"/>
    <w:rsid w:val="00EB6B94"/>
    <w:rsid w:val="00EB770C"/>
    <w:rsid w:val="00EB7B00"/>
    <w:rsid w:val="00EC03A0"/>
    <w:rsid w:val="00EC12B5"/>
    <w:rsid w:val="00EC560E"/>
    <w:rsid w:val="00EC675F"/>
    <w:rsid w:val="00ED17FC"/>
    <w:rsid w:val="00ED21D0"/>
    <w:rsid w:val="00ED221F"/>
    <w:rsid w:val="00ED2A8C"/>
    <w:rsid w:val="00ED497B"/>
    <w:rsid w:val="00ED5F2B"/>
    <w:rsid w:val="00ED6C98"/>
    <w:rsid w:val="00ED7339"/>
    <w:rsid w:val="00ED7CFD"/>
    <w:rsid w:val="00ED7D2A"/>
    <w:rsid w:val="00EE00C5"/>
    <w:rsid w:val="00EE1ABB"/>
    <w:rsid w:val="00EE2C45"/>
    <w:rsid w:val="00EE3D59"/>
    <w:rsid w:val="00EE40BE"/>
    <w:rsid w:val="00EE48C1"/>
    <w:rsid w:val="00EE5F8C"/>
    <w:rsid w:val="00EE7ACE"/>
    <w:rsid w:val="00EF088F"/>
    <w:rsid w:val="00EF16EA"/>
    <w:rsid w:val="00EF1C4D"/>
    <w:rsid w:val="00EF37EC"/>
    <w:rsid w:val="00EF46C2"/>
    <w:rsid w:val="00EF4EAA"/>
    <w:rsid w:val="00EF74A2"/>
    <w:rsid w:val="00EF750A"/>
    <w:rsid w:val="00EF781C"/>
    <w:rsid w:val="00EF793A"/>
    <w:rsid w:val="00F00595"/>
    <w:rsid w:val="00F00B5F"/>
    <w:rsid w:val="00F02A1B"/>
    <w:rsid w:val="00F043AD"/>
    <w:rsid w:val="00F04BE4"/>
    <w:rsid w:val="00F05A8F"/>
    <w:rsid w:val="00F05B27"/>
    <w:rsid w:val="00F05CF4"/>
    <w:rsid w:val="00F061EC"/>
    <w:rsid w:val="00F06DD7"/>
    <w:rsid w:val="00F079D0"/>
    <w:rsid w:val="00F10057"/>
    <w:rsid w:val="00F1142F"/>
    <w:rsid w:val="00F1159D"/>
    <w:rsid w:val="00F129AF"/>
    <w:rsid w:val="00F13A59"/>
    <w:rsid w:val="00F13F13"/>
    <w:rsid w:val="00F14023"/>
    <w:rsid w:val="00F140D0"/>
    <w:rsid w:val="00F15779"/>
    <w:rsid w:val="00F175E3"/>
    <w:rsid w:val="00F20502"/>
    <w:rsid w:val="00F20F56"/>
    <w:rsid w:val="00F21194"/>
    <w:rsid w:val="00F2176D"/>
    <w:rsid w:val="00F23CA6"/>
    <w:rsid w:val="00F24346"/>
    <w:rsid w:val="00F24C70"/>
    <w:rsid w:val="00F268E4"/>
    <w:rsid w:val="00F26A55"/>
    <w:rsid w:val="00F27074"/>
    <w:rsid w:val="00F2711D"/>
    <w:rsid w:val="00F31C84"/>
    <w:rsid w:val="00F32D59"/>
    <w:rsid w:val="00F32DF3"/>
    <w:rsid w:val="00F36484"/>
    <w:rsid w:val="00F36687"/>
    <w:rsid w:val="00F36BF6"/>
    <w:rsid w:val="00F415E3"/>
    <w:rsid w:val="00F423A6"/>
    <w:rsid w:val="00F4291D"/>
    <w:rsid w:val="00F4316D"/>
    <w:rsid w:val="00F441FF"/>
    <w:rsid w:val="00F44980"/>
    <w:rsid w:val="00F458B1"/>
    <w:rsid w:val="00F46C7F"/>
    <w:rsid w:val="00F4774B"/>
    <w:rsid w:val="00F52A2A"/>
    <w:rsid w:val="00F554D7"/>
    <w:rsid w:val="00F558FF"/>
    <w:rsid w:val="00F57FB6"/>
    <w:rsid w:val="00F60BD6"/>
    <w:rsid w:val="00F61019"/>
    <w:rsid w:val="00F648B5"/>
    <w:rsid w:val="00F66A22"/>
    <w:rsid w:val="00F67019"/>
    <w:rsid w:val="00F676A3"/>
    <w:rsid w:val="00F719F5"/>
    <w:rsid w:val="00F72DC0"/>
    <w:rsid w:val="00F73D7F"/>
    <w:rsid w:val="00F75775"/>
    <w:rsid w:val="00F75BC0"/>
    <w:rsid w:val="00F77283"/>
    <w:rsid w:val="00F80ACB"/>
    <w:rsid w:val="00F8286D"/>
    <w:rsid w:val="00F83DA0"/>
    <w:rsid w:val="00F84526"/>
    <w:rsid w:val="00F85E07"/>
    <w:rsid w:val="00F9322C"/>
    <w:rsid w:val="00F94DC2"/>
    <w:rsid w:val="00F95AB1"/>
    <w:rsid w:val="00F96486"/>
    <w:rsid w:val="00F97CC6"/>
    <w:rsid w:val="00FA1B7A"/>
    <w:rsid w:val="00FA29AF"/>
    <w:rsid w:val="00FA4973"/>
    <w:rsid w:val="00FA625B"/>
    <w:rsid w:val="00FA6580"/>
    <w:rsid w:val="00FA751E"/>
    <w:rsid w:val="00FB0013"/>
    <w:rsid w:val="00FB2AFA"/>
    <w:rsid w:val="00FB3039"/>
    <w:rsid w:val="00FB5821"/>
    <w:rsid w:val="00FB606C"/>
    <w:rsid w:val="00FB64D1"/>
    <w:rsid w:val="00FB6BC3"/>
    <w:rsid w:val="00FC10CD"/>
    <w:rsid w:val="00FC5FCF"/>
    <w:rsid w:val="00FD08E6"/>
    <w:rsid w:val="00FD1ACE"/>
    <w:rsid w:val="00FD3B1B"/>
    <w:rsid w:val="00FD3FC4"/>
    <w:rsid w:val="00FD57D4"/>
    <w:rsid w:val="00FE0373"/>
    <w:rsid w:val="00FE15E9"/>
    <w:rsid w:val="00FE304E"/>
    <w:rsid w:val="00FE40B6"/>
    <w:rsid w:val="00FE50D6"/>
    <w:rsid w:val="00FE6131"/>
    <w:rsid w:val="00FE625A"/>
    <w:rsid w:val="00FE6269"/>
    <w:rsid w:val="00FE6810"/>
    <w:rsid w:val="00FF0E55"/>
    <w:rsid w:val="00FF128F"/>
    <w:rsid w:val="00FF2E87"/>
    <w:rsid w:val="00FF3468"/>
    <w:rsid w:val="00FF3A52"/>
    <w:rsid w:val="00FF3E27"/>
    <w:rsid w:val="00FF42B3"/>
    <w:rsid w:val="00FF5038"/>
    <w:rsid w:val="00FF54D7"/>
    <w:rsid w:val="00FF578B"/>
    <w:rsid w:val="00FF6596"/>
    <w:rsid w:val="00FF7A1E"/>
    <w:rsid w:val="00FF7BD9"/>
    <w:rsid w:val="00FF7F6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5297"/>
    <o:shapelayout v:ext="edit">
      <o:idmap v:ext="edit" data="1"/>
    </o:shapelayout>
  </w:shapeDefaults>
  <w:decimalSymbol w:val=","/>
  <w:listSeparator w:val=";"/>
  <w14:docId w14:val="7D561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lang w:val="cs-CZ"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pPr>
  </w:style>
  <w:style w:type="paragraph" w:styleId="Heading1">
    <w:name w:val="heading 1"/>
    <w:aliases w:val="t1,TITRE1,heading 1,Titre 11,t1.T1.Titre 1,Titre 1ed,t1.T1.Titre 1Annexe,H1,t1.T1,h1,l1,H,GSA1,Titre 1:,T1,Chapitre 1,1,Level 1,Heading 1 Colored,Chapter title,ch,MIGHeading 1,ch1,Bold 18,CMG H1,NCS-H1,überschrift1,überschrift11,überschrift12"/>
    <w:basedOn w:val="Normal"/>
    <w:next w:val="Normal"/>
    <w:uiPriority w:val="9"/>
    <w:qFormat/>
    <w:pPr>
      <w:keepNext/>
      <w:pageBreakBefore/>
      <w:numPr>
        <w:numId w:val="1"/>
      </w:numPr>
      <w:pBdr>
        <w:bottom w:val="single" w:sz="12" w:space="1" w:color="FF6600"/>
      </w:pBdr>
      <w:spacing w:before="120" w:after="240"/>
      <w:outlineLvl w:val="0"/>
    </w:pPr>
    <w:rPr>
      <w:b/>
      <w:smallCaps/>
      <w:color w:val="000080"/>
      <w:kern w:val="28"/>
      <w:sz w:val="36"/>
    </w:rPr>
  </w:style>
  <w:style w:type="paragraph" w:styleId="Heading2">
    <w:name w:val="heading 2"/>
    <w:aliases w:val="T2,h2,L2,H2,Punt 2,l2,2,Titre 21,t2.T2,t2,Contrat 2,Ctt,t2.T2.Titre 2,TITRE 2,Titre 2ed,Heading 2 Hidden,heading 2,Chapter Number/Appendix Letter,chn,Titre niveau 2,Level 2,Chapitre 2,paragraphe,Titre 2 - RAO,Specf Titre 2,Heading 2a,Header 2"/>
    <w:basedOn w:val="Normal"/>
    <w:next w:val="Normal"/>
    <w:link w:val="Heading2Char"/>
    <w:qFormat/>
    <w:pPr>
      <w:keepNext/>
      <w:numPr>
        <w:ilvl w:val="1"/>
        <w:numId w:val="1"/>
      </w:numPr>
      <w:pBdr>
        <w:bottom w:val="single" w:sz="12" w:space="1" w:color="000080"/>
      </w:pBdr>
      <w:spacing w:before="120"/>
      <w:outlineLvl w:val="1"/>
    </w:pPr>
    <w:rPr>
      <w:b/>
      <w:bCs/>
      <w:smallCaps/>
      <w:color w:val="000080"/>
      <w:sz w:val="32"/>
    </w:rPr>
  </w:style>
  <w:style w:type="paragraph" w:styleId="Heading3">
    <w:name w:val="heading 3"/>
    <w:aliases w:val="3,Titre 31,t3.T3,heading 3,Titre 3+,H3,Titre niveau 3,Titre3,t3,Contrat 3,Titre 3 SQ,Titre 3 SQ1,Titre 3 SQ2,Titre 3 SQ3,Titre 3 SQ4,Titre 3 SQ5,Titre 3 SQ6,Titre 3 SQ7,h3,3rd level,l3,CT,Heading 3 - old,Titre 3 .3,Titre 311,Titre 3 .31,1.2.3."/>
    <w:basedOn w:val="Normal"/>
    <w:next w:val="Normal"/>
    <w:qFormat/>
    <w:pPr>
      <w:keepNext/>
      <w:numPr>
        <w:ilvl w:val="2"/>
        <w:numId w:val="1"/>
      </w:numPr>
      <w:spacing w:before="240" w:after="60"/>
      <w:outlineLvl w:val="2"/>
    </w:pPr>
    <w:rPr>
      <w:b/>
      <w:bCs/>
      <w:smallCaps/>
      <w:color w:val="000080"/>
      <w:sz w:val="28"/>
    </w:rPr>
  </w:style>
  <w:style w:type="paragraph" w:styleId="Heading4">
    <w:name w:val="heading 4"/>
    <w:aliases w:val="4,H4,Titre 41,t4.T4,t4,Chapitre 1.1.1.,Alinéa,dash,h4,Ref Heading 1,rh1,First Subheading,T4,t4.T4.Titre 4,heading 4,l4,I4,(Shift Ctrl 4),Schedules,Heading 4 CFMU"/>
    <w:basedOn w:val="Normal"/>
    <w:next w:val="Normal"/>
    <w:link w:val="Heading4Char"/>
    <w:qFormat/>
    <w:pPr>
      <w:keepNext/>
      <w:numPr>
        <w:ilvl w:val="3"/>
        <w:numId w:val="1"/>
      </w:numPr>
      <w:spacing w:before="240" w:after="60"/>
      <w:outlineLvl w:val="3"/>
    </w:pPr>
    <w:rPr>
      <w:b/>
      <w:smallCaps/>
      <w:color w:val="000080"/>
      <w:sz w:val="24"/>
    </w:rPr>
  </w:style>
  <w:style w:type="paragraph" w:styleId="Heading5">
    <w:name w:val="heading 5"/>
    <w:aliases w:val="H5,Chapitre 1.1.1.1.,Ref Heading 2,rh2,h5,Second Subheading,heading 5,Heading 5 CFMU,Para 5,(Shift Ctrl 5),Appendix A to X,Heading 5   Appendix A to X"/>
    <w:basedOn w:val="Normal"/>
    <w:next w:val="Normal"/>
    <w:qFormat/>
    <w:pPr>
      <w:numPr>
        <w:ilvl w:val="4"/>
        <w:numId w:val="1"/>
      </w:numPr>
      <w:spacing w:before="240" w:after="60"/>
      <w:outlineLvl w:val="4"/>
    </w:pPr>
    <w:rPr>
      <w:b/>
      <w:bCs/>
      <w:smallCaps/>
      <w:color w:val="000080"/>
    </w:rPr>
  </w:style>
  <w:style w:type="paragraph" w:styleId="Heading6">
    <w:name w:val="heading 6"/>
    <w:aliases w:val="6,Heading 6  Appendix Y &amp; Z,h6,Heading 6 CFMU"/>
    <w:basedOn w:val="Normal"/>
    <w:next w:val="Normal"/>
    <w:qFormat/>
    <w:pPr>
      <w:numPr>
        <w:ilvl w:val="5"/>
        <w:numId w:val="1"/>
      </w:numPr>
      <w:spacing w:before="240" w:after="60"/>
      <w:outlineLvl w:val="5"/>
    </w:pPr>
    <w:rPr>
      <w:i/>
      <w:sz w:val="22"/>
    </w:rPr>
  </w:style>
  <w:style w:type="paragraph" w:styleId="Heading7">
    <w:name w:val="heading 7"/>
    <w:aliases w:val="H7,(Shift Ctrl 7),Heading 7 CFMU"/>
    <w:basedOn w:val="Normal"/>
    <w:next w:val="Normal"/>
    <w:qFormat/>
    <w:pPr>
      <w:numPr>
        <w:ilvl w:val="6"/>
        <w:numId w:val="1"/>
      </w:numPr>
      <w:spacing w:before="240" w:after="60"/>
      <w:outlineLvl w:val="6"/>
    </w:pPr>
  </w:style>
  <w:style w:type="paragraph" w:styleId="Heading8">
    <w:name w:val="heading 8"/>
    <w:aliases w:val="Heading 8 CFMU"/>
    <w:basedOn w:val="Normal"/>
    <w:next w:val="Normal"/>
    <w:qFormat/>
    <w:pPr>
      <w:numPr>
        <w:ilvl w:val="7"/>
        <w:numId w:val="1"/>
      </w:numPr>
      <w:spacing w:before="240" w:after="60"/>
      <w:outlineLvl w:val="7"/>
    </w:pPr>
    <w:rPr>
      <w:i/>
    </w:rPr>
  </w:style>
  <w:style w:type="paragraph" w:styleId="Heading9">
    <w:name w:val="heading 9"/>
    <w:aliases w:val="App Heading,Heading 9 CFMU"/>
    <w:basedOn w:val="Normal"/>
    <w:next w:val="Normal"/>
    <w:qFormat/>
    <w:pPr>
      <w:numPr>
        <w:ilvl w:val="8"/>
        <w:numId w:val="1"/>
      </w:numPr>
      <w:spacing w:before="240" w:after="60"/>
      <w:outlineLvl w:val="8"/>
    </w:pPr>
    <w:rPr>
      <w:b/>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4D34"/>
    <w:pPr>
      <w:tabs>
        <w:tab w:val="center" w:pos="4535"/>
        <w:tab w:val="right" w:pos="9071"/>
      </w:tabs>
      <w:jc w:val="both"/>
    </w:pPr>
    <w:rPr>
      <w:rFonts w:ascii="Times New Roman" w:eastAsiaTheme="minorHAnsi" w:hAnsi="Times New Roman" w:cs="Times New Roman"/>
      <w:sz w:val="24"/>
      <w:szCs w:val="22"/>
      <w:lang w:eastAsia="en-US"/>
    </w:rPr>
  </w:style>
  <w:style w:type="paragraph" w:customStyle="1" w:styleId="Bullet1">
    <w:name w:val="Bullet 1"/>
    <w:basedOn w:val="Normal"/>
    <w:pPr>
      <w:numPr>
        <w:numId w:val="9"/>
      </w:numPr>
      <w:tabs>
        <w:tab w:val="clear" w:pos="360"/>
        <w:tab w:val="num" w:pos="900"/>
      </w:tabs>
      <w:spacing w:after="0"/>
      <w:ind w:left="900" w:firstLine="0"/>
      <w:jc w:val="both"/>
    </w:pPr>
    <w:rPr>
      <w:sz w:val="22"/>
    </w:rPr>
  </w:style>
  <w:style w:type="paragraph" w:customStyle="1" w:styleId="Listnumber1cm">
    <w:name w:val="List number 1cm"/>
    <w:basedOn w:val="Normal"/>
    <w:pPr>
      <w:numPr>
        <w:numId w:val="6"/>
      </w:numPr>
      <w:tabs>
        <w:tab w:val="clear" w:pos="927"/>
        <w:tab w:val="num" w:pos="360"/>
        <w:tab w:val="left" w:pos="851"/>
      </w:tabs>
      <w:ind w:left="0" w:firstLine="0"/>
    </w:pPr>
  </w:style>
  <w:style w:type="paragraph" w:customStyle="1" w:styleId="Tableheading">
    <w:name w:val="Table heading"/>
    <w:basedOn w:val="Normal"/>
    <w:pPr>
      <w:spacing w:before="120"/>
      <w:jc w:val="center"/>
    </w:pPr>
    <w:rPr>
      <w:b/>
      <w:color w:val="000080"/>
    </w:rPr>
  </w:style>
  <w:style w:type="paragraph" w:customStyle="1" w:styleId="Tabletext">
    <w:name w:val="Table text"/>
    <w:basedOn w:val="Normal"/>
    <w:pPr>
      <w:spacing w:before="60" w:after="60"/>
    </w:pPr>
  </w:style>
  <w:style w:type="paragraph" w:styleId="TOC1">
    <w:name w:val="toc 1"/>
    <w:basedOn w:val="Normal"/>
    <w:next w:val="Normal"/>
    <w:autoRedefine/>
    <w:uiPriority w:val="39"/>
    <w:pPr>
      <w:spacing w:before="120"/>
    </w:pPr>
    <w:rPr>
      <w:b/>
      <w:bCs/>
      <w:caps/>
      <w:szCs w:val="24"/>
    </w:rPr>
  </w:style>
  <w:style w:type="character" w:styleId="Hyperlink">
    <w:name w:val="Hyperlink"/>
    <w:uiPriority w:val="99"/>
    <w:rPr>
      <w:color w:val="0000FF"/>
      <w:u w:val="single"/>
    </w:rPr>
  </w:style>
  <w:style w:type="paragraph" w:styleId="Footer">
    <w:name w:val="footer"/>
    <w:basedOn w:val="Normal"/>
    <w:link w:val="FooterChar"/>
    <w:uiPriority w:val="99"/>
    <w:unhideWhenUsed/>
    <w:rsid w:val="00274D34"/>
    <w:pPr>
      <w:tabs>
        <w:tab w:val="center" w:pos="4535"/>
        <w:tab w:val="right" w:pos="9071"/>
        <w:tab w:val="right" w:pos="9921"/>
      </w:tabs>
      <w:spacing w:before="360" w:after="0"/>
      <w:ind w:left="-850" w:right="-850"/>
    </w:pPr>
    <w:rPr>
      <w:rFonts w:ascii="Times New Roman" w:eastAsiaTheme="minorHAnsi" w:hAnsi="Times New Roman" w:cs="Times New Roman"/>
      <w:sz w:val="24"/>
      <w:szCs w:val="22"/>
      <w:lang w:eastAsia="en-US"/>
    </w:rPr>
  </w:style>
  <w:style w:type="paragraph" w:styleId="Title">
    <w:name w:val="Title"/>
    <w:basedOn w:val="Normal"/>
    <w:next w:val="Normal"/>
    <w:link w:val="TitleChar"/>
    <w:qFormat/>
    <w:pPr>
      <w:keepLines/>
      <w:spacing w:before="480" w:after="480"/>
      <w:jc w:val="center"/>
    </w:pPr>
    <w:rPr>
      <w:b/>
      <w:caps/>
      <w:color w:val="000080"/>
      <w:sz w:val="32"/>
    </w:rPr>
  </w:style>
  <w:style w:type="paragraph" w:styleId="TOC2">
    <w:name w:val="toc 2"/>
    <w:basedOn w:val="Normal"/>
    <w:next w:val="Normal"/>
    <w:autoRedefine/>
    <w:uiPriority w:val="39"/>
    <w:pPr>
      <w:ind w:left="200"/>
    </w:pPr>
    <w:rPr>
      <w:smallCaps/>
      <w:szCs w:val="24"/>
    </w:rPr>
  </w:style>
  <w:style w:type="paragraph" w:styleId="TOC3">
    <w:name w:val="toc 3"/>
    <w:basedOn w:val="Normal"/>
    <w:next w:val="Normal"/>
    <w:autoRedefine/>
    <w:uiPriority w:val="39"/>
    <w:pPr>
      <w:ind w:left="400"/>
    </w:pPr>
    <w:rPr>
      <w:i/>
      <w:iCs/>
      <w:szCs w:val="24"/>
    </w:rPr>
  </w:style>
  <w:style w:type="paragraph" w:styleId="TOC4">
    <w:name w:val="toc 4"/>
    <w:basedOn w:val="Normal"/>
    <w:next w:val="Normal"/>
    <w:autoRedefine/>
    <w:uiPriority w:val="39"/>
    <w:pPr>
      <w:ind w:left="600"/>
    </w:pPr>
    <w:rPr>
      <w:szCs w:val="21"/>
    </w:rPr>
  </w:style>
  <w:style w:type="paragraph" w:styleId="TOC5">
    <w:name w:val="toc 5"/>
    <w:basedOn w:val="Normal"/>
    <w:next w:val="Normal"/>
    <w:autoRedefine/>
    <w:semiHidden/>
    <w:pPr>
      <w:ind w:left="800"/>
    </w:pPr>
    <w:rPr>
      <w:szCs w:val="21"/>
    </w:rPr>
  </w:style>
  <w:style w:type="paragraph" w:styleId="TOC6">
    <w:name w:val="toc 6"/>
    <w:basedOn w:val="Normal"/>
    <w:next w:val="Normal"/>
    <w:autoRedefine/>
    <w:semiHidden/>
    <w:pPr>
      <w:ind w:left="1000"/>
    </w:pPr>
    <w:rPr>
      <w:szCs w:val="21"/>
    </w:rPr>
  </w:style>
  <w:style w:type="paragraph" w:styleId="TOC7">
    <w:name w:val="toc 7"/>
    <w:basedOn w:val="Normal"/>
    <w:next w:val="Normal"/>
    <w:autoRedefine/>
    <w:semiHidden/>
    <w:pPr>
      <w:ind w:left="1200"/>
    </w:pPr>
    <w:rPr>
      <w:szCs w:val="21"/>
    </w:rPr>
  </w:style>
  <w:style w:type="paragraph" w:styleId="TOC8">
    <w:name w:val="toc 8"/>
    <w:basedOn w:val="Normal"/>
    <w:next w:val="Normal"/>
    <w:autoRedefine/>
    <w:semiHidden/>
    <w:pPr>
      <w:ind w:left="1400"/>
    </w:pPr>
    <w:rPr>
      <w:szCs w:val="21"/>
    </w:rPr>
  </w:style>
  <w:style w:type="paragraph" w:styleId="TOC9">
    <w:name w:val="toc 9"/>
    <w:basedOn w:val="Normal"/>
    <w:next w:val="Normal"/>
    <w:autoRedefine/>
    <w:semiHidden/>
    <w:pPr>
      <w:ind w:left="1600"/>
    </w:pPr>
    <w:rPr>
      <w:szCs w:val="21"/>
    </w:rPr>
  </w:style>
  <w:style w:type="paragraph" w:customStyle="1" w:styleId="TableBullet">
    <w:name w:val="Table Bullet"/>
    <w:basedOn w:val="Normal"/>
    <w:pPr>
      <w:numPr>
        <w:ilvl w:val="1"/>
        <w:numId w:val="2"/>
      </w:numPr>
      <w:tabs>
        <w:tab w:val="clear" w:pos="1440"/>
        <w:tab w:val="num" w:pos="128"/>
      </w:tabs>
      <w:ind w:left="128" w:hanging="128"/>
    </w:pPr>
  </w:style>
  <w:style w:type="character" w:styleId="FollowedHyperlink">
    <w:name w:val="FollowedHyperlink"/>
    <w:rPr>
      <w:color w:val="800080"/>
      <w:u w:val="single"/>
    </w:rPr>
  </w:style>
  <w:style w:type="paragraph" w:customStyle="1" w:styleId="Listbullet1cm">
    <w:name w:val="List bullet 1cm"/>
    <w:basedOn w:val="Normal"/>
    <w:pPr>
      <w:numPr>
        <w:numId w:val="5"/>
      </w:numPr>
      <w:tabs>
        <w:tab w:val="clear" w:pos="1647"/>
        <w:tab w:val="num" w:pos="851"/>
      </w:tabs>
      <w:ind w:left="851" w:hanging="284"/>
    </w:pPr>
    <w:rPr>
      <w:rFonts w:eastAsia="MS Mincho"/>
      <w:lang w:eastAsia="ja-JP"/>
    </w:rPr>
  </w:style>
  <w:style w:type="paragraph" w:customStyle="1" w:styleId="Listbullet2cm">
    <w:name w:val="List bullet 2cm"/>
    <w:basedOn w:val="Normal"/>
    <w:pPr>
      <w:numPr>
        <w:numId w:val="3"/>
      </w:numPr>
    </w:pPr>
  </w:style>
  <w:style w:type="paragraph" w:styleId="FootnoteText">
    <w:name w:val="footnote text"/>
    <w:basedOn w:val="Normal"/>
    <w:link w:val="FootnoteTextChar"/>
    <w:semiHidden/>
    <w:rPr>
      <w:sz w:val="16"/>
    </w:rPr>
  </w:style>
  <w:style w:type="character" w:styleId="FootnoteReference">
    <w:name w:val="footnote reference"/>
    <w:semiHidden/>
    <w:rPr>
      <w:vertAlign w:val="superscript"/>
    </w:rPr>
  </w:style>
  <w:style w:type="paragraph" w:customStyle="1" w:styleId="Listnumber2cm">
    <w:name w:val="List number 2cm"/>
    <w:basedOn w:val="Listbullet2cm"/>
    <w:pPr>
      <w:numPr>
        <w:numId w:val="4"/>
      </w:numPr>
      <w:tabs>
        <w:tab w:val="clear" w:pos="1701"/>
        <w:tab w:val="num" w:pos="1418"/>
      </w:tabs>
      <w:ind w:left="1418" w:hanging="284"/>
    </w:pPr>
  </w:style>
  <w:style w:type="paragraph" w:customStyle="1" w:styleId="ListNumber1">
    <w:name w:val="List Number 1"/>
    <w:basedOn w:val="Normal"/>
    <w:pPr>
      <w:numPr>
        <w:numId w:val="7"/>
      </w:numPr>
      <w:spacing w:before="240" w:after="240"/>
      <w:jc w:val="both"/>
    </w:pPr>
    <w:rPr>
      <w:sz w:val="22"/>
    </w:rPr>
  </w:style>
  <w:style w:type="paragraph" w:customStyle="1" w:styleId="ListNumber1Level2">
    <w:name w:val="List Number 1 (Level 2)"/>
    <w:basedOn w:val="Normal"/>
    <w:pPr>
      <w:numPr>
        <w:ilvl w:val="1"/>
        <w:numId w:val="7"/>
      </w:numPr>
      <w:spacing w:after="240"/>
      <w:jc w:val="both"/>
    </w:pPr>
    <w:rPr>
      <w:sz w:val="22"/>
    </w:rPr>
  </w:style>
  <w:style w:type="paragraph" w:customStyle="1" w:styleId="ListNumber1Level3">
    <w:name w:val="List Number 1 (Level 3)"/>
    <w:basedOn w:val="Normal"/>
    <w:pPr>
      <w:numPr>
        <w:ilvl w:val="2"/>
        <w:numId w:val="7"/>
      </w:numPr>
      <w:spacing w:after="240"/>
      <w:jc w:val="both"/>
    </w:pPr>
    <w:rPr>
      <w:sz w:val="22"/>
    </w:rPr>
  </w:style>
  <w:style w:type="paragraph" w:customStyle="1" w:styleId="ListNumber1Level4">
    <w:name w:val="List Number 1 (Level 4)"/>
    <w:basedOn w:val="Normal"/>
    <w:pPr>
      <w:numPr>
        <w:ilvl w:val="3"/>
        <w:numId w:val="7"/>
      </w:numPr>
      <w:spacing w:after="240"/>
      <w:jc w:val="both"/>
    </w:pPr>
    <w:rPr>
      <w:sz w:val="22"/>
    </w:rPr>
  </w:style>
  <w:style w:type="paragraph" w:customStyle="1" w:styleId="Bullet">
    <w:name w:val="Bullet"/>
    <w:basedOn w:val="Normal"/>
    <w:pPr>
      <w:numPr>
        <w:numId w:val="8"/>
      </w:numPr>
      <w:ind w:left="357" w:hanging="357"/>
      <w:jc w:val="both"/>
    </w:pPr>
    <w:rPr>
      <w:snapToGrid w:val="0"/>
      <w:color w:val="000000"/>
      <w:sz w:val="22"/>
    </w:rPr>
  </w:style>
  <w:style w:type="paragraph" w:customStyle="1" w:styleId="Bullet10">
    <w:name w:val="Bullet1"/>
    <w:basedOn w:val="Normal"/>
    <w:pPr>
      <w:numPr>
        <w:numId w:val="10"/>
      </w:numPr>
      <w:spacing w:before="40" w:after="0"/>
    </w:pPr>
    <w:rPr>
      <w:rFonts w:ascii="Times New Roman" w:hAnsi="Times New Roman"/>
      <w:snapToGrid w:val="0"/>
    </w:rPr>
  </w:style>
  <w:style w:type="paragraph" w:customStyle="1" w:styleId="Bullet2">
    <w:name w:val="Bullet2"/>
    <w:basedOn w:val="Bullet10"/>
    <w:pPr>
      <w:numPr>
        <w:numId w:val="0"/>
      </w:numPr>
      <w:tabs>
        <w:tab w:val="num" w:pos="720"/>
      </w:tabs>
      <w:ind w:left="720" w:hanging="360"/>
    </w:pPr>
  </w:style>
  <w:style w:type="paragraph" w:customStyle="1" w:styleId="Heading1t1TITRE1Titre11t1T1Titre1Titre1edt1T1Titre1AnnexeH1t1T1h1l1HGSA1Titre1T1Chapitre11Level1Heading1ColoredChaptertitlechMIGHeading1ch1Bold18CMGH1NCS-H1berschrift1berschrift11">
    <w:name w:val="Heading 1.t1.TITRE1.Titre 11.t1.T1.Titre 1.Titre 1ed.t1.T1.Titre 1Annexe.H1.t1.T1.h1.l1.H.GSA1.Titre 1:.T1.Chapitre 1.1.Level 1.Heading 1 Colored.Chapter title.ch.MIGHeading 1.ch1.Bold 18.CMG H1.NCS-H1.überschrift1.überschrift11"/>
    <w:basedOn w:val="Normal"/>
    <w:next w:val="Normal"/>
    <w:pPr>
      <w:keepNext/>
      <w:tabs>
        <w:tab w:val="num" w:pos="432"/>
      </w:tabs>
      <w:spacing w:before="240" w:after="60"/>
      <w:ind w:left="432" w:hanging="432"/>
      <w:outlineLvl w:val="0"/>
    </w:pPr>
    <w:rPr>
      <w:b/>
      <w:kern w:val="28"/>
      <w:sz w:val="28"/>
    </w:rPr>
  </w:style>
  <w:style w:type="paragraph" w:customStyle="1" w:styleId="Lista">
    <w:name w:val="List a)"/>
    <w:basedOn w:val="Normal"/>
    <w:pPr>
      <w:numPr>
        <w:numId w:val="11"/>
      </w:numPr>
      <w:spacing w:before="60" w:after="0"/>
      <w:jc w:val="both"/>
    </w:pPr>
    <w:rPr>
      <w:snapToGrid w:val="0"/>
      <w:color w:val="000000"/>
      <w:sz w:val="22"/>
    </w:rPr>
  </w:style>
  <w:style w:type="paragraph" w:styleId="ListBullet">
    <w:name w:val="List Bullet"/>
    <w:basedOn w:val="Normal"/>
    <w:autoRedefine/>
    <w:pPr>
      <w:numPr>
        <w:numId w:val="12"/>
      </w:numPr>
      <w:tabs>
        <w:tab w:val="clear" w:pos="720"/>
        <w:tab w:val="num" w:pos="1260"/>
      </w:tabs>
      <w:spacing w:after="0"/>
      <w:ind w:left="1260"/>
      <w:jc w:val="both"/>
    </w:pPr>
    <w:rPr>
      <w:noProof/>
      <w:snapToGrid w:val="0"/>
      <w:color w:val="000000"/>
      <w:sz w:val="22"/>
    </w:rPr>
  </w:style>
  <w:style w:type="paragraph" w:customStyle="1" w:styleId="ListBullet1">
    <w:name w:val="List Bullet 1"/>
    <w:basedOn w:val="Normal"/>
    <w:pPr>
      <w:numPr>
        <w:numId w:val="13"/>
      </w:numPr>
      <w:spacing w:before="120" w:after="0"/>
      <w:ind w:left="1276" w:hanging="284"/>
    </w:pPr>
    <w:rPr>
      <w:rFonts w:ascii="Times New Roman" w:hAnsi="Times New Roman"/>
      <w:sz w:val="22"/>
    </w:rPr>
  </w:style>
  <w:style w:type="paragraph" w:styleId="ListNumber">
    <w:name w:val="List Number"/>
    <w:basedOn w:val="Normal"/>
    <w:pPr>
      <w:numPr>
        <w:numId w:val="14"/>
      </w:numPr>
      <w:spacing w:after="240"/>
      <w:jc w:val="both"/>
    </w:pPr>
    <w:rPr>
      <w:sz w:val="22"/>
    </w:rPr>
  </w:style>
  <w:style w:type="paragraph" w:customStyle="1" w:styleId="perso1">
    <w:name w:val="perso1"/>
    <w:pPr>
      <w:tabs>
        <w:tab w:val="num" w:pos="432"/>
      </w:tabs>
      <w:ind w:left="432" w:hanging="432"/>
    </w:pPr>
    <w:rPr>
      <w:b/>
      <w:sz w:val="24"/>
      <w:u w:val="single"/>
      <w:lang w:eastAsia="en-US"/>
    </w:rPr>
  </w:style>
  <w:style w:type="paragraph" w:customStyle="1" w:styleId="Puce2">
    <w:name w:val="Puce2"/>
    <w:basedOn w:val="Normal"/>
    <w:pPr>
      <w:numPr>
        <w:numId w:val="15"/>
      </w:numPr>
      <w:spacing w:after="0"/>
      <w:jc w:val="both"/>
    </w:pPr>
    <w:rPr>
      <w:snapToGrid w:val="0"/>
      <w:color w:val="000000"/>
      <w:sz w:val="22"/>
    </w:rPr>
  </w:style>
  <w:style w:type="paragraph" w:customStyle="1" w:styleId="SteriaBullet">
    <w:name w:val="Steria Bullet"/>
    <w:basedOn w:val="SteriaResponse"/>
    <w:pPr>
      <w:numPr>
        <w:numId w:val="16"/>
      </w:numPr>
      <w:tabs>
        <w:tab w:val="clear" w:pos="4235"/>
      </w:tabs>
      <w:ind w:left="357" w:hanging="357"/>
    </w:pPr>
  </w:style>
  <w:style w:type="paragraph" w:customStyle="1" w:styleId="SteriaResponse">
    <w:name w:val="Steria Response"/>
    <w:pPr>
      <w:spacing w:after="240" w:line="260" w:lineRule="exact"/>
    </w:pPr>
    <w:rPr>
      <w:color w:val="000080"/>
      <w:sz w:val="22"/>
      <w:lang w:eastAsia="en-US"/>
    </w:rPr>
  </w:style>
  <w:style w:type="paragraph" w:customStyle="1" w:styleId="TaBult1">
    <w:name w:val="TaBult 1"/>
    <w:basedOn w:val="Normal"/>
    <w:pPr>
      <w:numPr>
        <w:numId w:val="17"/>
      </w:numPr>
      <w:spacing w:before="60" w:after="60"/>
      <w:ind w:left="426" w:hanging="284"/>
      <w:jc w:val="both"/>
    </w:pPr>
    <w:rPr>
      <w:rFonts w:ascii="Times New Roman" w:hAnsi="Times New Roman"/>
      <w:sz w:val="22"/>
    </w:rPr>
  </w:style>
  <w:style w:type="paragraph" w:customStyle="1" w:styleId="Bullet20">
    <w:name w:val="Bullet 2"/>
    <w:basedOn w:val="Normal"/>
    <w:pPr>
      <w:tabs>
        <w:tab w:val="num" w:pos="1260"/>
      </w:tabs>
      <w:spacing w:after="0"/>
      <w:ind w:left="1260" w:hanging="360"/>
      <w:jc w:val="both"/>
    </w:pPr>
    <w:rPr>
      <w:sz w:val="22"/>
    </w:rPr>
  </w:style>
  <w:style w:type="paragraph" w:customStyle="1" w:styleId="bp">
    <w:name w:val="bp"/>
    <w:basedOn w:val="Normal"/>
    <w:pPr>
      <w:spacing w:before="100" w:after="100"/>
    </w:pPr>
    <w:rPr>
      <w:rFonts w:ascii="Arial Unicode MS" w:eastAsia="Arial Unicode MS" w:hAnsi="Arial Unicode MS"/>
      <w:sz w:val="24"/>
    </w:rPr>
  </w:style>
  <w:style w:type="paragraph" w:styleId="List2">
    <w:name w:val="List 2"/>
    <w:basedOn w:val="Normal"/>
    <w:pPr>
      <w:tabs>
        <w:tab w:val="num" w:pos="360"/>
      </w:tabs>
      <w:spacing w:before="60" w:after="0"/>
      <w:ind w:left="360" w:hanging="360"/>
      <w:jc w:val="both"/>
    </w:pPr>
    <w:rPr>
      <w:snapToGrid w:val="0"/>
      <w:color w:val="000000"/>
      <w:sz w:val="22"/>
    </w:rPr>
  </w:style>
  <w:style w:type="paragraph" w:customStyle="1" w:styleId="BodySingle">
    <w:name w:val="*Body Single"/>
    <w:basedOn w:val="Normal"/>
    <w:pPr>
      <w:spacing w:after="0" w:line="220" w:lineRule="atLeast"/>
      <w:ind w:left="2304"/>
    </w:pPr>
    <w:rPr>
      <w:sz w:val="22"/>
      <w:szCs w:val="24"/>
    </w:rPr>
  </w:style>
  <w:style w:type="paragraph" w:customStyle="1" w:styleId="Text2">
    <w:name w:val="Text 2"/>
    <w:basedOn w:val="Default"/>
    <w:next w:val="Default"/>
    <w:link w:val="Text2Char"/>
    <w:pPr>
      <w:autoSpaceDE/>
      <w:autoSpaceDN/>
      <w:adjustRightInd/>
      <w:spacing w:before="120" w:after="120"/>
    </w:pPr>
  </w:style>
  <w:style w:type="paragraph" w:customStyle="1" w:styleId="Default">
    <w:name w:val="Default"/>
    <w:pPr>
      <w:autoSpaceDE w:val="0"/>
      <w:autoSpaceDN w:val="0"/>
      <w:adjustRightInd w:val="0"/>
    </w:pPr>
    <w:rPr>
      <w:rFonts w:ascii="TimesNewRoman" w:hAnsi="TimesNewRoman"/>
      <w:lang w:eastAsia="en-US"/>
    </w:rPr>
  </w:style>
  <w:style w:type="paragraph" w:styleId="BodyText">
    <w:name w:val="Body Text"/>
    <w:aliases w:val="EDS Question Text"/>
    <w:basedOn w:val="Normal"/>
    <w:pPr>
      <w:spacing w:after="0"/>
      <w:ind w:right="-1054"/>
    </w:pPr>
    <w:rPr>
      <w:noProof/>
    </w:rPr>
  </w:style>
  <w:style w:type="paragraph" w:styleId="BodyText2">
    <w:name w:val="Body Text 2"/>
    <w:basedOn w:val="Normal"/>
    <w:pPr>
      <w:spacing w:after="0"/>
    </w:pPr>
    <w:rPr>
      <w:color w:val="000000"/>
      <w:sz w:val="22"/>
    </w:rPr>
  </w:style>
  <w:style w:type="paragraph" w:styleId="BodyText3">
    <w:name w:val="Body Text 3"/>
    <w:basedOn w:val="Normal"/>
    <w:pPr>
      <w:spacing w:after="0"/>
      <w:jc w:val="both"/>
    </w:pPr>
    <w:rPr>
      <w:snapToGrid w:val="0"/>
      <w:color w:val="000000"/>
      <w:sz w:val="22"/>
    </w:rPr>
  </w:style>
  <w:style w:type="paragraph" w:styleId="BlockText">
    <w:name w:val="Block Text"/>
    <w:basedOn w:val="Normal"/>
    <w:pPr>
      <w:pBdr>
        <w:top w:val="single" w:sz="4" w:space="1" w:color="auto"/>
        <w:left w:val="single" w:sz="4" w:space="4" w:color="auto"/>
        <w:bottom w:val="single" w:sz="4" w:space="1" w:color="auto"/>
        <w:right w:val="single" w:sz="4" w:space="4" w:color="auto"/>
      </w:pBdr>
      <w:spacing w:after="0"/>
      <w:ind w:left="720" w:right="720"/>
    </w:pPr>
    <w:rPr>
      <w:rFonts w:ascii="Times New Roman" w:hAnsi="Times New Roman"/>
      <w:b/>
      <w:bCs/>
      <w:color w:val="FF0000"/>
      <w:sz w:val="24"/>
      <w:szCs w:val="24"/>
    </w:rPr>
  </w:style>
  <w:style w:type="paragraph" w:customStyle="1" w:styleId="cellheading">
    <w:name w:val="cellheading"/>
    <w:basedOn w:val="Normal"/>
    <w:pPr>
      <w:spacing w:after="144"/>
    </w:pPr>
    <w:rPr>
      <w:rFonts w:ascii="Verdana" w:eastAsia="Arial Unicode MS" w:hAnsi="Verdana"/>
      <w:b/>
      <w:color w:val="000000"/>
    </w:rPr>
  </w:style>
  <w:style w:type="paragraph" w:styleId="NormalWeb">
    <w:name w:val="Normal (Web)"/>
    <w:basedOn w:val="Normal"/>
    <w:uiPriority w:val="99"/>
    <w:pPr>
      <w:spacing w:before="100" w:beforeAutospacing="1" w:after="100" w:afterAutospacing="1"/>
    </w:pPr>
    <w:rPr>
      <w:rFonts w:ascii="Times New Roman" w:hAnsi="Times New Roman"/>
      <w:sz w:val="24"/>
      <w:szCs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rPr>
  </w:style>
  <w:style w:type="table" w:styleId="TableGrid">
    <w:name w:val="Table Grid"/>
    <w:basedOn w:val="TableNormal"/>
    <w:uiPriority w:val="59"/>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pPr>
      <w:shd w:val="clear" w:color="auto" w:fill="000080"/>
    </w:pPr>
    <w:rPr>
      <w:rFonts w:ascii="Tahoma" w:hAnsi="Tahoma" w:cs="Tahoma"/>
    </w:r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character" w:customStyle="1" w:styleId="Heading2Char">
    <w:name w:val="Heading 2 Char"/>
    <w:aliases w:val="T2 Char,h2 Char,L2 Char,H2 Char,Punt 2 Char,l2 Char,2 Char,Titre 21 Char,t2.T2 Char,t2 Char,Contrat 2 Char,Ctt Char,t2.T2.Titre 2 Char,TITRE 2 Char,Titre 2ed Char,Heading 2 Hidden Char,heading 2 Char,Chapter Number/Appendix Letter Char"/>
    <w:link w:val="Heading2"/>
    <w:rPr>
      <w:b/>
      <w:bCs/>
      <w:smallCaps/>
      <w:color w:val="000080"/>
      <w:sz w:val="32"/>
    </w:rPr>
  </w:style>
  <w:style w:type="character" w:customStyle="1" w:styleId="Heading4Char">
    <w:name w:val="Heading 4 Char"/>
    <w:aliases w:val="4 Char,H4 Char,Titre 41 Char,t4.T4 Char,t4 Char,Chapitre 1.1.1. Char,Alinéa Char,dash Char,h4 Char,Ref Heading 1 Char,rh1 Char,First Subheading Char,T4 Char,t4.T4.Titre 4 Char,heading 4 Char,l4 Char,I4 Char,(Shift Ctrl 4) Char"/>
    <w:link w:val="Heading4"/>
    <w:rPr>
      <w:b/>
      <w:smallCaps/>
      <w:color w:val="000080"/>
      <w:sz w:val="24"/>
    </w:rPr>
  </w:style>
  <w:style w:type="paragraph" w:styleId="BodyTextIndent">
    <w:name w:val="Body Text Indent"/>
    <w:basedOn w:val="Normal"/>
    <w:pPr>
      <w:numPr>
        <w:numId w:val="18"/>
      </w:numPr>
      <w:tabs>
        <w:tab w:val="clear" w:pos="283"/>
      </w:tabs>
      <w:ind w:firstLine="0"/>
      <w:jc w:val="both"/>
    </w:pPr>
    <w:rPr>
      <w:rFonts w:ascii="Times New Roman" w:hAnsi="Times New Roman"/>
      <w:sz w:val="22"/>
    </w:rPr>
  </w:style>
  <w:style w:type="character" w:customStyle="1" w:styleId="Text2Char">
    <w:name w:val="Text 2 Char"/>
    <w:link w:val="Text2"/>
    <w:rPr>
      <w:rFonts w:ascii="TimesNewRoman" w:hAnsi="TimesNewRoman"/>
      <w:lang w:val="cs-CZ" w:eastAsia="en-US" w:bidi="ar-SA"/>
    </w:rPr>
  </w:style>
  <w:style w:type="character" w:styleId="HTMLCode">
    <w:name w:val="HTML Code"/>
    <w:semiHidden/>
    <w:unhideWhenUsed/>
    <w:rPr>
      <w:rFonts w:ascii="Courier New" w:eastAsia="Times New Roman" w:hAnsi="Courier New" w:cs="Courier New"/>
      <w:sz w:val="20"/>
      <w:szCs w:val="20"/>
    </w:rPr>
  </w:style>
  <w:style w:type="character" w:customStyle="1" w:styleId="Heading2Char2">
    <w:name w:val="Heading 2 Char2"/>
    <w:aliases w:val="Heading 2 Char1 Char,Heading 2 Char Char Char,Heading 2 Char Char1"/>
    <w:locked/>
    <w:rPr>
      <w:b/>
      <w:sz w:val="24"/>
      <w:lang w:val="cs-CZ" w:eastAsia="en-US" w:bidi="ar-SA"/>
    </w:rPr>
  </w:style>
  <w:style w:type="paragraph" w:customStyle="1" w:styleId="NumPar1">
    <w:name w:val="NumPar 1"/>
    <w:basedOn w:val="Normal"/>
    <w:next w:val="Normal"/>
    <w:pPr>
      <w:numPr>
        <w:numId w:val="21"/>
      </w:numPr>
      <w:spacing w:before="120"/>
      <w:jc w:val="both"/>
    </w:pPr>
    <w:rPr>
      <w:rFonts w:ascii="Times New Roman" w:hAnsi="Times New Roman"/>
      <w:sz w:val="24"/>
      <w:szCs w:val="24"/>
    </w:rPr>
  </w:style>
  <w:style w:type="paragraph" w:customStyle="1" w:styleId="NumPar2">
    <w:name w:val="NumPar 2"/>
    <w:basedOn w:val="Normal"/>
    <w:next w:val="Normal"/>
    <w:pPr>
      <w:numPr>
        <w:ilvl w:val="1"/>
        <w:numId w:val="21"/>
      </w:numPr>
      <w:spacing w:before="120"/>
      <w:jc w:val="both"/>
    </w:pPr>
    <w:rPr>
      <w:rFonts w:ascii="Times New Roman" w:hAnsi="Times New Roman"/>
      <w:sz w:val="24"/>
      <w:szCs w:val="24"/>
    </w:rPr>
  </w:style>
  <w:style w:type="paragraph" w:customStyle="1" w:styleId="NumPar3">
    <w:name w:val="NumPar 3"/>
    <w:basedOn w:val="Normal"/>
    <w:next w:val="Normal"/>
    <w:pPr>
      <w:numPr>
        <w:ilvl w:val="2"/>
        <w:numId w:val="21"/>
      </w:numPr>
      <w:spacing w:before="120"/>
      <w:jc w:val="both"/>
    </w:pPr>
    <w:rPr>
      <w:rFonts w:ascii="Times New Roman" w:hAnsi="Times New Roman"/>
      <w:sz w:val="24"/>
      <w:szCs w:val="24"/>
    </w:rPr>
  </w:style>
  <w:style w:type="paragraph" w:customStyle="1" w:styleId="NumPar4">
    <w:name w:val="NumPar 4"/>
    <w:basedOn w:val="Normal"/>
    <w:next w:val="Normal"/>
    <w:pPr>
      <w:numPr>
        <w:ilvl w:val="3"/>
        <w:numId w:val="21"/>
      </w:numPr>
      <w:spacing w:before="120"/>
      <w:jc w:val="both"/>
    </w:pPr>
    <w:rPr>
      <w:rFonts w:ascii="Times New Roman" w:hAnsi="Times New Roman"/>
      <w:sz w:val="24"/>
      <w:szCs w:val="24"/>
    </w:rPr>
  </w:style>
  <w:style w:type="paragraph" w:styleId="ListParagraph">
    <w:name w:val="List Paragraph"/>
    <w:basedOn w:val="Normal"/>
    <w:uiPriority w:val="34"/>
    <w:qFormat/>
    <w:pPr>
      <w:spacing w:after="0"/>
      <w:ind w:left="720"/>
    </w:pPr>
    <w:rPr>
      <w:rFonts w:ascii="Calibri" w:hAnsi="Calibri"/>
      <w:sz w:val="22"/>
      <w:szCs w:val="22"/>
    </w:rPr>
  </w:style>
  <w:style w:type="character" w:customStyle="1" w:styleId="CommentTextChar">
    <w:name w:val="Comment Text Char"/>
    <w:basedOn w:val="DefaultParagraphFont"/>
    <w:link w:val="CommentText"/>
    <w:semiHidden/>
    <w:rPr>
      <w:rFonts w:ascii="Arial" w:hAnsi="Arial"/>
      <w:lang w:eastAsia="en-US"/>
    </w:rPr>
  </w:style>
  <w:style w:type="paragraph" w:styleId="Revision">
    <w:name w:val="Revision"/>
    <w:hidden/>
    <w:uiPriority w:val="99"/>
    <w:semiHidden/>
    <w:rPr>
      <w:sz w:val="18"/>
      <w:lang w:eastAsia="en-US"/>
    </w:rPr>
  </w:style>
  <w:style w:type="character" w:customStyle="1" w:styleId="FootnoteTextChar">
    <w:name w:val="Footnote Text Char"/>
    <w:basedOn w:val="DefaultParagraphFont"/>
    <w:link w:val="FootnoteText"/>
    <w:semiHidden/>
    <w:rPr>
      <w:rFonts w:ascii="Arial" w:hAnsi="Arial"/>
      <w:sz w:val="16"/>
      <w:lang w:eastAsia="en-US"/>
    </w:rPr>
  </w:style>
  <w:style w:type="paragraph" w:styleId="EndnoteText">
    <w:name w:val="endnote text"/>
    <w:basedOn w:val="Normal"/>
    <w:link w:val="EndnoteTextChar"/>
    <w:semiHidden/>
    <w:unhideWhenUsed/>
    <w:pPr>
      <w:spacing w:after="0"/>
    </w:pPr>
  </w:style>
  <w:style w:type="character" w:customStyle="1" w:styleId="EndnoteTextChar">
    <w:name w:val="Endnote Text Char"/>
    <w:basedOn w:val="DefaultParagraphFont"/>
    <w:link w:val="EndnoteText"/>
    <w:semiHidden/>
  </w:style>
  <w:style w:type="character" w:styleId="EndnoteReference">
    <w:name w:val="endnote reference"/>
    <w:basedOn w:val="DefaultParagraphFont"/>
    <w:semiHidden/>
    <w:unhideWhenUsed/>
    <w:rPr>
      <w:vertAlign w:val="superscript"/>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jc w:val="both"/>
    </w:pPr>
    <w:rPr>
      <w:rFonts w:ascii="Times New Roman" w:eastAsiaTheme="minorHAnsi" w:hAnsi="Times New Roman" w:cs="Times New Roman"/>
      <w:sz w:val="24"/>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pPr>
    <w:rPr>
      <w:rFonts w:ascii="Times New Roman" w:hAnsi="Times New Roman" w:cs="Times New Roman"/>
      <w:sz w:val="24"/>
    </w:rPr>
  </w:style>
  <w:style w:type="character" w:customStyle="1" w:styleId="TitleChar">
    <w:name w:val="Title Char"/>
    <w:basedOn w:val="DefaultParagraphFont"/>
    <w:link w:val="Title"/>
    <w:rPr>
      <w:b/>
      <w:caps/>
      <w:color w:val="000080"/>
      <w:sz w:val="32"/>
    </w:rPr>
  </w:style>
  <w:style w:type="character" w:customStyle="1" w:styleId="FooterCoverPageChar">
    <w:name w:val="Footer Cover Page Char"/>
    <w:basedOn w:val="TitleChar"/>
    <w:link w:val="FooterCoverPage"/>
    <w:rPr>
      <w:rFonts w:ascii="Times New Roman" w:hAnsi="Times New Roman" w:cs="Times New Roman"/>
      <w:b w:val="0"/>
      <w:caps w:val="0"/>
      <w:color w:val="000080"/>
      <w:sz w:val="24"/>
    </w:rPr>
  </w:style>
  <w:style w:type="paragraph" w:customStyle="1" w:styleId="HeaderCoverPage">
    <w:name w:val="Header Cover Page"/>
    <w:basedOn w:val="Normal"/>
    <w:link w:val="HeaderCoverPageChar"/>
    <w:pPr>
      <w:tabs>
        <w:tab w:val="center" w:pos="4535"/>
        <w:tab w:val="right" w:pos="9071"/>
      </w:tabs>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hAnsi="Times New Roman" w:cs="Times New Roman"/>
      <w:b w:val="0"/>
      <w:caps w:val="0"/>
      <w:color w:val="000080"/>
      <w:sz w:val="24"/>
    </w:rPr>
  </w:style>
  <w:style w:type="character" w:customStyle="1" w:styleId="FooterChar">
    <w:name w:val="Footer Char"/>
    <w:basedOn w:val="DefaultParagraphFont"/>
    <w:link w:val="Footer"/>
    <w:uiPriority w:val="99"/>
    <w:rsid w:val="00274D34"/>
    <w:rPr>
      <w:rFonts w:ascii="Times New Roman" w:eastAsiaTheme="minorHAnsi" w:hAnsi="Times New Roman" w:cs="Times New Roman"/>
      <w:sz w:val="24"/>
      <w:szCs w:val="22"/>
      <w:lang w:eastAsia="en-US"/>
    </w:rPr>
  </w:style>
  <w:style w:type="paragraph" w:customStyle="1" w:styleId="Titreobjet">
    <w:name w:val="Titre objet"/>
    <w:basedOn w:val="Normal"/>
    <w:next w:val="Normal"/>
    <w:rsid w:val="00274D34"/>
    <w:pPr>
      <w:spacing w:before="360" w:after="360"/>
      <w:jc w:val="center"/>
    </w:pPr>
    <w:rPr>
      <w:rFonts w:ascii="Times New Roman" w:eastAsiaTheme="minorHAnsi" w:hAnsi="Times New Roman" w:cs="Times New Roman"/>
      <w:b/>
      <w:sz w:val="24"/>
      <w:szCs w:val="22"/>
      <w:lang w:eastAsia="en-US"/>
    </w:rPr>
  </w:style>
  <w:style w:type="paragraph" w:customStyle="1" w:styleId="TitreobjetPagedecouverture">
    <w:name w:val="Titre objet (Page de couverture)"/>
    <w:basedOn w:val="Titreobjet"/>
    <w:next w:val="Normal"/>
    <w:rsid w:val="00274D34"/>
  </w:style>
  <w:style w:type="paragraph" w:customStyle="1" w:styleId="Declassification">
    <w:name w:val="Declassification"/>
    <w:basedOn w:val="Normal"/>
    <w:next w:val="Normal"/>
    <w:rsid w:val="00274D34"/>
    <w:pPr>
      <w:spacing w:after="0"/>
      <w:jc w:val="both"/>
    </w:pPr>
    <w:rPr>
      <w:rFonts w:ascii="Times New Roman" w:eastAsiaTheme="minorHAnsi" w:hAnsi="Times New Roman" w:cs="Times New Roman"/>
      <w:sz w:val="24"/>
      <w:szCs w:val="22"/>
      <w:lang w:eastAsia="en-US"/>
    </w:rPr>
  </w:style>
  <w:style w:type="character" w:customStyle="1" w:styleId="HeaderChar">
    <w:name w:val="Header Char"/>
    <w:basedOn w:val="DefaultParagraphFont"/>
    <w:link w:val="Header"/>
    <w:uiPriority w:val="99"/>
    <w:rsid w:val="00274D34"/>
    <w:rPr>
      <w:rFonts w:ascii="Times New Roman" w:eastAsiaTheme="minorHAnsi" w:hAnsi="Times New Roman" w:cs="Times New Roman"/>
      <w:sz w:val="24"/>
      <w:szCs w:val="22"/>
      <w:lang w:eastAsia="en-US"/>
    </w:rPr>
  </w:style>
  <w:style w:type="paragraph" w:customStyle="1" w:styleId="HeaderLandscape">
    <w:name w:val="HeaderLandscape"/>
    <w:basedOn w:val="Normal"/>
    <w:rsid w:val="00274D34"/>
    <w:pPr>
      <w:tabs>
        <w:tab w:val="center" w:pos="7285"/>
        <w:tab w:val="right" w:pos="14003"/>
      </w:tabs>
      <w:jc w:val="both"/>
    </w:pPr>
    <w:rPr>
      <w:rFonts w:ascii="Times New Roman" w:eastAsiaTheme="minorHAnsi" w:hAnsi="Times New Roman" w:cs="Times New Roman"/>
      <w:sz w:val="24"/>
      <w:szCs w:val="22"/>
      <w:lang w:eastAsia="en-US"/>
    </w:rPr>
  </w:style>
  <w:style w:type="paragraph" w:customStyle="1" w:styleId="HeaderSensitivity">
    <w:name w:val="Header Sensitivity"/>
    <w:basedOn w:val="Normal"/>
    <w:rsid w:val="00274D34"/>
    <w:pPr>
      <w:pBdr>
        <w:top w:val="single" w:sz="4" w:space="1" w:color="auto"/>
        <w:left w:val="single" w:sz="4" w:space="4" w:color="auto"/>
        <w:bottom w:val="single" w:sz="4" w:space="1" w:color="auto"/>
        <w:right w:val="single" w:sz="4" w:space="4" w:color="auto"/>
      </w:pBdr>
      <w:ind w:left="113" w:right="113"/>
      <w:jc w:val="center"/>
    </w:pPr>
    <w:rPr>
      <w:rFonts w:ascii="Times New Roman" w:hAnsi="Times New Roman" w:cs="Times New Roman"/>
      <w:b/>
      <w:sz w:val="32"/>
    </w:rPr>
  </w:style>
  <w:style w:type="paragraph" w:customStyle="1" w:styleId="HeaderSensitivityRight">
    <w:name w:val="Header Sensitivity Right"/>
    <w:basedOn w:val="Normal"/>
    <w:rsid w:val="00706366"/>
    <w:pPr>
      <w:jc w:val="right"/>
    </w:pPr>
    <w:rPr>
      <w:rFonts w:ascii="Times New Roman" w:hAnsi="Times New Roman" w:cs="Times New Roman"/>
      <w:sz w:val="28"/>
    </w:rPr>
  </w:style>
  <w:style w:type="paragraph" w:customStyle="1" w:styleId="FooterLandscape">
    <w:name w:val="FooterLandscape"/>
    <w:basedOn w:val="Normal"/>
    <w:rsid w:val="00274D34"/>
    <w:pPr>
      <w:tabs>
        <w:tab w:val="center" w:pos="7285"/>
        <w:tab w:val="center" w:pos="10913"/>
        <w:tab w:val="right" w:pos="15137"/>
      </w:tabs>
      <w:spacing w:before="360" w:after="0"/>
      <w:ind w:left="-567" w:right="-567"/>
    </w:pPr>
    <w:rPr>
      <w:rFonts w:ascii="Times New Roman" w:eastAsiaTheme="minorHAnsi" w:hAnsi="Times New Roman" w:cs="Times New Roman"/>
      <w:sz w:val="24"/>
      <w:szCs w:val="22"/>
      <w:lang w:eastAsia="en-US"/>
    </w:rPr>
  </w:style>
  <w:style w:type="paragraph" w:customStyle="1" w:styleId="FooterSensitivity">
    <w:name w:val="Footer Sensitivity"/>
    <w:basedOn w:val="Normal"/>
    <w:rsid w:val="00274D34"/>
    <w:pPr>
      <w:pBdr>
        <w:top w:val="single" w:sz="4" w:space="1" w:color="auto"/>
        <w:left w:val="single" w:sz="4" w:space="4" w:color="auto"/>
        <w:bottom w:val="single" w:sz="4" w:space="1" w:color="auto"/>
        <w:right w:val="single" w:sz="4" w:space="4" w:color="auto"/>
      </w:pBdr>
      <w:spacing w:before="360" w:after="0"/>
      <w:ind w:left="113" w:right="113"/>
      <w:jc w:val="center"/>
    </w:pPr>
    <w:rPr>
      <w:rFonts w:ascii="Times New Roman" w:hAnsi="Times New Roman" w:cs="Times New Roman"/>
      <w:b/>
      <w:sz w:val="32"/>
    </w:rPr>
  </w:style>
  <w:style w:type="paragraph" w:customStyle="1" w:styleId="Disclaimer">
    <w:name w:val="Disclaimer"/>
    <w:basedOn w:val="Normal"/>
    <w:rsid w:val="00274D34"/>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jc w:val="both"/>
    </w:pPr>
    <w:rPr>
      <w:rFonts w:ascii="Times New Roman" w:eastAsiaTheme="minorHAnsi" w:hAnsi="Times New Roman" w:cs="Times New Roman"/>
      <w:sz w:val="24"/>
      <w:szCs w:val="22"/>
      <w:lang w:eastAsia="en-US"/>
    </w:rPr>
  </w:style>
  <w:style w:type="paragraph" w:customStyle="1" w:styleId="SecurityMarking">
    <w:name w:val="SecurityMarking"/>
    <w:basedOn w:val="Normal"/>
    <w:rsid w:val="00706366"/>
    <w:pPr>
      <w:spacing w:after="0" w:line="276" w:lineRule="auto"/>
      <w:ind w:left="5103"/>
    </w:pPr>
    <w:rPr>
      <w:rFonts w:ascii="Times New Roman" w:eastAsiaTheme="minorHAnsi" w:hAnsi="Times New Roman" w:cs="Times New Roman"/>
      <w:sz w:val="28"/>
      <w:szCs w:val="22"/>
      <w:lang w:eastAsia="en-US"/>
    </w:rPr>
  </w:style>
  <w:style w:type="paragraph" w:customStyle="1" w:styleId="DateMarking">
    <w:name w:val="DateMarking"/>
    <w:basedOn w:val="Normal"/>
    <w:rsid w:val="00706366"/>
    <w:pPr>
      <w:spacing w:after="0" w:line="276" w:lineRule="auto"/>
      <w:ind w:left="5103"/>
    </w:pPr>
    <w:rPr>
      <w:rFonts w:ascii="Times New Roman" w:eastAsiaTheme="minorHAnsi" w:hAnsi="Times New Roman" w:cs="Times New Roman"/>
      <w:i/>
      <w:sz w:val="28"/>
      <w:szCs w:val="22"/>
      <w:lang w:eastAsia="en-US"/>
    </w:rPr>
  </w:style>
  <w:style w:type="paragraph" w:customStyle="1" w:styleId="ReleasableTo">
    <w:name w:val="ReleasableTo"/>
    <w:basedOn w:val="Normal"/>
    <w:rsid w:val="00706366"/>
    <w:pPr>
      <w:spacing w:after="0" w:line="276" w:lineRule="auto"/>
      <w:ind w:left="5103"/>
    </w:pPr>
    <w:rPr>
      <w:rFonts w:ascii="Times New Roman" w:eastAsiaTheme="minorHAnsi" w:hAnsi="Times New Roman" w:cs="Times New Roman"/>
      <w:i/>
      <w:sz w:val="28"/>
      <w:szCs w:val="22"/>
      <w:lang w:eastAsia="en-US"/>
    </w:rPr>
  </w:style>
  <w:style w:type="character" w:customStyle="1" w:styleId="UnresolvedMention1">
    <w:name w:val="Unresolved Mention1"/>
    <w:basedOn w:val="DefaultParagraphFont"/>
    <w:uiPriority w:val="99"/>
    <w:semiHidden/>
    <w:unhideWhenUsed/>
    <w:rsid w:val="00B74600"/>
    <w:rPr>
      <w:color w:val="605E5C"/>
      <w:shd w:val="clear" w:color="auto" w:fill="E1DFDD"/>
    </w:rPr>
  </w:style>
  <w:style w:type="character" w:customStyle="1" w:styleId="UnresolvedMention2">
    <w:name w:val="Unresolved Mention2"/>
    <w:basedOn w:val="DefaultParagraphFont"/>
    <w:uiPriority w:val="99"/>
    <w:semiHidden/>
    <w:unhideWhenUsed/>
    <w:rsid w:val="00C93B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576491">
      <w:bodyDiv w:val="1"/>
      <w:marLeft w:val="0"/>
      <w:marRight w:val="0"/>
      <w:marTop w:val="0"/>
      <w:marBottom w:val="0"/>
      <w:divBdr>
        <w:top w:val="none" w:sz="0" w:space="0" w:color="auto"/>
        <w:left w:val="none" w:sz="0" w:space="0" w:color="auto"/>
        <w:bottom w:val="none" w:sz="0" w:space="0" w:color="auto"/>
        <w:right w:val="none" w:sz="0" w:space="0" w:color="auto"/>
      </w:divBdr>
    </w:div>
    <w:div w:id="436944370">
      <w:bodyDiv w:val="1"/>
      <w:marLeft w:val="0"/>
      <w:marRight w:val="0"/>
      <w:marTop w:val="0"/>
      <w:marBottom w:val="0"/>
      <w:divBdr>
        <w:top w:val="none" w:sz="0" w:space="0" w:color="auto"/>
        <w:left w:val="none" w:sz="0" w:space="0" w:color="auto"/>
        <w:bottom w:val="none" w:sz="0" w:space="0" w:color="auto"/>
        <w:right w:val="none" w:sz="0" w:space="0" w:color="auto"/>
      </w:divBdr>
    </w:div>
    <w:div w:id="605038106">
      <w:bodyDiv w:val="1"/>
      <w:marLeft w:val="0"/>
      <w:marRight w:val="0"/>
      <w:marTop w:val="0"/>
      <w:marBottom w:val="0"/>
      <w:divBdr>
        <w:top w:val="none" w:sz="0" w:space="0" w:color="auto"/>
        <w:left w:val="none" w:sz="0" w:space="0" w:color="auto"/>
        <w:bottom w:val="none" w:sz="0" w:space="0" w:color="auto"/>
        <w:right w:val="none" w:sz="0" w:space="0" w:color="auto"/>
      </w:divBdr>
    </w:div>
    <w:div w:id="640689684">
      <w:bodyDiv w:val="1"/>
      <w:marLeft w:val="0"/>
      <w:marRight w:val="0"/>
      <w:marTop w:val="0"/>
      <w:marBottom w:val="0"/>
      <w:divBdr>
        <w:top w:val="none" w:sz="0" w:space="0" w:color="auto"/>
        <w:left w:val="none" w:sz="0" w:space="0" w:color="auto"/>
        <w:bottom w:val="none" w:sz="0" w:space="0" w:color="auto"/>
        <w:right w:val="none" w:sz="0" w:space="0" w:color="auto"/>
      </w:divBdr>
    </w:div>
    <w:div w:id="662397485">
      <w:bodyDiv w:val="1"/>
      <w:marLeft w:val="0"/>
      <w:marRight w:val="0"/>
      <w:marTop w:val="0"/>
      <w:marBottom w:val="0"/>
      <w:divBdr>
        <w:top w:val="none" w:sz="0" w:space="0" w:color="auto"/>
        <w:left w:val="none" w:sz="0" w:space="0" w:color="auto"/>
        <w:bottom w:val="none" w:sz="0" w:space="0" w:color="auto"/>
        <w:right w:val="none" w:sz="0" w:space="0" w:color="auto"/>
      </w:divBdr>
    </w:div>
    <w:div w:id="814957810">
      <w:bodyDiv w:val="1"/>
      <w:marLeft w:val="0"/>
      <w:marRight w:val="0"/>
      <w:marTop w:val="0"/>
      <w:marBottom w:val="0"/>
      <w:divBdr>
        <w:top w:val="none" w:sz="0" w:space="0" w:color="auto"/>
        <w:left w:val="none" w:sz="0" w:space="0" w:color="auto"/>
        <w:bottom w:val="none" w:sz="0" w:space="0" w:color="auto"/>
        <w:right w:val="none" w:sz="0" w:space="0" w:color="auto"/>
      </w:divBdr>
    </w:div>
    <w:div w:id="852457057">
      <w:bodyDiv w:val="1"/>
      <w:marLeft w:val="0"/>
      <w:marRight w:val="0"/>
      <w:marTop w:val="0"/>
      <w:marBottom w:val="0"/>
      <w:divBdr>
        <w:top w:val="none" w:sz="0" w:space="0" w:color="auto"/>
        <w:left w:val="none" w:sz="0" w:space="0" w:color="auto"/>
        <w:bottom w:val="none" w:sz="0" w:space="0" w:color="auto"/>
        <w:right w:val="none" w:sz="0" w:space="0" w:color="auto"/>
      </w:divBdr>
    </w:div>
    <w:div w:id="937715902">
      <w:bodyDiv w:val="1"/>
      <w:marLeft w:val="0"/>
      <w:marRight w:val="0"/>
      <w:marTop w:val="0"/>
      <w:marBottom w:val="0"/>
      <w:divBdr>
        <w:top w:val="none" w:sz="0" w:space="0" w:color="auto"/>
        <w:left w:val="none" w:sz="0" w:space="0" w:color="auto"/>
        <w:bottom w:val="none" w:sz="0" w:space="0" w:color="auto"/>
        <w:right w:val="none" w:sz="0" w:space="0" w:color="auto"/>
      </w:divBdr>
    </w:div>
    <w:div w:id="976498224">
      <w:bodyDiv w:val="1"/>
      <w:marLeft w:val="0"/>
      <w:marRight w:val="0"/>
      <w:marTop w:val="0"/>
      <w:marBottom w:val="0"/>
      <w:divBdr>
        <w:top w:val="none" w:sz="0" w:space="0" w:color="auto"/>
        <w:left w:val="none" w:sz="0" w:space="0" w:color="auto"/>
        <w:bottom w:val="none" w:sz="0" w:space="0" w:color="auto"/>
        <w:right w:val="none" w:sz="0" w:space="0" w:color="auto"/>
      </w:divBdr>
    </w:div>
    <w:div w:id="1193766090">
      <w:bodyDiv w:val="1"/>
      <w:marLeft w:val="0"/>
      <w:marRight w:val="0"/>
      <w:marTop w:val="0"/>
      <w:marBottom w:val="0"/>
      <w:divBdr>
        <w:top w:val="none" w:sz="0" w:space="0" w:color="auto"/>
        <w:left w:val="none" w:sz="0" w:space="0" w:color="auto"/>
        <w:bottom w:val="none" w:sz="0" w:space="0" w:color="auto"/>
        <w:right w:val="none" w:sz="0" w:space="0" w:color="auto"/>
      </w:divBdr>
    </w:div>
    <w:div w:id="1221405828">
      <w:bodyDiv w:val="1"/>
      <w:marLeft w:val="0"/>
      <w:marRight w:val="0"/>
      <w:marTop w:val="0"/>
      <w:marBottom w:val="0"/>
      <w:divBdr>
        <w:top w:val="none" w:sz="0" w:space="0" w:color="auto"/>
        <w:left w:val="none" w:sz="0" w:space="0" w:color="auto"/>
        <w:bottom w:val="none" w:sz="0" w:space="0" w:color="auto"/>
        <w:right w:val="none" w:sz="0" w:space="0" w:color="auto"/>
      </w:divBdr>
    </w:div>
    <w:div w:id="1259944273">
      <w:bodyDiv w:val="1"/>
      <w:marLeft w:val="0"/>
      <w:marRight w:val="0"/>
      <w:marTop w:val="0"/>
      <w:marBottom w:val="0"/>
      <w:divBdr>
        <w:top w:val="none" w:sz="0" w:space="0" w:color="auto"/>
        <w:left w:val="none" w:sz="0" w:space="0" w:color="auto"/>
        <w:bottom w:val="none" w:sz="0" w:space="0" w:color="auto"/>
        <w:right w:val="none" w:sz="0" w:space="0" w:color="auto"/>
      </w:divBdr>
    </w:div>
    <w:div w:id="1512455331">
      <w:bodyDiv w:val="1"/>
      <w:marLeft w:val="0"/>
      <w:marRight w:val="0"/>
      <w:marTop w:val="0"/>
      <w:marBottom w:val="0"/>
      <w:divBdr>
        <w:top w:val="none" w:sz="0" w:space="0" w:color="auto"/>
        <w:left w:val="none" w:sz="0" w:space="0" w:color="auto"/>
        <w:bottom w:val="none" w:sz="0" w:space="0" w:color="auto"/>
        <w:right w:val="none" w:sz="0" w:space="0" w:color="auto"/>
      </w:divBdr>
    </w:div>
    <w:div w:id="1599176383">
      <w:bodyDiv w:val="1"/>
      <w:marLeft w:val="0"/>
      <w:marRight w:val="0"/>
      <w:marTop w:val="0"/>
      <w:marBottom w:val="0"/>
      <w:divBdr>
        <w:top w:val="none" w:sz="0" w:space="0" w:color="auto"/>
        <w:left w:val="none" w:sz="0" w:space="0" w:color="auto"/>
        <w:bottom w:val="none" w:sz="0" w:space="0" w:color="auto"/>
        <w:right w:val="none" w:sz="0" w:space="0" w:color="auto"/>
      </w:divBdr>
    </w:div>
    <w:div w:id="1737556785">
      <w:bodyDiv w:val="1"/>
      <w:marLeft w:val="0"/>
      <w:marRight w:val="0"/>
      <w:marTop w:val="0"/>
      <w:marBottom w:val="0"/>
      <w:divBdr>
        <w:top w:val="none" w:sz="0" w:space="0" w:color="auto"/>
        <w:left w:val="none" w:sz="0" w:space="0" w:color="auto"/>
        <w:bottom w:val="none" w:sz="0" w:space="0" w:color="auto"/>
        <w:right w:val="none" w:sz="0" w:space="0" w:color="auto"/>
      </w:divBdr>
    </w:div>
    <w:div w:id="1895656447">
      <w:bodyDiv w:val="1"/>
      <w:marLeft w:val="0"/>
      <w:marRight w:val="0"/>
      <w:marTop w:val="0"/>
      <w:marBottom w:val="0"/>
      <w:divBdr>
        <w:top w:val="none" w:sz="0" w:space="0" w:color="auto"/>
        <w:left w:val="none" w:sz="0" w:space="0" w:color="auto"/>
        <w:bottom w:val="none" w:sz="0" w:space="0" w:color="auto"/>
        <w:right w:val="none" w:sz="0" w:space="0" w:color="auto"/>
      </w:divBdr>
    </w:div>
    <w:div w:id="1955672307">
      <w:bodyDiv w:val="1"/>
      <w:marLeft w:val="0"/>
      <w:marRight w:val="0"/>
      <w:marTop w:val="0"/>
      <w:marBottom w:val="0"/>
      <w:divBdr>
        <w:top w:val="none" w:sz="0" w:space="0" w:color="auto"/>
        <w:left w:val="none" w:sz="0" w:space="0" w:color="auto"/>
        <w:bottom w:val="none" w:sz="0" w:space="0" w:color="auto"/>
        <w:right w:val="none" w:sz="0" w:space="0" w:color="auto"/>
      </w:divBdr>
    </w:div>
    <w:div w:id="2029091440">
      <w:bodyDiv w:val="1"/>
      <w:marLeft w:val="0"/>
      <w:marRight w:val="0"/>
      <w:marTop w:val="0"/>
      <w:marBottom w:val="0"/>
      <w:divBdr>
        <w:top w:val="none" w:sz="0" w:space="0" w:color="auto"/>
        <w:left w:val="none" w:sz="0" w:space="0" w:color="auto"/>
        <w:bottom w:val="none" w:sz="0" w:space="0" w:color="auto"/>
        <w:right w:val="none" w:sz="0" w:space="0" w:color="auto"/>
      </w:divBdr>
    </w:div>
    <w:div w:id="210580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E41F8-D30B-40FC-8F70-B6C21B8B4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4450</Words>
  <Characters>23500</Characters>
  <Application>Microsoft Office Word</Application>
  <DocSecurity>0</DocSecurity>
  <Lines>427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27827</CharactersWithSpaces>
  <SharedDoc>false</SharedDoc>
  <HLinks>
    <vt:vector size="198" baseType="variant">
      <vt:variant>
        <vt:i4>3604575</vt:i4>
      </vt:variant>
      <vt:variant>
        <vt:i4>204</vt:i4>
      </vt:variant>
      <vt:variant>
        <vt:i4>0</vt:i4>
      </vt:variant>
      <vt:variant>
        <vt:i4>5</vt:i4>
      </vt:variant>
      <vt:variant>
        <vt:lpwstr>mailto:JUST-CRIMINAL-RECORD@ec.europa.eu</vt:lpwstr>
      </vt:variant>
      <vt:variant>
        <vt:lpwstr/>
      </vt:variant>
      <vt:variant>
        <vt:i4>786523</vt:i4>
      </vt:variant>
      <vt:variant>
        <vt:i4>201</vt:i4>
      </vt:variant>
      <vt:variant>
        <vt:i4>0</vt:i4>
      </vt:variant>
      <vt:variant>
        <vt:i4>5</vt:i4>
      </vt:variant>
      <vt:variant>
        <vt:lpwstr>http://www.statistics.be/</vt:lpwstr>
      </vt:variant>
      <vt:variant>
        <vt:lpwstr/>
      </vt:variant>
      <vt:variant>
        <vt:i4>1376314</vt:i4>
      </vt:variant>
      <vt:variant>
        <vt:i4>191</vt:i4>
      </vt:variant>
      <vt:variant>
        <vt:i4>0</vt:i4>
      </vt:variant>
      <vt:variant>
        <vt:i4>5</vt:i4>
      </vt:variant>
      <vt:variant>
        <vt:lpwstr/>
      </vt:variant>
      <vt:variant>
        <vt:lpwstr>_Toc366161943</vt:lpwstr>
      </vt:variant>
      <vt:variant>
        <vt:i4>1376314</vt:i4>
      </vt:variant>
      <vt:variant>
        <vt:i4>185</vt:i4>
      </vt:variant>
      <vt:variant>
        <vt:i4>0</vt:i4>
      </vt:variant>
      <vt:variant>
        <vt:i4>5</vt:i4>
      </vt:variant>
      <vt:variant>
        <vt:lpwstr/>
      </vt:variant>
      <vt:variant>
        <vt:lpwstr>_Toc366161943</vt:lpwstr>
      </vt:variant>
      <vt:variant>
        <vt:i4>1376314</vt:i4>
      </vt:variant>
      <vt:variant>
        <vt:i4>179</vt:i4>
      </vt:variant>
      <vt:variant>
        <vt:i4>0</vt:i4>
      </vt:variant>
      <vt:variant>
        <vt:i4>5</vt:i4>
      </vt:variant>
      <vt:variant>
        <vt:lpwstr/>
      </vt:variant>
      <vt:variant>
        <vt:lpwstr>_Toc366161942</vt:lpwstr>
      </vt:variant>
      <vt:variant>
        <vt:i4>1376314</vt:i4>
      </vt:variant>
      <vt:variant>
        <vt:i4>173</vt:i4>
      </vt:variant>
      <vt:variant>
        <vt:i4>0</vt:i4>
      </vt:variant>
      <vt:variant>
        <vt:i4>5</vt:i4>
      </vt:variant>
      <vt:variant>
        <vt:lpwstr/>
      </vt:variant>
      <vt:variant>
        <vt:lpwstr>_Toc366161941</vt:lpwstr>
      </vt:variant>
      <vt:variant>
        <vt:i4>1376314</vt:i4>
      </vt:variant>
      <vt:variant>
        <vt:i4>167</vt:i4>
      </vt:variant>
      <vt:variant>
        <vt:i4>0</vt:i4>
      </vt:variant>
      <vt:variant>
        <vt:i4>5</vt:i4>
      </vt:variant>
      <vt:variant>
        <vt:lpwstr/>
      </vt:variant>
      <vt:variant>
        <vt:lpwstr>_Toc366161940</vt:lpwstr>
      </vt:variant>
      <vt:variant>
        <vt:i4>1179706</vt:i4>
      </vt:variant>
      <vt:variant>
        <vt:i4>161</vt:i4>
      </vt:variant>
      <vt:variant>
        <vt:i4>0</vt:i4>
      </vt:variant>
      <vt:variant>
        <vt:i4>5</vt:i4>
      </vt:variant>
      <vt:variant>
        <vt:lpwstr/>
      </vt:variant>
      <vt:variant>
        <vt:lpwstr>_Toc366161939</vt:lpwstr>
      </vt:variant>
      <vt:variant>
        <vt:i4>1179706</vt:i4>
      </vt:variant>
      <vt:variant>
        <vt:i4>155</vt:i4>
      </vt:variant>
      <vt:variant>
        <vt:i4>0</vt:i4>
      </vt:variant>
      <vt:variant>
        <vt:i4>5</vt:i4>
      </vt:variant>
      <vt:variant>
        <vt:lpwstr/>
      </vt:variant>
      <vt:variant>
        <vt:lpwstr>_Toc366161938</vt:lpwstr>
      </vt:variant>
      <vt:variant>
        <vt:i4>1179706</vt:i4>
      </vt:variant>
      <vt:variant>
        <vt:i4>149</vt:i4>
      </vt:variant>
      <vt:variant>
        <vt:i4>0</vt:i4>
      </vt:variant>
      <vt:variant>
        <vt:i4>5</vt:i4>
      </vt:variant>
      <vt:variant>
        <vt:lpwstr/>
      </vt:variant>
      <vt:variant>
        <vt:lpwstr>_Toc366161937</vt:lpwstr>
      </vt:variant>
      <vt:variant>
        <vt:i4>1179706</vt:i4>
      </vt:variant>
      <vt:variant>
        <vt:i4>143</vt:i4>
      </vt:variant>
      <vt:variant>
        <vt:i4>0</vt:i4>
      </vt:variant>
      <vt:variant>
        <vt:i4>5</vt:i4>
      </vt:variant>
      <vt:variant>
        <vt:lpwstr/>
      </vt:variant>
      <vt:variant>
        <vt:lpwstr>_Toc366161936</vt:lpwstr>
      </vt:variant>
      <vt:variant>
        <vt:i4>1179706</vt:i4>
      </vt:variant>
      <vt:variant>
        <vt:i4>137</vt:i4>
      </vt:variant>
      <vt:variant>
        <vt:i4>0</vt:i4>
      </vt:variant>
      <vt:variant>
        <vt:i4>5</vt:i4>
      </vt:variant>
      <vt:variant>
        <vt:lpwstr/>
      </vt:variant>
      <vt:variant>
        <vt:lpwstr>_Toc366161935</vt:lpwstr>
      </vt:variant>
      <vt:variant>
        <vt:i4>1179706</vt:i4>
      </vt:variant>
      <vt:variant>
        <vt:i4>131</vt:i4>
      </vt:variant>
      <vt:variant>
        <vt:i4>0</vt:i4>
      </vt:variant>
      <vt:variant>
        <vt:i4>5</vt:i4>
      </vt:variant>
      <vt:variant>
        <vt:lpwstr/>
      </vt:variant>
      <vt:variant>
        <vt:lpwstr>_Toc366161934</vt:lpwstr>
      </vt:variant>
      <vt:variant>
        <vt:i4>1179706</vt:i4>
      </vt:variant>
      <vt:variant>
        <vt:i4>125</vt:i4>
      </vt:variant>
      <vt:variant>
        <vt:i4>0</vt:i4>
      </vt:variant>
      <vt:variant>
        <vt:i4>5</vt:i4>
      </vt:variant>
      <vt:variant>
        <vt:lpwstr/>
      </vt:variant>
      <vt:variant>
        <vt:lpwstr>_Toc366161933</vt:lpwstr>
      </vt:variant>
      <vt:variant>
        <vt:i4>1179706</vt:i4>
      </vt:variant>
      <vt:variant>
        <vt:i4>119</vt:i4>
      </vt:variant>
      <vt:variant>
        <vt:i4>0</vt:i4>
      </vt:variant>
      <vt:variant>
        <vt:i4>5</vt:i4>
      </vt:variant>
      <vt:variant>
        <vt:lpwstr/>
      </vt:variant>
      <vt:variant>
        <vt:lpwstr>_Toc366161932</vt:lpwstr>
      </vt:variant>
      <vt:variant>
        <vt:i4>1179706</vt:i4>
      </vt:variant>
      <vt:variant>
        <vt:i4>113</vt:i4>
      </vt:variant>
      <vt:variant>
        <vt:i4>0</vt:i4>
      </vt:variant>
      <vt:variant>
        <vt:i4>5</vt:i4>
      </vt:variant>
      <vt:variant>
        <vt:lpwstr/>
      </vt:variant>
      <vt:variant>
        <vt:lpwstr>_Toc366161931</vt:lpwstr>
      </vt:variant>
      <vt:variant>
        <vt:i4>1179706</vt:i4>
      </vt:variant>
      <vt:variant>
        <vt:i4>107</vt:i4>
      </vt:variant>
      <vt:variant>
        <vt:i4>0</vt:i4>
      </vt:variant>
      <vt:variant>
        <vt:i4>5</vt:i4>
      </vt:variant>
      <vt:variant>
        <vt:lpwstr/>
      </vt:variant>
      <vt:variant>
        <vt:lpwstr>_Toc366161930</vt:lpwstr>
      </vt:variant>
      <vt:variant>
        <vt:i4>1245242</vt:i4>
      </vt:variant>
      <vt:variant>
        <vt:i4>101</vt:i4>
      </vt:variant>
      <vt:variant>
        <vt:i4>0</vt:i4>
      </vt:variant>
      <vt:variant>
        <vt:i4>5</vt:i4>
      </vt:variant>
      <vt:variant>
        <vt:lpwstr/>
      </vt:variant>
      <vt:variant>
        <vt:lpwstr>_Toc366161929</vt:lpwstr>
      </vt:variant>
      <vt:variant>
        <vt:i4>1245242</vt:i4>
      </vt:variant>
      <vt:variant>
        <vt:i4>95</vt:i4>
      </vt:variant>
      <vt:variant>
        <vt:i4>0</vt:i4>
      </vt:variant>
      <vt:variant>
        <vt:i4>5</vt:i4>
      </vt:variant>
      <vt:variant>
        <vt:lpwstr/>
      </vt:variant>
      <vt:variant>
        <vt:lpwstr>_Toc366161928</vt:lpwstr>
      </vt:variant>
      <vt:variant>
        <vt:i4>1245242</vt:i4>
      </vt:variant>
      <vt:variant>
        <vt:i4>89</vt:i4>
      </vt:variant>
      <vt:variant>
        <vt:i4>0</vt:i4>
      </vt:variant>
      <vt:variant>
        <vt:i4>5</vt:i4>
      </vt:variant>
      <vt:variant>
        <vt:lpwstr/>
      </vt:variant>
      <vt:variant>
        <vt:lpwstr>_Toc366161927</vt:lpwstr>
      </vt:variant>
      <vt:variant>
        <vt:i4>1245242</vt:i4>
      </vt:variant>
      <vt:variant>
        <vt:i4>83</vt:i4>
      </vt:variant>
      <vt:variant>
        <vt:i4>0</vt:i4>
      </vt:variant>
      <vt:variant>
        <vt:i4>5</vt:i4>
      </vt:variant>
      <vt:variant>
        <vt:lpwstr/>
      </vt:variant>
      <vt:variant>
        <vt:lpwstr>_Toc366161926</vt:lpwstr>
      </vt:variant>
      <vt:variant>
        <vt:i4>1245242</vt:i4>
      </vt:variant>
      <vt:variant>
        <vt:i4>77</vt:i4>
      </vt:variant>
      <vt:variant>
        <vt:i4>0</vt:i4>
      </vt:variant>
      <vt:variant>
        <vt:i4>5</vt:i4>
      </vt:variant>
      <vt:variant>
        <vt:lpwstr/>
      </vt:variant>
      <vt:variant>
        <vt:lpwstr>_Toc366161925</vt:lpwstr>
      </vt:variant>
      <vt:variant>
        <vt:i4>1245242</vt:i4>
      </vt:variant>
      <vt:variant>
        <vt:i4>71</vt:i4>
      </vt:variant>
      <vt:variant>
        <vt:i4>0</vt:i4>
      </vt:variant>
      <vt:variant>
        <vt:i4>5</vt:i4>
      </vt:variant>
      <vt:variant>
        <vt:lpwstr/>
      </vt:variant>
      <vt:variant>
        <vt:lpwstr>_Toc366161924</vt:lpwstr>
      </vt:variant>
      <vt:variant>
        <vt:i4>1245242</vt:i4>
      </vt:variant>
      <vt:variant>
        <vt:i4>65</vt:i4>
      </vt:variant>
      <vt:variant>
        <vt:i4>0</vt:i4>
      </vt:variant>
      <vt:variant>
        <vt:i4>5</vt:i4>
      </vt:variant>
      <vt:variant>
        <vt:lpwstr/>
      </vt:variant>
      <vt:variant>
        <vt:lpwstr>_Toc366161923</vt:lpwstr>
      </vt:variant>
      <vt:variant>
        <vt:i4>1245242</vt:i4>
      </vt:variant>
      <vt:variant>
        <vt:i4>59</vt:i4>
      </vt:variant>
      <vt:variant>
        <vt:i4>0</vt:i4>
      </vt:variant>
      <vt:variant>
        <vt:i4>5</vt:i4>
      </vt:variant>
      <vt:variant>
        <vt:lpwstr/>
      </vt:variant>
      <vt:variant>
        <vt:lpwstr>_Toc366161922</vt:lpwstr>
      </vt:variant>
      <vt:variant>
        <vt:i4>1245242</vt:i4>
      </vt:variant>
      <vt:variant>
        <vt:i4>53</vt:i4>
      </vt:variant>
      <vt:variant>
        <vt:i4>0</vt:i4>
      </vt:variant>
      <vt:variant>
        <vt:i4>5</vt:i4>
      </vt:variant>
      <vt:variant>
        <vt:lpwstr/>
      </vt:variant>
      <vt:variant>
        <vt:lpwstr>_Toc366161921</vt:lpwstr>
      </vt:variant>
      <vt:variant>
        <vt:i4>1245242</vt:i4>
      </vt:variant>
      <vt:variant>
        <vt:i4>47</vt:i4>
      </vt:variant>
      <vt:variant>
        <vt:i4>0</vt:i4>
      </vt:variant>
      <vt:variant>
        <vt:i4>5</vt:i4>
      </vt:variant>
      <vt:variant>
        <vt:lpwstr/>
      </vt:variant>
      <vt:variant>
        <vt:lpwstr>_Toc366161920</vt:lpwstr>
      </vt:variant>
      <vt:variant>
        <vt:i4>1048634</vt:i4>
      </vt:variant>
      <vt:variant>
        <vt:i4>41</vt:i4>
      </vt:variant>
      <vt:variant>
        <vt:i4>0</vt:i4>
      </vt:variant>
      <vt:variant>
        <vt:i4>5</vt:i4>
      </vt:variant>
      <vt:variant>
        <vt:lpwstr/>
      </vt:variant>
      <vt:variant>
        <vt:lpwstr>_Toc366161919</vt:lpwstr>
      </vt:variant>
      <vt:variant>
        <vt:i4>1048634</vt:i4>
      </vt:variant>
      <vt:variant>
        <vt:i4>35</vt:i4>
      </vt:variant>
      <vt:variant>
        <vt:i4>0</vt:i4>
      </vt:variant>
      <vt:variant>
        <vt:i4>5</vt:i4>
      </vt:variant>
      <vt:variant>
        <vt:lpwstr/>
      </vt:variant>
      <vt:variant>
        <vt:lpwstr>_Toc366161918</vt:lpwstr>
      </vt:variant>
      <vt:variant>
        <vt:i4>1048634</vt:i4>
      </vt:variant>
      <vt:variant>
        <vt:i4>29</vt:i4>
      </vt:variant>
      <vt:variant>
        <vt:i4>0</vt:i4>
      </vt:variant>
      <vt:variant>
        <vt:i4>5</vt:i4>
      </vt:variant>
      <vt:variant>
        <vt:lpwstr/>
      </vt:variant>
      <vt:variant>
        <vt:lpwstr>_Toc366161917</vt:lpwstr>
      </vt:variant>
      <vt:variant>
        <vt:i4>1048634</vt:i4>
      </vt:variant>
      <vt:variant>
        <vt:i4>23</vt:i4>
      </vt:variant>
      <vt:variant>
        <vt:i4>0</vt:i4>
      </vt:variant>
      <vt:variant>
        <vt:i4>5</vt:i4>
      </vt:variant>
      <vt:variant>
        <vt:lpwstr/>
      </vt:variant>
      <vt:variant>
        <vt:lpwstr>_Toc366161916</vt:lpwstr>
      </vt:variant>
      <vt:variant>
        <vt:i4>1048634</vt:i4>
      </vt:variant>
      <vt:variant>
        <vt:i4>17</vt:i4>
      </vt:variant>
      <vt:variant>
        <vt:i4>0</vt:i4>
      </vt:variant>
      <vt:variant>
        <vt:i4>5</vt:i4>
      </vt:variant>
      <vt:variant>
        <vt:lpwstr/>
      </vt:variant>
      <vt:variant>
        <vt:lpwstr>_Toc366161915</vt:lpwstr>
      </vt:variant>
      <vt:variant>
        <vt:i4>1048634</vt:i4>
      </vt:variant>
      <vt:variant>
        <vt:i4>11</vt:i4>
      </vt:variant>
      <vt:variant>
        <vt:i4>0</vt:i4>
      </vt:variant>
      <vt:variant>
        <vt:i4>5</vt:i4>
      </vt:variant>
      <vt:variant>
        <vt:lpwstr/>
      </vt:variant>
      <vt:variant>
        <vt:lpwstr>_Toc366161914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2021-01-11T06:27:00Z</dcterms:created>
  <dcterms:modified xsi:type="dcterms:W3CDTF">2021-01-11T06:27:00Z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 Build 20190717</vt:lpwstr>
  </property>
  <property fmtid="{D5CDD505-2E9C-101B-9397-08002B2CF9AE}" pid="4" name="DocStatus">
    <vt:lpwstr>Green</vt:lpwstr>
  </property>
  <property fmtid="{D5CDD505-2E9C-101B-9397-08002B2CF9AE}" pid="5" name="Part">
    <vt:lpwstr>1</vt:lpwstr>
  </property>
  <property fmtid="{D5CDD505-2E9C-101B-9397-08002B2CF9AE}" pid="6" name="Total parts">
    <vt:lpwstr>1</vt:lpwstr>
  </property>
  <property fmtid="{D5CDD505-2E9C-101B-9397-08002B2CF9AE}" pid="7" name="CPTemplateID">
    <vt:lpwstr>CP-006</vt:lpwstr>
  </property>
</Properties>
</file>