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31C08F68-CB10-45F5-91D9-E058D0F4C645" style="width:450.8pt;height:334.35pt">
            <v:imagedata r:id="rId9" o:title=""/>
          </v:shape>
        </w:pict>
      </w:r>
    </w:p>
    <w:bookmarkEnd w:id="0"/>
    <w:p>
      <w:pPr>
        <w:rPr>
          <w:rFonts w:eastAsiaTheme="minorHAnsi"/>
          <w:noProof/>
          <w:lang w:eastAsia="en-US"/>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pPr>
        <w:spacing w:after="0"/>
        <w:jc w:val="both"/>
        <w:rPr>
          <w:rFonts w:ascii="Times New Roman" w:hAnsi="Times New Roman" w:cs="Times New Roman"/>
          <w:b/>
          <w:noProof/>
          <w:sz w:val="24"/>
          <w:szCs w:val="24"/>
        </w:rPr>
      </w:pPr>
      <w:bookmarkStart w:id="1" w:name="_GoBack"/>
      <w:bookmarkEnd w:id="1"/>
      <w:r>
        <w:rPr>
          <w:rFonts w:ascii="Times New Roman" w:hAnsi="Times New Roman"/>
          <w:b/>
          <w:noProof/>
          <w:sz w:val="24"/>
          <w:szCs w:val="24"/>
        </w:rPr>
        <w:lastRenderedPageBreak/>
        <w:t>1. Wprowadzenie</w:t>
      </w:r>
    </w:p>
    <w:p>
      <w:pPr>
        <w:spacing w:after="0"/>
        <w:jc w:val="both"/>
        <w:rPr>
          <w:rFonts w:ascii="Times New Roman" w:hAnsi="Times New Roman" w:cs="Times New Roman"/>
          <w:b/>
          <w:noProof/>
          <w:sz w:val="24"/>
          <w:szCs w:val="24"/>
        </w:rPr>
      </w:pPr>
    </w:p>
    <w:p>
      <w:pPr>
        <w:jc w:val="both"/>
        <w:rPr>
          <w:rFonts w:ascii="Times New Roman" w:hAnsi="Times New Roman" w:cs="Times New Roman"/>
          <w:noProof/>
          <w:sz w:val="24"/>
          <w:szCs w:val="24"/>
        </w:rPr>
      </w:pPr>
      <w:r>
        <w:rPr>
          <w:rFonts w:ascii="Times New Roman" w:hAnsi="Times New Roman"/>
          <w:noProof/>
          <w:sz w:val="24"/>
          <w:szCs w:val="24"/>
        </w:rPr>
        <w:t>Celem europejskiego systemu przekazywania informacji z rejestrów karnych (ECRIS) jest poprawa bezpieczeństwa obywateli w ramach unijnej przestrzeni wolności, bezpieczeństwa i sprawiedliwości dzięki umożliwieniu skutecznej wymiany informacji pomiędzy państwami członkowskimi o poprzednich wyrokach skazujących wydanych przez sądy karne w UE. ECRIS uruchomiono w kwietniu 2012 r. Jest on regulowany decyzją ramową Rady 2009/315/WSiSW z dnia 26 lutego 2009 r. w sprawie organizacji wymiany informacji pochodzących z rejestru karnego pomiędzy państwami członkowskimi</w:t>
      </w:r>
      <w:r>
        <w:rPr>
          <w:rStyle w:val="FootnoteReference"/>
          <w:rFonts w:ascii="Times New Roman" w:hAnsi="Times New Roman" w:cs="Times New Roman"/>
          <w:noProof/>
          <w:sz w:val="24"/>
          <w:szCs w:val="24"/>
        </w:rPr>
        <w:footnoteReference w:id="2"/>
      </w:r>
      <w:r>
        <w:rPr>
          <w:rFonts w:ascii="Times New Roman" w:hAnsi="Times New Roman"/>
          <w:noProof/>
          <w:sz w:val="24"/>
          <w:szCs w:val="24"/>
        </w:rPr>
        <w:t xml:space="preserve"> oraz decyzją Rady 2009/316/WSiSW z dnia 6 kwietnia 2009 r. w sprawie ustanowienia europejskiego systemu przekazywania informacji z rejestrów karnych</w:t>
      </w:r>
      <w:r>
        <w:rPr>
          <w:rStyle w:val="FootnoteReference"/>
          <w:rFonts w:ascii="Times New Roman" w:hAnsi="Times New Roman" w:cs="Times New Roman"/>
          <w:noProof/>
          <w:sz w:val="24"/>
          <w:szCs w:val="24"/>
        </w:rPr>
        <w:footnoteReference w:id="3"/>
      </w:r>
      <w:r>
        <w:rPr>
          <w:rFonts w:ascii="Times New Roman" w:hAnsi="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noProof/>
          <w:sz w:val="24"/>
          <w:szCs w:val="24"/>
        </w:rPr>
        <w:t xml:space="preserve">W dniu 29 czerwca 2017 r. Komisja przyjęła swoje pierwsze sprawozdanie statystyczne zgodnie z art. 7 decyzji Rady 2009/316/WSiSW, które obejmowało okres od </w:t>
      </w:r>
      <w:r>
        <w:rPr>
          <w:rFonts w:ascii="Times New Roman" w:hAnsi="Times New Roman"/>
          <w:noProof/>
          <w:sz w:val="24"/>
        </w:rPr>
        <w:t>kwietnia 2012 r. do dnia 31 grudnia 2016 r.</w:t>
      </w:r>
      <w:r>
        <w:rPr>
          <w:rFonts w:ascii="Times New Roman" w:hAnsi="Times New Roman"/>
          <w:noProof/>
          <w:sz w:val="24"/>
          <w:szCs w:val="24"/>
          <w:vertAlign w:val="superscript"/>
        </w:rPr>
        <w:t xml:space="preserve"> </w:t>
      </w:r>
      <w:r>
        <w:rPr>
          <w:rFonts w:ascii="Times New Roman" w:hAnsi="Times New Roman" w:cs="Times New Roman"/>
          <w:noProof/>
          <w:sz w:val="24"/>
          <w:szCs w:val="24"/>
          <w:vertAlign w:val="superscript"/>
        </w:rPr>
        <w:footnoteReference w:id="4"/>
      </w:r>
      <w:r>
        <w:rPr>
          <w:rFonts w:ascii="Times New Roman" w:hAnsi="Times New Roman"/>
          <w:noProof/>
          <w:sz w:val="24"/>
          <w:szCs w:val="24"/>
        </w:rPr>
        <w:t xml:space="preserve"> </w:t>
      </w:r>
    </w:p>
    <w:p>
      <w:pPr>
        <w:jc w:val="both"/>
        <w:rPr>
          <w:rFonts w:ascii="Times New Roman" w:hAnsi="Times New Roman"/>
          <w:noProof/>
          <w:sz w:val="24"/>
        </w:rPr>
      </w:pPr>
      <w:r>
        <w:rPr>
          <w:rFonts w:ascii="Times New Roman" w:hAnsi="Times New Roman"/>
          <w:noProof/>
          <w:sz w:val="24"/>
          <w:szCs w:val="24"/>
        </w:rPr>
        <w:t xml:space="preserve">Niniejsze sprawozdanie jest drugim sprawozdaniem statystycznym Komisji dotyczącym wymiany informacji pochodzących z rejestrów karnych pomiędzy państwami członkowskimi za pośrednictwem systemu ECRIS. </w:t>
      </w:r>
      <w:r>
        <w:rPr>
          <w:rFonts w:ascii="Times New Roman" w:hAnsi="Times New Roman"/>
          <w:noProof/>
          <w:sz w:val="24"/>
        </w:rPr>
        <w:t>Celem sprawozdania jest przedstawienie zgodności wymian informacji prowadzonych przez państwa członkowskie z ramami prawnymi ECRIS oraz zidentyfikowanie wszelkich problemów ze sprawnością systemu, co ma służyć naprawie sytuacji. Komisja zastrzega sobie prawo podjęcia wszelkich stosownych działań, aby zapewnić wypełnianie przez państwa członkowskie tych zobowiązań prawnych określonych w decyzji ramowej 2009/315/WSiSW.</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bookmarkStart w:id="2" w:name="_Toc479267018"/>
      <w:r>
        <w:rPr>
          <w:rFonts w:ascii="Times New Roman" w:hAnsi="Times New Roman"/>
          <w:b/>
          <w:noProof/>
          <w:sz w:val="24"/>
          <w:szCs w:val="24"/>
        </w:rPr>
        <w:t>1.1. Dane statystyczne dotyczące systemu ECRIS</w:t>
      </w:r>
      <w:bookmarkEnd w:id="2"/>
      <w:r>
        <w:rPr>
          <w:rFonts w:ascii="Times New Roman" w:hAnsi="Times New Roman"/>
          <w:b/>
          <w:noProof/>
          <w:sz w:val="24"/>
          <w:szCs w:val="24"/>
        </w:rPr>
        <w:t xml:space="preserve"> </w:t>
      </w:r>
    </w:p>
    <w:p>
      <w:pPr>
        <w:jc w:val="both"/>
        <w:rPr>
          <w:rFonts w:ascii="Times New Roman" w:hAnsi="Times New Roman" w:cs="Times New Roman"/>
          <w:noProof/>
          <w:sz w:val="24"/>
          <w:szCs w:val="24"/>
        </w:rPr>
      </w:pPr>
      <w:r>
        <w:rPr>
          <w:rFonts w:ascii="Times New Roman" w:hAnsi="Times New Roman"/>
          <w:noProof/>
          <w:sz w:val="24"/>
          <w:szCs w:val="24"/>
        </w:rPr>
        <w:t xml:space="preserve">W niniejszym sprawozdaniu </w:t>
      </w:r>
      <w:r>
        <w:rPr>
          <w:rFonts w:ascii="Times New Roman" w:hAnsi="Times New Roman"/>
          <w:noProof/>
          <w:sz w:val="24"/>
        </w:rPr>
        <w:t xml:space="preserve">przedstawiono przegląd stosowania systemu ECRIS od </w:t>
      </w:r>
      <w:r>
        <w:rPr>
          <w:rFonts w:ascii="Times New Roman" w:hAnsi="Times New Roman"/>
          <w:b/>
          <w:noProof/>
          <w:sz w:val="24"/>
        </w:rPr>
        <w:t xml:space="preserve">dnia 1 stycznia 2017 r. do dnia 31 grudnia 2019 r. ze szczególnym uwzględnieniem roku </w:t>
      </w:r>
      <w:r>
        <w:rPr>
          <w:rFonts w:ascii="Times New Roman" w:hAnsi="Times New Roman"/>
          <w:b/>
          <w:noProof/>
          <w:sz w:val="24"/>
          <w:szCs w:val="24"/>
        </w:rPr>
        <w:t>2019</w:t>
      </w:r>
      <w:r>
        <w:rPr>
          <w:rFonts w:ascii="Times New Roman" w:hAnsi="Times New Roman"/>
          <w:noProof/>
          <w:sz w:val="24"/>
          <w:szCs w:val="24"/>
        </w:rPr>
        <w:t xml:space="preserve">. Towarzyszy mu dokument roboczy służb Komisji SWD/2020/378 (zwany dalej dokumentem roboczym służb Komisji). </w:t>
      </w:r>
      <w:r>
        <w:rPr>
          <w:rFonts w:ascii="Times New Roman" w:hAnsi="Times New Roman"/>
          <w:iCs/>
          <w:noProof/>
          <w:sz w:val="24"/>
          <w:szCs w:val="24"/>
        </w:rPr>
        <w:t>Choć większość tabeli i wykresów w sprawozdaniu dotyczy 2019 r., tabele i wykresy przedstawiające dane za rok 2017 i 2018 znajdują się w załączonym do sprawozdania dokumencie roboczym służb Komisji.</w:t>
      </w:r>
      <w:r>
        <w:rPr>
          <w:rFonts w:ascii="Calibri" w:hAnsi="Calibri"/>
          <w:i/>
          <w:iCs/>
          <w:noProof/>
          <w:sz w:val="22"/>
          <w:szCs w:val="22"/>
        </w:rPr>
        <w:t xml:space="preserve"> </w:t>
      </w:r>
      <w:r>
        <w:rPr>
          <w:rFonts w:ascii="Times New Roman" w:hAnsi="Times New Roman"/>
          <w:noProof/>
          <w:sz w:val="24"/>
          <w:szCs w:val="24"/>
        </w:rPr>
        <w:t>Niektóre dane statystyczne przedstawione w sprawozdaniu stanowią ogólny przegląd ośmioletniego okresu funkcjonowania systemu ECRIS od momentu jego uruchomienia w kwietniu 2012 r. Porównawcze dane statystyczne dotyczące wszystkich państw członkowskich oraz tabele statystyczne dotyczące poszczególnych państw członkowskich (przedstawione w sekcji 3 dokumentu roboczego służb Komisji) obejmują jednak wymianę danych za pośrednictwem systemu ECRIS w latach 2017–2019. W stosownych przypadkach jako punkt odniesienia wykorzystano dane statystyczne z 2016 r.</w:t>
      </w:r>
      <w:r>
        <w:rPr>
          <w:rFonts w:ascii="Times New Roman" w:hAnsi="Times New Roman"/>
          <w:noProof/>
          <w:sz w:val="24"/>
        </w:rPr>
        <w:t xml:space="preserve"> Sprawozdanie obejmuje również dane dotyczące Zjednoczonego Królestwa do 2019 r. jako państwa członkowskiego UE. </w:t>
      </w:r>
    </w:p>
    <w:p>
      <w:pPr>
        <w:jc w:val="both"/>
        <w:rPr>
          <w:rFonts w:ascii="Times New Roman" w:hAnsi="Times New Roman" w:cs="Times New Roman"/>
          <w:noProof/>
          <w:sz w:val="24"/>
          <w:szCs w:val="24"/>
        </w:rPr>
      </w:pPr>
      <w:r>
        <w:rPr>
          <w:rFonts w:ascii="Times New Roman" w:hAnsi="Times New Roman"/>
          <w:noProof/>
          <w:sz w:val="24"/>
          <w:szCs w:val="24"/>
        </w:rPr>
        <w:t>Sprawozdanie oparto na danych statystycznych generowanych automatycznie przez system i przesyłanych przez państwa członkowskie do Komisji. Ze zbioru 233 wskaźników statystycznych ustanowionych w odniesieniu do systemu ECRIS wybrano do publikacji tylko najbardziej istotne i znaczące informacje. Państwa członkowskie poproszono również o przekazanie informacji statystycznych na temat liczby wydanych na ich terytorium wyroków skazujących dotyczących obywateli innych państw członkowskich UE, aby umożliwić opracowanie przeglądu wdrażania procedury powiadamiania. Sprawozdanie obejmuje dane na temat wyroków skazujących otrzymane od 23 państw członkowskich</w:t>
      </w:r>
      <w:r>
        <w:rPr>
          <w:rStyle w:val="FootnoteReference"/>
          <w:rFonts w:ascii="Times New Roman" w:hAnsi="Times New Roman" w:cs="Times New Roman"/>
          <w:noProof/>
          <w:sz w:val="24"/>
          <w:szCs w:val="24"/>
        </w:rPr>
        <w:footnoteReference w:id="5"/>
      </w:r>
      <w:r>
        <w:rPr>
          <w:rFonts w:ascii="Times New Roman" w:hAnsi="Times New Roman"/>
          <w:noProof/>
          <w:sz w:val="24"/>
          <w:szCs w:val="24"/>
        </w:rPr>
        <w:t xml:space="preserve">. </w:t>
      </w:r>
    </w:p>
    <w:p>
      <w:pPr>
        <w:jc w:val="both"/>
        <w:rPr>
          <w:rFonts w:ascii="Times New Roman" w:hAnsi="Times New Roman" w:cs="Times New Roman"/>
          <w:noProof/>
          <w:sz w:val="24"/>
          <w:szCs w:val="24"/>
        </w:rPr>
      </w:pPr>
    </w:p>
    <w:p>
      <w:pPr>
        <w:jc w:val="both"/>
        <w:rPr>
          <w:rFonts w:ascii="Times New Roman" w:hAnsi="Times New Roman" w:cs="Times New Roman"/>
          <w:b/>
          <w:noProof/>
          <w:sz w:val="24"/>
          <w:szCs w:val="24"/>
        </w:rPr>
      </w:pPr>
      <w:r>
        <w:rPr>
          <w:rFonts w:ascii="Times New Roman" w:hAnsi="Times New Roman"/>
          <w:b/>
          <w:noProof/>
          <w:sz w:val="24"/>
          <w:szCs w:val="24"/>
        </w:rPr>
        <w:t>1.2. Ogólne zasady systemu ECRIS</w:t>
      </w:r>
    </w:p>
    <w:p>
      <w:pPr>
        <w:jc w:val="both"/>
        <w:rPr>
          <w:rFonts w:ascii="Times New Roman" w:hAnsi="Times New Roman" w:cs="Times New Roman"/>
          <w:noProof/>
          <w:sz w:val="24"/>
          <w:szCs w:val="24"/>
        </w:rPr>
      </w:pPr>
      <w:r>
        <w:rPr>
          <w:rFonts w:ascii="Times New Roman" w:hAnsi="Times New Roman"/>
          <w:noProof/>
          <w:sz w:val="24"/>
          <w:szCs w:val="24"/>
        </w:rPr>
        <w:t>ECRIS jest oparty na zdecentralizowanej strukturze informatycznej, w ramach której odbywa się wymiana informacji z rejestrów karnych drogą elektroniczną wyłącznie pomiędzy organami centralnymi państw członkowskich.</w:t>
      </w:r>
    </w:p>
    <w:p>
      <w:pPr>
        <w:jc w:val="both"/>
        <w:rPr>
          <w:rFonts w:ascii="Times New Roman" w:hAnsi="Times New Roman" w:cs="Times New Roman"/>
          <w:b/>
          <w:noProof/>
          <w:sz w:val="24"/>
          <w:szCs w:val="24"/>
        </w:rPr>
      </w:pPr>
      <w:r>
        <w:rPr>
          <w:rFonts w:ascii="Times New Roman" w:hAnsi="Times New Roman"/>
          <w:noProof/>
          <w:sz w:val="24"/>
          <w:szCs w:val="24"/>
        </w:rPr>
        <w:t>Każde państwo członkowskie, które skazało obywatela innego państwa członkowskiego, jest zobowiązane do jak najszybszego przekazania temu państwu członkowskiemu (zwanemu dalej państwem członkowskim obywatelstwa) za pośrednictwem systemu ECRIS wszystkich informacji dotyczących wyroku skazującego (</w:t>
      </w:r>
      <w:r>
        <w:rPr>
          <w:rFonts w:ascii="Times New Roman" w:hAnsi="Times New Roman"/>
          <w:b/>
          <w:noProof/>
          <w:sz w:val="24"/>
          <w:szCs w:val="24"/>
        </w:rPr>
        <w:t>powiadomień o nowych wyrokach skazujących</w:t>
      </w:r>
      <w:r>
        <w:rPr>
          <w:rFonts w:ascii="Times New Roman" w:hAnsi="Times New Roman"/>
          <w:noProof/>
          <w:sz w:val="24"/>
          <w:szCs w:val="24"/>
        </w:rPr>
        <w:t>) z późniejszymi aktualizacjami (</w:t>
      </w:r>
      <w:r>
        <w:rPr>
          <w:rFonts w:ascii="Times New Roman" w:hAnsi="Times New Roman"/>
          <w:b/>
          <w:noProof/>
          <w:sz w:val="24"/>
          <w:szCs w:val="24"/>
        </w:rPr>
        <w:t>powiadomieniami o aktualizacjach</w:t>
      </w:r>
      <w:r>
        <w:rPr>
          <w:rFonts w:ascii="Times New Roman" w:hAnsi="Times New Roman"/>
          <w:noProof/>
          <w:sz w:val="24"/>
          <w:szCs w:val="24"/>
        </w:rPr>
        <w:t>).</w:t>
      </w:r>
    </w:p>
    <w:p>
      <w:pPr>
        <w:jc w:val="both"/>
        <w:rPr>
          <w:rFonts w:ascii="Times New Roman" w:hAnsi="Times New Roman" w:cs="Times New Roman"/>
          <w:noProof/>
          <w:sz w:val="24"/>
          <w:szCs w:val="24"/>
        </w:rPr>
      </w:pPr>
      <w:r>
        <w:rPr>
          <w:rFonts w:ascii="Times New Roman" w:hAnsi="Times New Roman"/>
          <w:noProof/>
          <w:sz w:val="24"/>
          <w:szCs w:val="24"/>
        </w:rPr>
        <w:t>Dzięki temu, oprócz wyroków skazujących wydanych w samym państwie członkowskim obywatelstwa, państwo członkowskie obywatelstwa może prowadzić centralny rejestr wszystkich wyroków skazujących wydanych wobec jego obywateli przez sądy karne w innych państwach członkowskich UE. Państwo członkowskie obywatelstwa jest następnie zobowiązane do przechowywania i aktualizacji wszystkich informacji otrzymanych za pośrednictwem ECRIS oraz do przekazywania pełnych informacji z rejestru karnego (</w:t>
      </w:r>
      <w:r>
        <w:rPr>
          <w:rFonts w:ascii="Times New Roman" w:hAnsi="Times New Roman"/>
          <w:b/>
          <w:noProof/>
          <w:sz w:val="24"/>
          <w:szCs w:val="24"/>
        </w:rPr>
        <w:t>odpowiedzi na wnioski</w:t>
      </w:r>
      <w:r>
        <w:rPr>
          <w:rFonts w:ascii="Times New Roman" w:hAnsi="Times New Roman"/>
          <w:noProof/>
          <w:sz w:val="24"/>
          <w:szCs w:val="24"/>
        </w:rPr>
        <w:t>) na prośbę innego państwa członkowskiego (</w:t>
      </w:r>
      <w:r>
        <w:rPr>
          <w:rFonts w:ascii="Times New Roman" w:hAnsi="Times New Roman"/>
          <w:b/>
          <w:noProof/>
          <w:sz w:val="24"/>
          <w:szCs w:val="24"/>
        </w:rPr>
        <w:t>wnioski o udzielenie informacji</w:t>
      </w:r>
      <w:r>
        <w:rPr>
          <w:rFonts w:ascii="Times New Roman" w:hAnsi="Times New Roman"/>
          <w:noProof/>
          <w:sz w:val="24"/>
          <w:szCs w:val="24"/>
        </w:rPr>
        <w:t>) w </w:t>
      </w:r>
      <w:r>
        <w:rPr>
          <w:rFonts w:ascii="Times New Roman" w:hAnsi="Times New Roman"/>
          <w:b/>
          <w:noProof/>
          <w:sz w:val="24"/>
          <w:szCs w:val="24"/>
        </w:rPr>
        <w:t>krótkich terminach 10–20 dni</w:t>
      </w:r>
      <w:r>
        <w:rPr>
          <w:rStyle w:val="FootnoteReference"/>
          <w:rFonts w:ascii="Times New Roman" w:hAnsi="Times New Roman" w:cs="Times New Roman"/>
          <w:b/>
          <w:noProof/>
          <w:sz w:val="24"/>
          <w:szCs w:val="24"/>
        </w:rPr>
        <w:footnoteReference w:id="6"/>
      </w:r>
      <w:r>
        <w:rPr>
          <w:noProof/>
        </w:rPr>
        <w:t>.</w:t>
      </w:r>
    </w:p>
    <w:p>
      <w:pPr>
        <w:spacing w:after="0"/>
        <w:jc w:val="both"/>
        <w:rPr>
          <w:rFonts w:ascii="Times New Roman" w:hAnsi="Times New Roman" w:cs="Times New Roman"/>
          <w:noProof/>
          <w:sz w:val="24"/>
          <w:szCs w:val="24"/>
        </w:rPr>
      </w:pPr>
      <w:bookmarkStart w:id="3" w:name="_Hlk480363534"/>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p>
    <w:p>
      <w:pPr>
        <w:jc w:val="both"/>
        <w:rPr>
          <w:rFonts w:ascii="Times New Roman" w:hAnsi="Times New Roman" w:cs="Times New Roman"/>
          <w:b/>
          <w:noProof/>
          <w:sz w:val="24"/>
          <w:szCs w:val="24"/>
        </w:rPr>
      </w:pPr>
      <w:bookmarkStart w:id="4" w:name="_Toc479267019"/>
      <w:bookmarkEnd w:id="3"/>
      <w:r>
        <w:rPr>
          <w:rFonts w:ascii="Times New Roman" w:hAnsi="Times New Roman"/>
          <w:b/>
          <w:noProof/>
          <w:sz w:val="24"/>
          <w:szCs w:val="24"/>
        </w:rPr>
        <w:t>2. Wymiana informacji za pośrednictwem systemu ECRIS w liczbach</w:t>
      </w:r>
      <w:bookmarkStart w:id="5" w:name="_Ref366147146"/>
      <w:bookmarkStart w:id="6" w:name="_Toc479267020"/>
      <w:bookmarkEnd w:id="4"/>
    </w:p>
    <w:p>
      <w:pPr>
        <w:jc w:val="both"/>
        <w:rPr>
          <w:rFonts w:ascii="Times New Roman" w:hAnsi="Times New Roman" w:cs="Times New Roman"/>
          <w:bCs/>
          <w:smallCaps/>
          <w:noProof/>
          <w:sz w:val="24"/>
          <w:szCs w:val="24"/>
        </w:rPr>
      </w:pPr>
    </w:p>
    <w:p>
      <w:pPr>
        <w:jc w:val="both"/>
        <w:rPr>
          <w:rFonts w:ascii="Times New Roman" w:hAnsi="Times New Roman" w:cs="Times New Roman"/>
          <w:b/>
          <w:noProof/>
          <w:sz w:val="24"/>
          <w:szCs w:val="24"/>
        </w:rPr>
      </w:pPr>
      <w:r>
        <w:rPr>
          <w:rFonts w:ascii="Times New Roman" w:hAnsi="Times New Roman"/>
          <w:b/>
          <w:bCs/>
          <w:smallCaps/>
          <w:noProof/>
          <w:sz w:val="24"/>
          <w:szCs w:val="24"/>
        </w:rPr>
        <w:t xml:space="preserve">2.1. </w:t>
      </w:r>
      <w:r>
        <w:rPr>
          <w:rFonts w:ascii="Times New Roman" w:hAnsi="Times New Roman"/>
          <w:b/>
          <w:noProof/>
          <w:sz w:val="24"/>
          <w:szCs w:val="24"/>
        </w:rPr>
        <w:t>Podłączone państwa członkowskie</w:t>
      </w:r>
      <w:bookmarkEnd w:id="5"/>
      <w:bookmarkEnd w:id="6"/>
    </w:p>
    <w:p>
      <w:pPr>
        <w:jc w:val="both"/>
        <w:rPr>
          <w:rFonts w:ascii="Times New Roman" w:hAnsi="Times New Roman" w:cs="Times New Roman"/>
          <w:noProof/>
          <w:sz w:val="24"/>
          <w:szCs w:val="24"/>
        </w:rPr>
      </w:pPr>
      <w:r>
        <w:rPr>
          <w:rFonts w:ascii="Times New Roman" w:hAnsi="Times New Roman"/>
          <w:noProof/>
          <w:sz w:val="24"/>
          <w:szCs w:val="24"/>
        </w:rPr>
        <w:t xml:space="preserve">ECRIS jest zdecentralizowanym systemem, w ramach którego wszystkie państwa członkowskie powinny być wzajemnie ze sobą połączone. Państwo członkowskie uznaje się za podłączone do ECRIS, jeżeli wymienia informacje z rejestru karnego z co najmniej jednym innym podłączonym państwem członkowskim. </w:t>
      </w:r>
      <w:bookmarkStart w:id="7" w:name="_Hlk481158166"/>
      <w:r>
        <w:rPr>
          <w:rFonts w:ascii="Times New Roman" w:hAnsi="Times New Roman"/>
          <w:b/>
          <w:noProof/>
          <w:sz w:val="24"/>
          <w:szCs w:val="24"/>
        </w:rPr>
        <w:t>Obecnie wszystkie państwa członkowskie są podłączone do ECRIS</w:t>
      </w:r>
      <w:r>
        <w:rPr>
          <w:rFonts w:ascii="Times New Roman" w:hAnsi="Times New Roman"/>
          <w:noProof/>
          <w:sz w:val="24"/>
          <w:szCs w:val="24"/>
        </w:rPr>
        <w:t xml:space="preserve"> i wymieniają informacje z rejestru karnego </w:t>
      </w:r>
      <w:r>
        <w:rPr>
          <w:rFonts w:ascii="Times New Roman" w:hAnsi="Times New Roman"/>
          <w:b/>
          <w:bCs/>
          <w:noProof/>
          <w:sz w:val="24"/>
          <w:szCs w:val="24"/>
        </w:rPr>
        <w:t>średnio z 24 państwami członkowskimi</w:t>
      </w:r>
      <w:r>
        <w:rPr>
          <w:rFonts w:ascii="Times New Roman" w:hAnsi="Times New Roman"/>
          <w:noProof/>
          <w:sz w:val="24"/>
          <w:szCs w:val="24"/>
        </w:rPr>
        <w:t>.</w:t>
      </w:r>
      <w:bookmarkEnd w:id="7"/>
      <w:r>
        <w:rPr>
          <w:rStyle w:val="FootnoteReference"/>
          <w:rFonts w:ascii="Times New Roman" w:hAnsi="Times New Roman" w:cs="Times New Roman"/>
          <w:noProof/>
          <w:sz w:val="24"/>
          <w:szCs w:val="24"/>
        </w:rPr>
        <w:footnoteReference w:id="7"/>
      </w:r>
    </w:p>
    <w:p>
      <w:pPr>
        <w:jc w:val="both"/>
        <w:rPr>
          <w:rFonts w:ascii="Times New Roman" w:hAnsi="Times New Roman" w:cs="Times New Roman"/>
          <w:noProof/>
          <w:sz w:val="24"/>
          <w:szCs w:val="24"/>
        </w:rPr>
      </w:pPr>
      <w:r>
        <w:rPr>
          <w:rFonts w:ascii="Times New Roman" w:hAnsi="Times New Roman"/>
          <w:noProof/>
          <w:sz w:val="24"/>
          <w:szCs w:val="24"/>
        </w:rPr>
        <w:t>Całkowita możliwa liczba wzajemnych połączeń w takiej konfiguracji wynosi 756 (27*28)</w:t>
      </w:r>
      <w:r>
        <w:rPr>
          <w:rStyle w:val="FootnoteReference"/>
          <w:rFonts w:ascii="Times New Roman" w:hAnsi="Times New Roman" w:cs="Times New Roman"/>
          <w:noProof/>
          <w:sz w:val="24"/>
          <w:szCs w:val="24"/>
        </w:rPr>
        <w:footnoteReference w:id="8"/>
      </w:r>
      <w:r>
        <w:rPr>
          <w:rFonts w:ascii="Times New Roman" w:hAnsi="Times New Roman"/>
          <w:noProof/>
          <w:sz w:val="24"/>
          <w:szCs w:val="24"/>
        </w:rPr>
        <w:t>.</w:t>
      </w:r>
      <w:bookmarkStart w:id="8" w:name="_Hlk481160969"/>
      <w:r>
        <w:rPr>
          <w:rFonts w:ascii="Times New Roman" w:hAnsi="Times New Roman"/>
          <w:noProof/>
          <w:sz w:val="24"/>
          <w:szCs w:val="24"/>
        </w:rPr>
        <w:t xml:space="preserve"> Chociaż wszystkie państwa członkowskie są obecnie podłączone do ECRIS, </w:t>
      </w:r>
      <w:r>
        <w:rPr>
          <w:rFonts w:ascii="Times New Roman" w:hAnsi="Times New Roman"/>
          <w:b/>
          <w:noProof/>
          <w:sz w:val="24"/>
          <w:szCs w:val="24"/>
        </w:rPr>
        <w:t xml:space="preserve">tylko jedno państwo członkowskie (Hiszpania) faktycznie wymienia informacje za pośrednictwem systemu ECRIS z wszystkimi pozostałymi państwami. </w:t>
      </w:r>
      <w:r>
        <w:rPr>
          <w:rFonts w:ascii="Times New Roman" w:hAnsi="Times New Roman"/>
          <w:noProof/>
          <w:sz w:val="24"/>
          <w:szCs w:val="24"/>
        </w:rPr>
        <w:t>W</w:t>
      </w:r>
      <w:r>
        <w:rPr>
          <w:rFonts w:ascii="Times New Roman" w:hAnsi="Times New Roman"/>
          <w:b/>
          <w:noProof/>
          <w:sz w:val="24"/>
          <w:szCs w:val="24"/>
        </w:rPr>
        <w:t> </w:t>
      </w:r>
      <w:r>
        <w:rPr>
          <w:rFonts w:ascii="Times New Roman" w:hAnsi="Times New Roman"/>
          <w:noProof/>
          <w:sz w:val="24"/>
          <w:szCs w:val="24"/>
        </w:rPr>
        <w:t>przypadku większości państw członkowskich nadal brakuje jednego lub dwóch wzajemnych połączeń.</w:t>
      </w:r>
      <w:bookmarkEnd w:id="8"/>
    </w:p>
    <w:p>
      <w:pPr>
        <w:jc w:val="both"/>
        <w:rPr>
          <w:rFonts w:ascii="Times New Roman" w:hAnsi="Times New Roman" w:cs="Times New Roman"/>
          <w:noProof/>
          <w:sz w:val="24"/>
          <w:szCs w:val="24"/>
        </w:rPr>
      </w:pPr>
      <w:r>
        <w:rPr>
          <w:rFonts w:ascii="Times New Roman" w:hAnsi="Times New Roman"/>
          <w:noProof/>
          <w:sz w:val="24"/>
          <w:szCs w:val="24"/>
        </w:rPr>
        <w:t xml:space="preserve">System ECRIS rozpoczął się w 2012 r. od 173 z 756 możliwych wzajemnych połączeń (przy czym było do niego podłączonych 28 państw członkowskich). </w:t>
      </w:r>
      <w:bookmarkStart w:id="9" w:name="_Hlk481158260"/>
      <w:r>
        <w:rPr>
          <w:rFonts w:ascii="Times New Roman" w:hAnsi="Times New Roman"/>
          <w:noProof/>
          <w:sz w:val="24"/>
          <w:szCs w:val="24"/>
        </w:rPr>
        <w:t xml:space="preserve">Na koniec 2019 r. ustanowionych było </w:t>
      </w:r>
      <w:r>
        <w:rPr>
          <w:rFonts w:ascii="Times New Roman" w:hAnsi="Times New Roman"/>
          <w:b/>
          <w:bCs/>
          <w:noProof/>
          <w:sz w:val="24"/>
          <w:szCs w:val="24"/>
        </w:rPr>
        <w:t>670 wzajemnych połączeń</w:t>
      </w:r>
      <w:r>
        <w:rPr>
          <w:rFonts w:ascii="Times New Roman" w:hAnsi="Times New Roman"/>
          <w:noProof/>
          <w:sz w:val="24"/>
          <w:szCs w:val="24"/>
        </w:rPr>
        <w:t xml:space="preserve">, co stanowiło </w:t>
      </w:r>
      <w:r>
        <w:rPr>
          <w:rFonts w:ascii="Times New Roman" w:hAnsi="Times New Roman"/>
          <w:b/>
          <w:noProof/>
          <w:sz w:val="24"/>
          <w:szCs w:val="24"/>
        </w:rPr>
        <w:t>90 % całkowitej liczby możliwych wzajemnych połączeń</w:t>
      </w:r>
      <w:r>
        <w:rPr>
          <w:rStyle w:val="FootnoteReference"/>
          <w:rFonts w:ascii="Times New Roman" w:hAnsi="Times New Roman" w:cs="Times New Roman"/>
          <w:b/>
          <w:noProof/>
          <w:sz w:val="24"/>
          <w:szCs w:val="24"/>
        </w:rPr>
        <w:footnoteReference w:id="9"/>
      </w:r>
      <w:r>
        <w:rPr>
          <w:rFonts w:ascii="Times New Roman" w:hAnsi="Times New Roman"/>
          <w:noProof/>
          <w:sz w:val="24"/>
          <w:szCs w:val="24"/>
        </w:rPr>
        <w:t xml:space="preserve">. </w:t>
      </w:r>
      <w:bookmarkStart w:id="10" w:name="_Hlk481160416"/>
    </w:p>
    <w:bookmarkEnd w:id="10"/>
    <w:p>
      <w:pPr>
        <w:jc w:val="both"/>
        <w:rPr>
          <w:rFonts w:ascii="Times New Roman" w:hAnsi="Times New Roman" w:cs="Times New Roman"/>
          <w:noProof/>
          <w:sz w:val="24"/>
          <w:szCs w:val="24"/>
        </w:rPr>
      </w:pPr>
      <w:r>
        <w:rPr>
          <w:rFonts w:ascii="Times New Roman" w:hAnsi="Times New Roman"/>
          <w:noProof/>
          <w:sz w:val="24"/>
          <w:szCs w:val="24"/>
        </w:rPr>
        <w:t>Niemniej jednak nie osiągnięto jeszcze całkowicie ostatecznego celu, ponieważ nie wszystkie państwa członkowskie są połączone z wszystkimi pozostałym państwami członkowskimi i wymieniają z nimi informacje za pośrednictwem systemu ECRIS. </w:t>
      </w:r>
    </w:p>
    <w:p>
      <w:pPr>
        <w:jc w:val="both"/>
        <w:rPr>
          <w:rFonts w:ascii="Times New Roman" w:hAnsi="Times New Roman" w:cs="Times New Roman"/>
          <w:b/>
          <w:bCs/>
          <w:smallCaps/>
          <w:noProof/>
          <w:sz w:val="24"/>
          <w:szCs w:val="24"/>
        </w:rPr>
      </w:pPr>
      <w:bookmarkStart w:id="11" w:name="_Toc479267021"/>
      <w:bookmarkEnd w:id="9"/>
    </w:p>
    <w:p>
      <w:pPr>
        <w:jc w:val="both"/>
        <w:rPr>
          <w:rFonts w:ascii="Times New Roman" w:hAnsi="Times New Roman" w:cs="Times New Roman"/>
          <w:b/>
          <w:noProof/>
          <w:sz w:val="24"/>
          <w:szCs w:val="24"/>
        </w:rPr>
      </w:pPr>
      <w:r>
        <w:rPr>
          <w:rFonts w:ascii="Times New Roman" w:hAnsi="Times New Roman"/>
          <w:b/>
          <w:bCs/>
          <w:smallCaps/>
          <w:noProof/>
          <w:sz w:val="24"/>
          <w:szCs w:val="24"/>
        </w:rPr>
        <w:t xml:space="preserve">2.2. </w:t>
      </w:r>
      <w:r>
        <w:rPr>
          <w:rFonts w:ascii="Times New Roman" w:hAnsi="Times New Roman"/>
          <w:b/>
          <w:noProof/>
          <w:sz w:val="24"/>
          <w:szCs w:val="24"/>
        </w:rPr>
        <w:t>Łączna liczba wymienianych komunikatów</w:t>
      </w:r>
      <w:bookmarkEnd w:id="11"/>
    </w:p>
    <w:p>
      <w:pPr>
        <w:jc w:val="both"/>
        <w:rPr>
          <w:rFonts w:ascii="Times New Roman" w:hAnsi="Times New Roman" w:cs="Times New Roman"/>
          <w:noProof/>
          <w:sz w:val="24"/>
          <w:szCs w:val="24"/>
        </w:rPr>
      </w:pPr>
      <w:r>
        <w:rPr>
          <w:rFonts w:ascii="Times New Roman" w:hAnsi="Times New Roman"/>
          <w:noProof/>
          <w:sz w:val="24"/>
          <w:szCs w:val="24"/>
        </w:rPr>
        <w:t>Na poniższym wykresie zilustrowano szybko rosnącą roczną liczbę komunikatów wymienianych pomiędzy podłączonymi państwami członkowskimi od chwili uruchomienia systemu ECRIS, czyli w okresie od kwietnia 2012 r. do 31 grudnia 2019 r. Należy zwrócić uwagę, że w 2012 r. system był aktywny tylko przez 8 miesięcy.</w:t>
      </w:r>
    </w:p>
    <w:p>
      <w:pPr>
        <w:rPr>
          <w:rFonts w:ascii="Times New Roman" w:hAnsi="Times New Roman" w:cs="Times New Roman"/>
          <w:noProof/>
          <w:sz w:val="24"/>
          <w:szCs w:val="24"/>
          <w:highlight w:val="yellow"/>
        </w:rPr>
      </w:pPr>
      <w:r>
        <w:rPr>
          <w:noProof/>
          <w:lang w:val="en-GB"/>
        </w:rPr>
        <w:drawing>
          <wp:inline distT="0" distB="0" distL="0" distR="0">
            <wp:extent cx="5276850" cy="35718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6850" cy="3571875"/>
                    </a:xfrm>
                    <a:prstGeom prst="rect">
                      <a:avLst/>
                    </a:prstGeom>
                  </pic:spPr>
                </pic:pic>
              </a:graphicData>
            </a:graphic>
          </wp:inline>
        </w:drawing>
      </w:r>
    </w:p>
    <w:p>
      <w:pPr>
        <w:jc w:val="both"/>
        <w:rPr>
          <w:rFonts w:ascii="Times New Roman" w:hAnsi="Times New Roman" w:cs="Times New Roman"/>
          <w:noProof/>
          <w:sz w:val="24"/>
          <w:szCs w:val="24"/>
        </w:rPr>
      </w:pPr>
      <w:bookmarkStart w:id="12" w:name="_Hlk481162649"/>
      <w:bookmarkStart w:id="13" w:name="_Hlk481160518"/>
      <w:r>
        <w:rPr>
          <w:rFonts w:ascii="Times New Roman" w:hAnsi="Times New Roman"/>
          <w:noProof/>
          <w:sz w:val="24"/>
          <w:szCs w:val="24"/>
        </w:rPr>
        <w:t xml:space="preserve">Liczba komunikatów wymienionych przez wszystkie wzajemnie połączone państwa członkowskie wzrosła z 2 mln w 2016 r. do prawie </w:t>
      </w:r>
      <w:r>
        <w:rPr>
          <w:rFonts w:ascii="Times New Roman" w:hAnsi="Times New Roman"/>
          <w:b/>
          <w:noProof/>
          <w:sz w:val="24"/>
          <w:szCs w:val="24"/>
        </w:rPr>
        <w:t>4,2 mln w 2019 r.</w:t>
      </w:r>
      <w:r>
        <w:rPr>
          <w:rFonts w:ascii="Times New Roman" w:hAnsi="Times New Roman"/>
          <w:noProof/>
          <w:sz w:val="24"/>
          <w:szCs w:val="24"/>
        </w:rPr>
        <w:t>,</w:t>
      </w:r>
      <w:r>
        <w:rPr>
          <w:rFonts w:ascii="Times New Roman" w:hAnsi="Times New Roman"/>
          <w:b/>
          <w:noProof/>
          <w:sz w:val="24"/>
          <w:szCs w:val="24"/>
        </w:rPr>
        <w:t xml:space="preserve"> czyli średnio 348 000 komunikatów miesięcznie</w:t>
      </w:r>
      <w:r>
        <w:rPr>
          <w:rFonts w:ascii="Times New Roman" w:hAnsi="Times New Roman"/>
          <w:noProof/>
          <w:sz w:val="24"/>
          <w:szCs w:val="24"/>
        </w:rPr>
        <w:t>.</w:t>
      </w:r>
      <w:bookmarkEnd w:id="12"/>
      <w:r>
        <w:rPr>
          <w:rFonts w:ascii="Times New Roman" w:hAnsi="Times New Roman"/>
          <w:noProof/>
          <w:sz w:val="24"/>
          <w:szCs w:val="24"/>
        </w:rPr>
        <w:t xml:space="preserve"> Liczby te obejmują wszystkie rodzaje komunikatów: powiadomienia, aktualizacje, wnioski, odpowiedzi, odmowy, inne odpowiedzi, wymiany dodatkowych informacji itp. </w:t>
      </w:r>
    </w:p>
    <w:p>
      <w:pPr>
        <w:jc w:val="both"/>
        <w:rPr>
          <w:rFonts w:ascii="Times New Roman" w:hAnsi="Times New Roman" w:cs="Times New Roman"/>
          <w:noProof/>
          <w:sz w:val="24"/>
          <w:szCs w:val="24"/>
        </w:rPr>
      </w:pPr>
      <w:r>
        <w:rPr>
          <w:rFonts w:ascii="Times New Roman" w:hAnsi="Times New Roman"/>
          <w:noProof/>
          <w:sz w:val="24"/>
          <w:szCs w:val="24"/>
        </w:rPr>
        <w:t>Na poniższym wykresie przedstawiono trendy dotyczące powiadomień, wniosków i odpowiedzi na wnioski w okresie ośmiu lat działania systemu ECRIS. Wzięto tu pod uwagę wyłącznie powiadomienia dotyczące nowych wyroków skazujących, bez aktualizacji. Odpowiedzi obejmują odpowiedzi na wnioski, odmowy odpowiedzi i inne odpowiedzi</w:t>
      </w:r>
      <w:r>
        <w:rPr>
          <w:rStyle w:val="FootnoteReference"/>
          <w:rFonts w:ascii="Times New Roman" w:hAnsi="Times New Roman" w:cs="Times New Roman"/>
          <w:noProof/>
          <w:sz w:val="24"/>
          <w:szCs w:val="24"/>
        </w:rPr>
        <w:footnoteReference w:id="10"/>
      </w:r>
      <w:r>
        <w:rPr>
          <w:rFonts w:ascii="Times New Roman" w:hAnsi="Times New Roman"/>
          <w:noProof/>
          <w:sz w:val="24"/>
          <w:szCs w:val="24"/>
        </w:rPr>
        <w:t xml:space="preserve">. </w:t>
      </w:r>
    </w:p>
    <w:p>
      <w:pPr>
        <w:jc w:val="both"/>
        <w:rPr>
          <w:rFonts w:ascii="Times New Roman" w:hAnsi="Times New Roman" w:cs="Times New Roman"/>
          <w:noProof/>
          <w:sz w:val="24"/>
          <w:szCs w:val="24"/>
        </w:rPr>
      </w:pPr>
      <w:r>
        <w:rPr>
          <w:noProof/>
          <w:szCs w:val="24"/>
          <w:lang w:val="en-GB"/>
        </w:rPr>
        <w:drawing>
          <wp:inline distT="0" distB="0" distL="0" distR="0">
            <wp:extent cx="5760085" cy="246570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5760085" cy="2465705"/>
                    </a:xfrm>
                    <a:prstGeom prst="rect">
                      <a:avLst/>
                    </a:prstGeom>
                    <a:noFill/>
                    <a:ln w="9525">
                      <a:noFill/>
                      <a:miter lim="800000"/>
                      <a:headEnd/>
                      <a:tailEnd/>
                    </a:ln>
                  </pic:spPr>
                </pic:pic>
              </a:graphicData>
            </a:graphic>
          </wp:inline>
        </w:drawing>
      </w:r>
    </w:p>
    <w:p>
      <w:pPr>
        <w:jc w:val="both"/>
        <w:rPr>
          <w:rFonts w:ascii="Times New Roman" w:hAnsi="Times New Roman" w:cs="Times New Roman"/>
          <w:noProof/>
          <w:sz w:val="24"/>
          <w:szCs w:val="24"/>
        </w:rPr>
      </w:pPr>
      <w:bookmarkStart w:id="14" w:name="_Hlk481162482"/>
    </w:p>
    <w:p>
      <w:pPr>
        <w:jc w:val="both"/>
        <w:rPr>
          <w:rFonts w:ascii="Times New Roman" w:hAnsi="Times New Roman" w:cs="Times New Roman"/>
          <w:b/>
          <w:noProof/>
          <w:sz w:val="24"/>
          <w:szCs w:val="24"/>
        </w:rPr>
      </w:pPr>
      <w:r>
        <w:rPr>
          <w:rFonts w:ascii="Times New Roman" w:hAnsi="Times New Roman"/>
          <w:noProof/>
          <w:sz w:val="24"/>
          <w:szCs w:val="24"/>
        </w:rPr>
        <w:t xml:space="preserve">W ciągu ostatnich trzech lat nastąpiły </w:t>
      </w:r>
      <w:r>
        <w:rPr>
          <w:rFonts w:ascii="Times New Roman" w:hAnsi="Times New Roman"/>
          <w:b/>
          <w:bCs/>
          <w:noProof/>
          <w:sz w:val="24"/>
          <w:szCs w:val="24"/>
        </w:rPr>
        <w:t>zasadnicze zmiany w proporcjach między</w:t>
      </w:r>
      <w:r>
        <w:rPr>
          <w:rFonts w:ascii="Times New Roman" w:hAnsi="Times New Roman"/>
          <w:noProof/>
          <w:sz w:val="24"/>
          <w:szCs w:val="24"/>
        </w:rPr>
        <w:t xml:space="preserve"> liczbą </w:t>
      </w:r>
      <w:r>
        <w:rPr>
          <w:rFonts w:ascii="Times New Roman" w:hAnsi="Times New Roman"/>
          <w:b/>
          <w:bCs/>
          <w:noProof/>
          <w:sz w:val="24"/>
          <w:szCs w:val="24"/>
        </w:rPr>
        <w:t>powiadomień o nowych wyrokach skazujących, wniosków i odpowiedzi</w:t>
      </w:r>
      <w:r>
        <w:rPr>
          <w:rFonts w:ascii="Times New Roman" w:hAnsi="Times New Roman"/>
          <w:noProof/>
          <w:sz w:val="24"/>
          <w:szCs w:val="24"/>
        </w:rPr>
        <w:t xml:space="preserve"> </w:t>
      </w:r>
      <w:r>
        <w:rPr>
          <w:rFonts w:ascii="Times New Roman" w:hAnsi="Times New Roman"/>
          <w:b/>
          <w:bCs/>
          <w:noProof/>
          <w:sz w:val="24"/>
          <w:szCs w:val="24"/>
        </w:rPr>
        <w:t>na wnioski</w:t>
      </w:r>
      <w:r>
        <w:rPr>
          <w:rFonts w:ascii="Times New Roman" w:hAnsi="Times New Roman"/>
          <w:noProof/>
          <w:sz w:val="24"/>
          <w:szCs w:val="24"/>
        </w:rPr>
        <w:t xml:space="preserve">. W 2016 r. wartości liczbowe w każdej z tych trzech kategorii były prawie równe i wynosiły około </w:t>
      </w:r>
      <w:r>
        <w:rPr>
          <w:rFonts w:ascii="Times New Roman" w:hAnsi="Times New Roman"/>
          <w:bCs/>
          <w:noProof/>
          <w:sz w:val="24"/>
          <w:szCs w:val="24"/>
        </w:rPr>
        <w:t>350 000 rocznie w każdej kategorii. W 2019 r. liczba wniosków o udzielenie informacji i powiązana z nią liczba odpowiedzi na wnioski stała się ponad trzykrotnie wyższa od liczby powiadomień.</w:t>
      </w:r>
    </w:p>
    <w:p>
      <w:pPr>
        <w:jc w:val="both"/>
        <w:rPr>
          <w:rFonts w:ascii="Times New Roman" w:hAnsi="Times New Roman" w:cs="Times New Roman"/>
          <w:noProof/>
          <w:sz w:val="24"/>
          <w:szCs w:val="24"/>
        </w:rPr>
      </w:pPr>
      <w:r>
        <w:rPr>
          <w:rFonts w:ascii="Times New Roman" w:hAnsi="Times New Roman"/>
          <w:noProof/>
          <w:sz w:val="24"/>
          <w:szCs w:val="24"/>
        </w:rPr>
        <w:t xml:space="preserve">W 2017 r. </w:t>
      </w:r>
      <w:r>
        <w:rPr>
          <w:rFonts w:ascii="Times New Roman" w:hAnsi="Times New Roman"/>
          <w:b/>
          <w:noProof/>
          <w:sz w:val="24"/>
          <w:szCs w:val="24"/>
        </w:rPr>
        <w:t>liczba powiadomień o nowych wyrokach skazujących spadła</w:t>
      </w:r>
      <w:r>
        <w:rPr>
          <w:rFonts w:ascii="Times New Roman" w:hAnsi="Times New Roman"/>
          <w:noProof/>
          <w:sz w:val="24"/>
          <w:szCs w:val="24"/>
        </w:rPr>
        <w:t xml:space="preserve"> i utrzymywała się na poziomie około </w:t>
      </w:r>
      <w:r>
        <w:rPr>
          <w:rFonts w:ascii="Times New Roman" w:hAnsi="Times New Roman"/>
          <w:b/>
          <w:noProof/>
          <w:sz w:val="24"/>
          <w:szCs w:val="24"/>
        </w:rPr>
        <w:t>310 000 do 2019 r</w:t>
      </w:r>
      <w:r>
        <w:rPr>
          <w:rFonts w:ascii="Times New Roman" w:hAnsi="Times New Roman"/>
          <w:noProof/>
          <w:sz w:val="24"/>
          <w:szCs w:val="24"/>
        </w:rPr>
        <w:t>. Ta tendencja spadkowa jest zaskakująca w świetle rosnącej liczby wzajemnych połączeń między państwami członkowskimi. Jak wskazano w sekcji 2.4 poniżej, niektóre państwa członkowskie miały problemy z powiadamianiem o wszystkich nowych wyrokach skazujących.</w:t>
      </w:r>
    </w:p>
    <w:p>
      <w:pPr>
        <w:jc w:val="both"/>
        <w:rPr>
          <w:rFonts w:ascii="Times New Roman" w:hAnsi="Times New Roman" w:cs="Times New Roman"/>
          <w:noProof/>
          <w:sz w:val="24"/>
          <w:szCs w:val="24"/>
        </w:rPr>
      </w:pPr>
      <w:r>
        <w:rPr>
          <w:rFonts w:ascii="Times New Roman" w:hAnsi="Times New Roman"/>
          <w:noProof/>
          <w:sz w:val="24"/>
          <w:szCs w:val="24"/>
        </w:rPr>
        <w:t xml:space="preserve">Jednocześnie </w:t>
      </w:r>
      <w:r>
        <w:rPr>
          <w:rFonts w:ascii="Times New Roman" w:hAnsi="Times New Roman"/>
          <w:b/>
          <w:noProof/>
          <w:sz w:val="24"/>
          <w:szCs w:val="24"/>
        </w:rPr>
        <w:t>liczba wniosków o udzielenie informacji</w:t>
      </w:r>
      <w:r>
        <w:rPr>
          <w:rFonts w:ascii="Times New Roman" w:hAnsi="Times New Roman"/>
          <w:noProof/>
          <w:sz w:val="24"/>
          <w:szCs w:val="24"/>
        </w:rPr>
        <w:t xml:space="preserve"> i powiązanych z nimi odpowiedzi na wnioski </w:t>
      </w:r>
      <w:r>
        <w:rPr>
          <w:rFonts w:ascii="Times New Roman" w:hAnsi="Times New Roman"/>
          <w:b/>
          <w:noProof/>
          <w:sz w:val="24"/>
          <w:szCs w:val="24"/>
        </w:rPr>
        <w:t xml:space="preserve">od 2017 r. zwiększyła się trzykrotnie – w 2019 r. osiągnęła </w:t>
      </w:r>
      <w:r>
        <w:rPr>
          <w:rFonts w:ascii="Times New Roman" w:hAnsi="Times New Roman"/>
          <w:b/>
          <w:bCs/>
          <w:noProof/>
          <w:sz w:val="24"/>
          <w:szCs w:val="24"/>
        </w:rPr>
        <w:t>1 mln</w:t>
      </w:r>
      <w:r>
        <w:rPr>
          <w:rFonts w:ascii="Times New Roman" w:hAnsi="Times New Roman"/>
          <w:noProof/>
          <w:sz w:val="24"/>
          <w:szCs w:val="24"/>
        </w:rPr>
        <w:t xml:space="preserve"> w każdej z tych kategorii. Ten</w:t>
      </w:r>
      <w:r>
        <w:rPr>
          <w:rFonts w:ascii="Times New Roman" w:hAnsi="Times New Roman"/>
          <w:b/>
          <w:noProof/>
          <w:sz w:val="24"/>
          <w:szCs w:val="24"/>
        </w:rPr>
        <w:t xml:space="preserve"> radykalny wzrost liczby wniosków o udzielenie informacji</w:t>
      </w:r>
      <w:r>
        <w:rPr>
          <w:rFonts w:ascii="Times New Roman" w:hAnsi="Times New Roman"/>
          <w:noProof/>
          <w:sz w:val="24"/>
          <w:szCs w:val="24"/>
        </w:rPr>
        <w:t xml:space="preserve"> wynika w przede wszystkim ze</w:t>
      </w:r>
      <w:r>
        <w:rPr>
          <w:rFonts w:ascii="Times New Roman" w:hAnsi="Times New Roman"/>
          <w:b/>
          <w:noProof/>
          <w:sz w:val="24"/>
          <w:szCs w:val="24"/>
        </w:rPr>
        <w:t xml:space="preserve"> </w:t>
      </w:r>
      <w:r>
        <w:rPr>
          <w:rFonts w:ascii="Times New Roman" w:hAnsi="Times New Roman"/>
          <w:b/>
          <w:bCs/>
          <w:noProof/>
          <w:sz w:val="24"/>
          <w:szCs w:val="24"/>
        </w:rPr>
        <w:t>zmiany sposobu wykorzystania systemu ECRIS, którego już nie wykorzystuje się głównie w celach związanych z postępowaniem karnym, ale również w coraz większym stopniu w celach innych niż związane z postępowaniem karnym</w:t>
      </w:r>
      <w:r>
        <w:rPr>
          <w:rFonts w:ascii="Times New Roman" w:hAnsi="Times New Roman"/>
          <w:bCs/>
          <w:noProof/>
          <w:sz w:val="24"/>
          <w:szCs w:val="24"/>
        </w:rPr>
        <w:t>.</w:t>
      </w:r>
      <w:r>
        <w:rPr>
          <w:rFonts w:ascii="Times New Roman" w:hAnsi="Times New Roman"/>
          <w:noProof/>
          <w:sz w:val="24"/>
          <w:szCs w:val="24"/>
        </w:rPr>
        <w:t xml:space="preserve"> Więcej informacji szczegółowych przedstawiono w sekcji 2.8. Jest to również pozytywny znak zwiększającej się świadomości w państwach członkowskich co do potrzeby wykorzystywania systemu ECRIS do wnioskowania o informacje w toku postępowań karnych, aby można było w nich uwzględnić wcześniejsze wyroki skazujące, zgodnie z decyzją ramową 2008/675/WSiSW</w:t>
      </w:r>
      <w:r>
        <w:rPr>
          <w:rStyle w:val="FootnoteReference"/>
          <w:rFonts w:ascii="Times New Roman" w:hAnsi="Times New Roman" w:cs="Times New Roman"/>
          <w:noProof/>
          <w:sz w:val="24"/>
          <w:szCs w:val="24"/>
        </w:rPr>
        <w:footnoteReference w:id="11"/>
      </w:r>
      <w:r>
        <w:rPr>
          <w:rFonts w:ascii="Times New Roman" w:hAnsi="Times New Roman"/>
          <w:noProof/>
          <w:sz w:val="24"/>
          <w:szCs w:val="24"/>
        </w:rPr>
        <w:t>.</w:t>
      </w:r>
    </w:p>
    <w:p>
      <w:pPr>
        <w:jc w:val="both"/>
        <w:rPr>
          <w:rFonts w:ascii="Times New Roman" w:hAnsi="Times New Roman" w:cs="Times New Roman"/>
          <w:b/>
          <w:noProof/>
          <w:sz w:val="24"/>
          <w:szCs w:val="24"/>
        </w:rPr>
      </w:pPr>
      <w:bookmarkStart w:id="15" w:name="_Toc479267022"/>
      <w:bookmarkEnd w:id="13"/>
      <w:bookmarkEnd w:id="14"/>
    </w:p>
    <w:p>
      <w:pPr>
        <w:jc w:val="both"/>
        <w:rPr>
          <w:rFonts w:ascii="Times New Roman" w:hAnsi="Times New Roman" w:cs="Times New Roman"/>
          <w:b/>
          <w:noProof/>
          <w:sz w:val="24"/>
          <w:szCs w:val="24"/>
        </w:rPr>
      </w:pPr>
      <w:r>
        <w:rPr>
          <w:rFonts w:ascii="Times New Roman" w:hAnsi="Times New Roman"/>
          <w:b/>
          <w:noProof/>
          <w:sz w:val="24"/>
          <w:szCs w:val="24"/>
        </w:rPr>
        <w:t>2.3. Liczba powiadomień, wniosków</w:t>
      </w:r>
      <w:bookmarkEnd w:id="15"/>
      <w:r>
        <w:rPr>
          <w:rFonts w:ascii="Times New Roman" w:hAnsi="Times New Roman"/>
          <w:b/>
          <w:noProof/>
          <w:sz w:val="24"/>
          <w:szCs w:val="24"/>
        </w:rPr>
        <w:t xml:space="preserve"> i odpowiedzi w podziale na państwa członkowskie</w:t>
      </w:r>
    </w:p>
    <w:p>
      <w:pPr>
        <w:jc w:val="both"/>
        <w:rPr>
          <w:rFonts w:ascii="Times New Roman" w:hAnsi="Times New Roman" w:cs="Times New Roman"/>
          <w:noProof/>
          <w:sz w:val="24"/>
          <w:szCs w:val="24"/>
        </w:rPr>
      </w:pPr>
      <w:r>
        <w:rPr>
          <w:rFonts w:ascii="Times New Roman" w:hAnsi="Times New Roman"/>
          <w:noProof/>
          <w:sz w:val="24"/>
          <w:szCs w:val="24"/>
        </w:rPr>
        <w:t>Na poniższym wykresie przedstawiono liczbę powiadomień o nowych wyrokach skazujących, liczbę wniosków o udzielenie informacji i liczbę odpowiedzi według wszystkich wzajemnie połączonych państw członkowskich w 2019 r.</w:t>
      </w:r>
      <w:r>
        <w:rPr>
          <w:rStyle w:val="FootnoteReference"/>
          <w:rFonts w:ascii="Times New Roman" w:hAnsi="Times New Roman" w:cs="Times New Roman"/>
          <w:noProof/>
          <w:sz w:val="24"/>
          <w:szCs w:val="24"/>
        </w:rPr>
        <w:footnoteReference w:id="12"/>
      </w:r>
      <w:r>
        <w:rPr>
          <w:rFonts w:ascii="Times New Roman" w:hAnsi="Times New Roman"/>
          <w:noProof/>
          <w:sz w:val="24"/>
          <w:szCs w:val="24"/>
        </w:rPr>
        <w:t xml:space="preserve"> </w:t>
      </w:r>
    </w:p>
    <w:p>
      <w:pPr>
        <w:jc w:val="center"/>
        <w:rPr>
          <w:rFonts w:ascii="Times New Roman" w:hAnsi="Times New Roman" w:cs="Times New Roman"/>
          <w:noProof/>
          <w:sz w:val="24"/>
          <w:szCs w:val="24"/>
        </w:rPr>
      </w:pPr>
      <w:r>
        <w:rPr>
          <w:noProof/>
          <w:szCs w:val="24"/>
          <w:lang w:val="en-GB"/>
        </w:rPr>
        <w:drawing>
          <wp:inline distT="0" distB="0" distL="0" distR="0">
            <wp:extent cx="5760085" cy="373634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5760085" cy="3736340"/>
                    </a:xfrm>
                    <a:prstGeom prst="rect">
                      <a:avLst/>
                    </a:prstGeom>
                    <a:noFill/>
                    <a:ln w="9525">
                      <a:noFill/>
                      <a:miter lim="800000"/>
                      <a:headEnd/>
                      <a:tailEnd/>
                    </a:ln>
                  </pic:spPr>
                </pic:pic>
              </a:graphicData>
            </a:graphic>
          </wp:inline>
        </w:drawing>
      </w:r>
    </w:p>
    <w:p>
      <w:pPr>
        <w:jc w:val="both"/>
        <w:rPr>
          <w:rFonts w:ascii="Times New Roman" w:hAnsi="Times New Roman" w:cs="Times New Roman"/>
          <w:noProof/>
          <w:sz w:val="24"/>
          <w:szCs w:val="24"/>
        </w:rPr>
      </w:pPr>
      <w:bookmarkStart w:id="16" w:name="_Hlk481161857"/>
      <w:bookmarkStart w:id="17" w:name="_Hlk481162724"/>
    </w:p>
    <w:p>
      <w:pPr>
        <w:jc w:val="both"/>
        <w:rPr>
          <w:rFonts w:ascii="Times New Roman" w:hAnsi="Times New Roman" w:cs="Times New Roman"/>
          <w:noProof/>
          <w:sz w:val="24"/>
          <w:szCs w:val="24"/>
        </w:rPr>
      </w:pPr>
      <w:r>
        <w:rPr>
          <w:rFonts w:ascii="Times New Roman" w:hAnsi="Times New Roman"/>
          <w:noProof/>
          <w:sz w:val="24"/>
          <w:szCs w:val="24"/>
        </w:rPr>
        <w:t>Podobnie jak w poprzednich latach najbardziej aktywnymi państwami członkowskimi pod względem całkowitej liczby tych trzech rodzajów komunikatów były państwa wskazane poniżej.</w:t>
      </w:r>
    </w:p>
    <w:bookmarkEnd w:id="16"/>
    <w:p>
      <w:pPr>
        <w:jc w:val="center"/>
        <w:rPr>
          <w:rFonts w:ascii="Times New Roman" w:hAnsi="Times New Roman" w:cs="Times New Roman"/>
          <w:noProof/>
          <w:sz w:val="24"/>
          <w:szCs w:val="24"/>
        </w:rPr>
      </w:pPr>
      <w:r>
        <w:rPr>
          <w:noProof/>
          <w:szCs w:val="24"/>
          <w:lang w:val="en-GB"/>
        </w:rPr>
        <w:drawing>
          <wp:inline distT="0" distB="0" distL="0" distR="0">
            <wp:extent cx="5760085" cy="1811020"/>
            <wp:effectExtent l="0" t="0" r="0" b="0"/>
            <wp:docPr id="62"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srcRect/>
                    <a:stretch>
                      <a:fillRect/>
                    </a:stretch>
                  </pic:blipFill>
                  <pic:spPr bwMode="auto">
                    <a:xfrm>
                      <a:off x="0" y="0"/>
                      <a:ext cx="5760085" cy="1811020"/>
                    </a:xfrm>
                    <a:prstGeom prst="rect">
                      <a:avLst/>
                    </a:prstGeom>
                    <a:noFill/>
                    <a:ln w="9525">
                      <a:noFill/>
                      <a:miter lim="800000"/>
                      <a:headEnd/>
                      <a:tailEnd/>
                    </a:ln>
                  </pic:spPr>
                </pic:pic>
              </a:graphicData>
            </a:graphic>
          </wp:inline>
        </w:drawing>
      </w:r>
    </w:p>
    <w:p>
      <w:pPr>
        <w:jc w:val="center"/>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noProof/>
          <w:sz w:val="24"/>
          <w:szCs w:val="24"/>
        </w:rPr>
        <w:t xml:space="preserve">Na wykresach przedstawiono </w:t>
      </w:r>
      <w:r>
        <w:rPr>
          <w:rFonts w:ascii="Times New Roman" w:hAnsi="Times New Roman"/>
          <w:b/>
          <w:noProof/>
          <w:sz w:val="24"/>
          <w:szCs w:val="24"/>
        </w:rPr>
        <w:t>istotne różnice pomiędzy państwami członkowskimi pod względem działań i obciążenia pracą w związku z systemem ECRIS</w:t>
      </w:r>
      <w:r>
        <w:rPr>
          <w:rFonts w:ascii="Times New Roman" w:hAnsi="Times New Roman"/>
          <w:noProof/>
          <w:sz w:val="24"/>
          <w:szCs w:val="24"/>
        </w:rPr>
        <w:t>.</w:t>
      </w:r>
    </w:p>
    <w:bookmarkEnd w:id="17"/>
    <w:p>
      <w:pPr>
        <w:jc w:val="both"/>
        <w:rPr>
          <w:rFonts w:ascii="Times New Roman" w:hAnsi="Times New Roman" w:cs="Times New Roman"/>
          <w:noProof/>
          <w:sz w:val="24"/>
          <w:szCs w:val="24"/>
        </w:rPr>
      </w:pPr>
      <w:r>
        <w:rPr>
          <w:rFonts w:ascii="Times New Roman" w:hAnsi="Times New Roman"/>
          <w:noProof/>
          <w:sz w:val="24"/>
          <w:szCs w:val="24"/>
        </w:rPr>
        <w:t xml:space="preserve">Niektóre państwa członkowskie </w:t>
      </w:r>
      <w:r>
        <w:rPr>
          <w:rFonts w:ascii="Times New Roman" w:hAnsi="Times New Roman"/>
          <w:b/>
          <w:bCs/>
          <w:noProof/>
          <w:sz w:val="24"/>
          <w:szCs w:val="24"/>
        </w:rPr>
        <w:t>wnioskują o udzielenie informacje znacznie częściej, niż same otrzymują wnioski</w:t>
      </w:r>
      <w:r>
        <w:rPr>
          <w:rFonts w:ascii="Times New Roman" w:hAnsi="Times New Roman"/>
          <w:noProof/>
          <w:sz w:val="24"/>
          <w:szCs w:val="24"/>
        </w:rPr>
        <w:t xml:space="preserve"> o udzielenie informacji: np. DE (745 000 wysłanych wniosków, 32 400 otrzymanych wniosków), UK (91 000 wysłanych wniosków, 31 500 otrzymanych wniosków) i CZ (38 500 wysłanych wniosków, 24 700 otrzymanych wniosków). Inne państwa członkowskie borykają się ze </w:t>
      </w:r>
      <w:r>
        <w:rPr>
          <w:rFonts w:ascii="Times New Roman" w:hAnsi="Times New Roman"/>
          <w:b/>
          <w:bCs/>
          <w:noProof/>
          <w:sz w:val="24"/>
          <w:szCs w:val="24"/>
        </w:rPr>
        <w:t>znaczną liczbą wniosków</w:t>
      </w:r>
      <w:r>
        <w:rPr>
          <w:rFonts w:ascii="Times New Roman" w:hAnsi="Times New Roman"/>
          <w:noProof/>
          <w:sz w:val="24"/>
          <w:szCs w:val="24"/>
        </w:rPr>
        <w:t xml:space="preserve">, chociaż same wysyłają ich mniej: np. PL (197 300 udzielonych odpowiedzi, 15 400 wysłanych wniosków), RO (170 000 i 1 200), IT (99 500 i 1 500), HR (63 300 i 3 000), SK (41 000 i 900), HU (37 400 i 500). Niektóre inne państwa członkowskie </w:t>
      </w:r>
      <w:r>
        <w:rPr>
          <w:rFonts w:ascii="Times New Roman" w:hAnsi="Times New Roman"/>
          <w:b/>
          <w:bCs/>
          <w:noProof/>
          <w:sz w:val="24"/>
          <w:szCs w:val="24"/>
        </w:rPr>
        <w:t>wysyłają wiele powiadomień</w:t>
      </w:r>
      <w:r>
        <w:rPr>
          <w:rFonts w:ascii="Times New Roman" w:hAnsi="Times New Roman"/>
          <w:noProof/>
          <w:sz w:val="24"/>
          <w:szCs w:val="24"/>
        </w:rPr>
        <w:t xml:space="preserve"> dotyczących nowych wyroków skazujących państwom członkowskim, których obywatelami są dani przestępcy, chociaż same wysyłają mniej wniosków: np. BE (36 300 wysłanych powiadomień, 5 200 wysłanych wniosków), IT (25 700 powiadomień, 1 500 wniosków).</w:t>
      </w:r>
    </w:p>
    <w:p>
      <w:pPr>
        <w:jc w:val="both"/>
        <w:rPr>
          <w:rFonts w:ascii="Times New Roman" w:hAnsi="Times New Roman" w:cs="Times New Roman"/>
          <w:b/>
          <w:noProof/>
          <w:sz w:val="24"/>
          <w:szCs w:val="24"/>
        </w:rPr>
      </w:pPr>
      <w:r>
        <w:rPr>
          <w:rFonts w:ascii="Times New Roman" w:hAnsi="Times New Roman"/>
          <w:b/>
          <w:noProof/>
          <w:sz w:val="24"/>
          <w:szCs w:val="24"/>
        </w:rPr>
        <w:t>2.4. Powiadomienia</w:t>
      </w:r>
    </w:p>
    <w:p>
      <w:pPr>
        <w:jc w:val="both"/>
        <w:rPr>
          <w:rFonts w:ascii="Times New Roman" w:hAnsi="Times New Roman" w:cs="Times New Roman"/>
          <w:noProof/>
          <w:sz w:val="24"/>
          <w:szCs w:val="24"/>
        </w:rPr>
      </w:pPr>
      <w:r>
        <w:rPr>
          <w:rFonts w:ascii="Times New Roman" w:hAnsi="Times New Roman"/>
          <w:noProof/>
          <w:sz w:val="24"/>
          <w:szCs w:val="24"/>
        </w:rPr>
        <w:t>Na poniższym wykresie przedstawiono liczbę powiadomień wysłanych przez wszystkie wzajemnie połączone państwa członkowskie w 2019 r., w podziale na powiadomienia o nowych wyrokach skazujących i powiadomienia aktualizujące te wcześniej wysłane</w:t>
      </w:r>
      <w:r>
        <w:rPr>
          <w:rStyle w:val="FootnoteReference"/>
          <w:rFonts w:ascii="Times New Roman" w:hAnsi="Times New Roman" w:cs="Times New Roman"/>
          <w:noProof/>
          <w:sz w:val="24"/>
          <w:szCs w:val="24"/>
        </w:rPr>
        <w:footnoteReference w:id="13"/>
      </w:r>
      <w:r>
        <w:rPr>
          <w:noProof/>
        </w:rPr>
        <w:t>.</w:t>
      </w:r>
      <w:r>
        <w:rPr>
          <w:rFonts w:ascii="Times New Roman" w:hAnsi="Times New Roman"/>
          <w:noProof/>
          <w:sz w:val="24"/>
          <w:szCs w:val="24"/>
        </w:rPr>
        <w:t xml:space="preserve"> </w:t>
      </w:r>
    </w:p>
    <w:p>
      <w:pPr>
        <w:jc w:val="both"/>
        <w:rPr>
          <w:rStyle w:val="CommentReference"/>
          <w:rFonts w:ascii="Times New Roman" w:hAnsi="Times New Roman" w:cs="Times New Roman"/>
          <w:noProof/>
          <w:sz w:val="24"/>
          <w:szCs w:val="24"/>
        </w:rPr>
      </w:pPr>
      <w:bookmarkStart w:id="18" w:name="_Hlk481001185"/>
      <w:r>
        <w:rPr>
          <w:noProof/>
          <w:lang w:val="en-GB"/>
        </w:rPr>
        <w:drawing>
          <wp:inline distT="0" distB="0" distL="0" distR="0">
            <wp:extent cx="5760085" cy="39928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3992880"/>
                    </a:xfrm>
                    <a:prstGeom prst="rect">
                      <a:avLst/>
                    </a:prstGeom>
                  </pic:spPr>
                </pic:pic>
              </a:graphicData>
            </a:graphic>
          </wp:inline>
        </w:drawing>
      </w:r>
    </w:p>
    <w:p>
      <w:pPr>
        <w:jc w:val="both"/>
        <w:rPr>
          <w:rFonts w:ascii="Times New Roman" w:hAnsi="Times New Roman" w:cs="Times New Roman"/>
          <w:noProof/>
          <w:sz w:val="24"/>
          <w:szCs w:val="24"/>
        </w:rPr>
      </w:pPr>
      <w:r>
        <w:rPr>
          <w:rFonts w:ascii="Times New Roman" w:hAnsi="Times New Roman"/>
          <w:b/>
          <w:noProof/>
          <w:sz w:val="24"/>
          <w:szCs w:val="24"/>
        </w:rPr>
        <w:t>Liczba powiadomień wykazuje znaczne różnice między poszczególnymi państwami członkowskimi</w:t>
      </w:r>
      <w:r>
        <w:rPr>
          <w:rFonts w:ascii="Times New Roman" w:hAnsi="Times New Roman"/>
          <w:noProof/>
          <w:sz w:val="24"/>
          <w:szCs w:val="24"/>
        </w:rPr>
        <w:t xml:space="preserve"> – od blisko 112 000 (DE) do zera powiadomień o nowych wyrokach skazujących (MT, PT) rocznie. Analizując te różnice, należy uwzględnić przede wszystkim dwa czynniki: wielkość państwa i liczbę wyroków skazujących obywateli innych państw członkowskich (przebywających na jego terenie obywateli innych państw członkowskich UE)</w:t>
      </w:r>
      <w:r>
        <w:rPr>
          <w:rStyle w:val="FootnoteReference"/>
          <w:rFonts w:ascii="Times New Roman" w:hAnsi="Times New Roman" w:cs="Times New Roman"/>
          <w:noProof/>
          <w:sz w:val="24"/>
          <w:szCs w:val="24"/>
        </w:rPr>
        <w:footnoteReference w:id="14"/>
      </w:r>
      <w:r>
        <w:rPr>
          <w:rFonts w:ascii="Times New Roman" w:hAnsi="Times New Roman"/>
          <w:noProof/>
          <w:sz w:val="24"/>
          <w:szCs w:val="24"/>
        </w:rPr>
        <w:t>.</w:t>
      </w:r>
    </w:p>
    <w:p>
      <w:pPr>
        <w:jc w:val="both"/>
        <w:rPr>
          <w:rFonts w:ascii="Times New Roman" w:hAnsi="Times New Roman" w:cs="Times New Roman"/>
          <w:noProof/>
          <w:sz w:val="24"/>
          <w:szCs w:val="24"/>
        </w:rPr>
      </w:pPr>
      <w:bookmarkStart w:id="19" w:name="_Hlk480998606"/>
      <w:bookmarkStart w:id="20" w:name="_Hlk481162205"/>
      <w:r>
        <w:rPr>
          <w:rFonts w:ascii="Times New Roman" w:hAnsi="Times New Roman"/>
          <w:b/>
          <w:noProof/>
          <w:sz w:val="24"/>
          <w:szCs w:val="24"/>
        </w:rPr>
        <w:t>Najbardziej aktywnymi</w:t>
      </w:r>
      <w:r>
        <w:rPr>
          <w:rFonts w:ascii="Times New Roman" w:hAnsi="Times New Roman"/>
          <w:noProof/>
          <w:sz w:val="24"/>
          <w:szCs w:val="24"/>
        </w:rPr>
        <w:t xml:space="preserve"> państwami członkowskimi pod względem wysyłania</w:t>
      </w:r>
      <w:r>
        <w:rPr>
          <w:rFonts w:ascii="Times New Roman" w:hAnsi="Times New Roman"/>
          <w:b/>
          <w:noProof/>
          <w:sz w:val="24"/>
          <w:szCs w:val="24"/>
        </w:rPr>
        <w:t xml:space="preserve"> powiadomień</w:t>
      </w:r>
      <w:r>
        <w:rPr>
          <w:rFonts w:ascii="Times New Roman" w:hAnsi="Times New Roman"/>
          <w:noProof/>
          <w:sz w:val="24"/>
          <w:szCs w:val="24"/>
        </w:rPr>
        <w:t xml:space="preserve"> dotyczących nowych wyroków skazujących były państwa członkowskie wskazane w poniższej tabeli.</w:t>
      </w:r>
    </w:p>
    <w:tbl>
      <w:tblPr>
        <w:tblW w:w="5760" w:type="dxa"/>
        <w:jc w:val="center"/>
        <w:tblLook w:val="04A0" w:firstRow="1" w:lastRow="0" w:firstColumn="1" w:lastColumn="0" w:noHBand="0" w:noVBand="1"/>
      </w:tblPr>
      <w:tblGrid>
        <w:gridCol w:w="653"/>
        <w:gridCol w:w="1267"/>
        <w:gridCol w:w="653"/>
        <w:gridCol w:w="1267"/>
        <w:gridCol w:w="653"/>
        <w:gridCol w:w="1267"/>
      </w:tblGrid>
      <w:tr>
        <w:trPr>
          <w:trHeight w:val="300"/>
          <w:jc w:val="center"/>
        </w:trPr>
        <w:tc>
          <w:tcPr>
            <w:tcW w:w="1920" w:type="dxa"/>
            <w:gridSpan w:val="2"/>
            <w:tcBorders>
              <w:top w:val="single" w:sz="4" w:space="0" w:color="auto"/>
              <w:left w:val="single" w:sz="4" w:space="0" w:color="auto"/>
              <w:bottom w:val="single" w:sz="4" w:space="0" w:color="auto"/>
              <w:right w:val="single" w:sz="4" w:space="0" w:color="000000"/>
            </w:tcBorders>
            <w:shd w:val="clear" w:color="000000" w:fill="BDD7EE"/>
            <w:noWrap/>
            <w:vAlign w:val="bottom"/>
            <w:hideMark/>
          </w:tcPr>
          <w:p>
            <w:pPr>
              <w:spacing w:after="0"/>
              <w:jc w:val="center"/>
              <w:rPr>
                <w:b/>
                <w:bCs/>
                <w:noProof/>
              </w:rPr>
            </w:pPr>
            <w:r>
              <w:rPr>
                <w:b/>
                <w:bCs/>
                <w:noProof/>
              </w:rPr>
              <w:t>2017</w:t>
            </w:r>
          </w:p>
        </w:tc>
        <w:tc>
          <w:tcPr>
            <w:tcW w:w="1920" w:type="dxa"/>
            <w:gridSpan w:val="2"/>
            <w:tcBorders>
              <w:top w:val="single" w:sz="4" w:space="0" w:color="auto"/>
              <w:left w:val="nil"/>
              <w:bottom w:val="single" w:sz="4" w:space="0" w:color="auto"/>
              <w:right w:val="single" w:sz="4" w:space="0" w:color="000000"/>
            </w:tcBorders>
            <w:shd w:val="clear" w:color="000000" w:fill="BDD7EE"/>
            <w:noWrap/>
            <w:vAlign w:val="bottom"/>
            <w:hideMark/>
          </w:tcPr>
          <w:p>
            <w:pPr>
              <w:spacing w:after="0"/>
              <w:jc w:val="center"/>
              <w:rPr>
                <w:b/>
                <w:bCs/>
                <w:noProof/>
              </w:rPr>
            </w:pPr>
            <w:r>
              <w:rPr>
                <w:b/>
                <w:bCs/>
                <w:noProof/>
              </w:rPr>
              <w:t>2018</w:t>
            </w:r>
          </w:p>
        </w:tc>
        <w:tc>
          <w:tcPr>
            <w:tcW w:w="1920" w:type="dxa"/>
            <w:gridSpan w:val="2"/>
            <w:tcBorders>
              <w:top w:val="single" w:sz="4" w:space="0" w:color="auto"/>
              <w:left w:val="nil"/>
              <w:bottom w:val="single" w:sz="4" w:space="0" w:color="auto"/>
              <w:right w:val="single" w:sz="4" w:space="0" w:color="000000"/>
            </w:tcBorders>
            <w:shd w:val="clear" w:color="000000" w:fill="BDD7EE"/>
            <w:noWrap/>
            <w:vAlign w:val="bottom"/>
            <w:hideMark/>
          </w:tcPr>
          <w:p>
            <w:pPr>
              <w:spacing w:after="0"/>
              <w:jc w:val="center"/>
              <w:rPr>
                <w:b/>
                <w:bCs/>
                <w:noProof/>
              </w:rPr>
            </w:pPr>
            <w:r>
              <w:rPr>
                <w:b/>
                <w:bCs/>
                <w:noProof/>
              </w:rPr>
              <w:t>2019</w:t>
            </w:r>
          </w:p>
        </w:tc>
      </w:tr>
      <w:tr>
        <w:trPr>
          <w:trHeight w:val="585"/>
          <w:jc w:val="center"/>
        </w:trPr>
        <w:tc>
          <w:tcPr>
            <w:tcW w:w="5760" w:type="dxa"/>
            <w:gridSpan w:val="6"/>
            <w:tcBorders>
              <w:top w:val="single" w:sz="4" w:space="0" w:color="auto"/>
              <w:left w:val="single" w:sz="4" w:space="0" w:color="auto"/>
              <w:bottom w:val="single" w:sz="4" w:space="0" w:color="auto"/>
              <w:right w:val="single" w:sz="4" w:space="0" w:color="000000"/>
            </w:tcBorders>
            <w:shd w:val="clear" w:color="000000" w:fill="BDD7EE"/>
            <w:vAlign w:val="center"/>
            <w:hideMark/>
          </w:tcPr>
          <w:p>
            <w:pPr>
              <w:spacing w:after="0"/>
              <w:rPr>
                <w:noProof/>
              </w:rPr>
            </w:pPr>
            <w:r>
              <w:rPr>
                <w:noProof/>
              </w:rPr>
              <w:t>Państwa członkowskie najbardziej aktywne pod względem wysyłanych powiadomień o nowych wyrokach skazujących:</w:t>
            </w:r>
          </w:p>
        </w:tc>
      </w:tr>
      <w:tr>
        <w:trPr>
          <w:trHeight w:val="375"/>
          <w:jc w:val="center"/>
        </w:trPr>
        <w:tc>
          <w:tcPr>
            <w:tcW w:w="653"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center"/>
              <w:rPr>
                <w:noProof/>
              </w:rPr>
            </w:pPr>
            <w:r>
              <w:rPr>
                <w:noProof/>
              </w:rPr>
              <w:t>DE</w:t>
            </w:r>
          </w:p>
        </w:tc>
        <w:tc>
          <w:tcPr>
            <w:tcW w:w="1267" w:type="dxa"/>
            <w:tcBorders>
              <w:top w:val="nil"/>
              <w:left w:val="nil"/>
              <w:bottom w:val="single" w:sz="4" w:space="0" w:color="auto"/>
              <w:right w:val="single" w:sz="4" w:space="0" w:color="auto"/>
            </w:tcBorders>
            <w:shd w:val="clear" w:color="auto" w:fill="auto"/>
            <w:noWrap/>
            <w:vAlign w:val="bottom"/>
            <w:hideMark/>
          </w:tcPr>
          <w:p>
            <w:pPr>
              <w:spacing w:after="0"/>
              <w:jc w:val="center"/>
              <w:rPr>
                <w:noProof/>
              </w:rPr>
            </w:pPr>
            <w:r>
              <w:rPr>
                <w:noProof/>
              </w:rPr>
              <w:t>34,5 %</w:t>
            </w:r>
          </w:p>
        </w:tc>
        <w:tc>
          <w:tcPr>
            <w:tcW w:w="653" w:type="dxa"/>
            <w:tcBorders>
              <w:top w:val="nil"/>
              <w:left w:val="nil"/>
              <w:bottom w:val="single" w:sz="4" w:space="0" w:color="auto"/>
              <w:right w:val="single" w:sz="4" w:space="0" w:color="auto"/>
            </w:tcBorders>
            <w:shd w:val="clear" w:color="auto" w:fill="auto"/>
            <w:noWrap/>
            <w:vAlign w:val="bottom"/>
            <w:hideMark/>
          </w:tcPr>
          <w:p>
            <w:pPr>
              <w:spacing w:after="0"/>
              <w:jc w:val="center"/>
              <w:rPr>
                <w:noProof/>
              </w:rPr>
            </w:pPr>
            <w:r>
              <w:rPr>
                <w:noProof/>
              </w:rPr>
              <w:t>DE</w:t>
            </w:r>
          </w:p>
        </w:tc>
        <w:tc>
          <w:tcPr>
            <w:tcW w:w="1267" w:type="dxa"/>
            <w:tcBorders>
              <w:top w:val="nil"/>
              <w:left w:val="nil"/>
              <w:bottom w:val="single" w:sz="4" w:space="0" w:color="auto"/>
              <w:right w:val="single" w:sz="4" w:space="0" w:color="auto"/>
            </w:tcBorders>
            <w:shd w:val="clear" w:color="auto" w:fill="auto"/>
            <w:noWrap/>
            <w:vAlign w:val="bottom"/>
            <w:hideMark/>
          </w:tcPr>
          <w:p>
            <w:pPr>
              <w:spacing w:after="0"/>
              <w:jc w:val="center"/>
              <w:rPr>
                <w:noProof/>
              </w:rPr>
            </w:pPr>
            <w:r>
              <w:rPr>
                <w:noProof/>
              </w:rPr>
              <w:t>32,6 %</w:t>
            </w:r>
          </w:p>
        </w:tc>
        <w:tc>
          <w:tcPr>
            <w:tcW w:w="653" w:type="dxa"/>
            <w:tcBorders>
              <w:top w:val="nil"/>
              <w:left w:val="nil"/>
              <w:bottom w:val="single" w:sz="4" w:space="0" w:color="auto"/>
              <w:right w:val="single" w:sz="4" w:space="0" w:color="auto"/>
            </w:tcBorders>
            <w:shd w:val="clear" w:color="auto" w:fill="auto"/>
            <w:noWrap/>
            <w:vAlign w:val="bottom"/>
            <w:hideMark/>
          </w:tcPr>
          <w:p>
            <w:pPr>
              <w:spacing w:after="0"/>
              <w:jc w:val="center"/>
              <w:rPr>
                <w:noProof/>
              </w:rPr>
            </w:pPr>
            <w:r>
              <w:rPr>
                <w:noProof/>
              </w:rPr>
              <w:t>DE</w:t>
            </w:r>
          </w:p>
        </w:tc>
        <w:tc>
          <w:tcPr>
            <w:tcW w:w="1267" w:type="dxa"/>
            <w:tcBorders>
              <w:top w:val="nil"/>
              <w:left w:val="nil"/>
              <w:bottom w:val="single" w:sz="4" w:space="0" w:color="auto"/>
              <w:right w:val="single" w:sz="4" w:space="0" w:color="auto"/>
            </w:tcBorders>
            <w:shd w:val="clear" w:color="auto" w:fill="auto"/>
            <w:noWrap/>
            <w:vAlign w:val="bottom"/>
            <w:hideMark/>
          </w:tcPr>
          <w:p>
            <w:pPr>
              <w:spacing w:after="0"/>
              <w:jc w:val="center"/>
              <w:rPr>
                <w:noProof/>
              </w:rPr>
            </w:pPr>
            <w:r>
              <w:rPr>
                <w:noProof/>
              </w:rPr>
              <w:t>35,9 %</w:t>
            </w:r>
          </w:p>
        </w:tc>
      </w:tr>
      <w:tr>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center"/>
              <w:rPr>
                <w:noProof/>
              </w:rPr>
            </w:pPr>
            <w:r>
              <w:rPr>
                <w:noProof/>
              </w:rPr>
              <w:t>BE</w:t>
            </w:r>
          </w:p>
        </w:tc>
        <w:tc>
          <w:tcPr>
            <w:tcW w:w="1267" w:type="dxa"/>
            <w:tcBorders>
              <w:top w:val="nil"/>
              <w:left w:val="nil"/>
              <w:bottom w:val="single" w:sz="4" w:space="0" w:color="auto"/>
              <w:right w:val="single" w:sz="4" w:space="0" w:color="auto"/>
            </w:tcBorders>
            <w:shd w:val="clear" w:color="auto" w:fill="auto"/>
            <w:noWrap/>
            <w:vAlign w:val="bottom"/>
            <w:hideMark/>
          </w:tcPr>
          <w:p>
            <w:pPr>
              <w:spacing w:after="0"/>
              <w:jc w:val="center"/>
              <w:rPr>
                <w:noProof/>
              </w:rPr>
            </w:pPr>
            <w:r>
              <w:rPr>
                <w:noProof/>
              </w:rPr>
              <w:t>12,9 %</w:t>
            </w:r>
          </w:p>
        </w:tc>
        <w:tc>
          <w:tcPr>
            <w:tcW w:w="653" w:type="dxa"/>
            <w:tcBorders>
              <w:top w:val="nil"/>
              <w:left w:val="nil"/>
              <w:bottom w:val="single" w:sz="4" w:space="0" w:color="auto"/>
              <w:right w:val="single" w:sz="4" w:space="0" w:color="auto"/>
            </w:tcBorders>
            <w:shd w:val="clear" w:color="auto" w:fill="auto"/>
            <w:noWrap/>
            <w:vAlign w:val="bottom"/>
            <w:hideMark/>
          </w:tcPr>
          <w:p>
            <w:pPr>
              <w:spacing w:after="0"/>
              <w:jc w:val="center"/>
              <w:rPr>
                <w:noProof/>
              </w:rPr>
            </w:pPr>
            <w:r>
              <w:rPr>
                <w:noProof/>
              </w:rPr>
              <w:t>BE</w:t>
            </w:r>
          </w:p>
        </w:tc>
        <w:tc>
          <w:tcPr>
            <w:tcW w:w="1267" w:type="dxa"/>
            <w:tcBorders>
              <w:top w:val="nil"/>
              <w:left w:val="nil"/>
              <w:bottom w:val="single" w:sz="4" w:space="0" w:color="auto"/>
              <w:right w:val="single" w:sz="4" w:space="0" w:color="auto"/>
            </w:tcBorders>
            <w:shd w:val="clear" w:color="auto" w:fill="auto"/>
            <w:noWrap/>
            <w:vAlign w:val="bottom"/>
            <w:hideMark/>
          </w:tcPr>
          <w:p>
            <w:pPr>
              <w:spacing w:after="0"/>
              <w:jc w:val="center"/>
              <w:rPr>
                <w:noProof/>
              </w:rPr>
            </w:pPr>
            <w:r>
              <w:rPr>
                <w:noProof/>
              </w:rPr>
              <w:t>14,0 %</w:t>
            </w:r>
          </w:p>
        </w:tc>
        <w:tc>
          <w:tcPr>
            <w:tcW w:w="653" w:type="dxa"/>
            <w:tcBorders>
              <w:top w:val="nil"/>
              <w:left w:val="nil"/>
              <w:bottom w:val="single" w:sz="4" w:space="0" w:color="auto"/>
              <w:right w:val="single" w:sz="4" w:space="0" w:color="auto"/>
            </w:tcBorders>
            <w:shd w:val="clear" w:color="auto" w:fill="auto"/>
            <w:noWrap/>
            <w:vAlign w:val="bottom"/>
            <w:hideMark/>
          </w:tcPr>
          <w:p>
            <w:pPr>
              <w:spacing w:after="0"/>
              <w:jc w:val="center"/>
              <w:rPr>
                <w:noProof/>
              </w:rPr>
            </w:pPr>
            <w:r>
              <w:rPr>
                <w:noProof/>
              </w:rPr>
              <w:t>BE</w:t>
            </w:r>
          </w:p>
        </w:tc>
        <w:tc>
          <w:tcPr>
            <w:tcW w:w="1267" w:type="dxa"/>
            <w:tcBorders>
              <w:top w:val="nil"/>
              <w:left w:val="nil"/>
              <w:bottom w:val="single" w:sz="4" w:space="0" w:color="auto"/>
              <w:right w:val="single" w:sz="4" w:space="0" w:color="auto"/>
            </w:tcBorders>
            <w:shd w:val="clear" w:color="auto" w:fill="auto"/>
            <w:noWrap/>
            <w:vAlign w:val="bottom"/>
            <w:hideMark/>
          </w:tcPr>
          <w:p>
            <w:pPr>
              <w:spacing w:after="0"/>
              <w:jc w:val="center"/>
              <w:rPr>
                <w:noProof/>
              </w:rPr>
            </w:pPr>
            <w:r>
              <w:rPr>
                <w:noProof/>
              </w:rPr>
              <w:t>11,9 %</w:t>
            </w:r>
          </w:p>
        </w:tc>
      </w:tr>
      <w:tr>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center"/>
              <w:rPr>
                <w:noProof/>
              </w:rPr>
            </w:pPr>
            <w:r>
              <w:rPr>
                <w:noProof/>
              </w:rPr>
              <w:t>ES</w:t>
            </w:r>
          </w:p>
        </w:tc>
        <w:tc>
          <w:tcPr>
            <w:tcW w:w="1267" w:type="dxa"/>
            <w:tcBorders>
              <w:top w:val="nil"/>
              <w:left w:val="nil"/>
              <w:bottom w:val="single" w:sz="4" w:space="0" w:color="auto"/>
              <w:right w:val="single" w:sz="4" w:space="0" w:color="auto"/>
            </w:tcBorders>
            <w:shd w:val="clear" w:color="auto" w:fill="auto"/>
            <w:noWrap/>
            <w:vAlign w:val="bottom"/>
            <w:hideMark/>
          </w:tcPr>
          <w:p>
            <w:pPr>
              <w:spacing w:after="0"/>
              <w:jc w:val="center"/>
              <w:rPr>
                <w:noProof/>
              </w:rPr>
            </w:pPr>
            <w:r>
              <w:rPr>
                <w:noProof/>
              </w:rPr>
              <w:t>10,4 %</w:t>
            </w:r>
          </w:p>
        </w:tc>
        <w:tc>
          <w:tcPr>
            <w:tcW w:w="653" w:type="dxa"/>
            <w:tcBorders>
              <w:top w:val="nil"/>
              <w:left w:val="nil"/>
              <w:bottom w:val="single" w:sz="4" w:space="0" w:color="auto"/>
              <w:right w:val="single" w:sz="4" w:space="0" w:color="auto"/>
            </w:tcBorders>
            <w:shd w:val="clear" w:color="auto" w:fill="auto"/>
            <w:noWrap/>
            <w:vAlign w:val="bottom"/>
            <w:hideMark/>
          </w:tcPr>
          <w:p>
            <w:pPr>
              <w:spacing w:after="0"/>
              <w:jc w:val="center"/>
              <w:rPr>
                <w:noProof/>
              </w:rPr>
            </w:pPr>
            <w:r>
              <w:rPr>
                <w:noProof/>
              </w:rPr>
              <w:t>ES</w:t>
            </w:r>
          </w:p>
        </w:tc>
        <w:tc>
          <w:tcPr>
            <w:tcW w:w="1267" w:type="dxa"/>
            <w:tcBorders>
              <w:top w:val="nil"/>
              <w:left w:val="nil"/>
              <w:bottom w:val="single" w:sz="4" w:space="0" w:color="auto"/>
              <w:right w:val="single" w:sz="4" w:space="0" w:color="auto"/>
            </w:tcBorders>
            <w:shd w:val="clear" w:color="auto" w:fill="auto"/>
            <w:noWrap/>
            <w:vAlign w:val="bottom"/>
            <w:hideMark/>
          </w:tcPr>
          <w:p>
            <w:pPr>
              <w:spacing w:after="0"/>
              <w:jc w:val="center"/>
              <w:rPr>
                <w:noProof/>
              </w:rPr>
            </w:pPr>
            <w:r>
              <w:rPr>
                <w:noProof/>
              </w:rPr>
              <w:t>11,5 %</w:t>
            </w:r>
          </w:p>
        </w:tc>
        <w:tc>
          <w:tcPr>
            <w:tcW w:w="653" w:type="dxa"/>
            <w:tcBorders>
              <w:top w:val="nil"/>
              <w:left w:val="nil"/>
              <w:bottom w:val="single" w:sz="4" w:space="0" w:color="auto"/>
              <w:right w:val="single" w:sz="4" w:space="0" w:color="auto"/>
            </w:tcBorders>
            <w:shd w:val="clear" w:color="auto" w:fill="auto"/>
            <w:noWrap/>
            <w:vAlign w:val="bottom"/>
            <w:hideMark/>
          </w:tcPr>
          <w:p>
            <w:pPr>
              <w:spacing w:after="0"/>
              <w:jc w:val="center"/>
              <w:rPr>
                <w:noProof/>
              </w:rPr>
            </w:pPr>
            <w:r>
              <w:rPr>
                <w:noProof/>
              </w:rPr>
              <w:t>UK</w:t>
            </w:r>
          </w:p>
        </w:tc>
        <w:tc>
          <w:tcPr>
            <w:tcW w:w="1267" w:type="dxa"/>
            <w:tcBorders>
              <w:top w:val="nil"/>
              <w:left w:val="nil"/>
              <w:bottom w:val="single" w:sz="4" w:space="0" w:color="auto"/>
              <w:right w:val="single" w:sz="4" w:space="0" w:color="auto"/>
            </w:tcBorders>
            <w:shd w:val="clear" w:color="auto" w:fill="auto"/>
            <w:noWrap/>
            <w:vAlign w:val="bottom"/>
            <w:hideMark/>
          </w:tcPr>
          <w:p>
            <w:pPr>
              <w:spacing w:after="0"/>
              <w:jc w:val="center"/>
              <w:rPr>
                <w:noProof/>
              </w:rPr>
            </w:pPr>
            <w:r>
              <w:rPr>
                <w:noProof/>
              </w:rPr>
              <w:t>10,7 %</w:t>
            </w:r>
          </w:p>
        </w:tc>
      </w:tr>
      <w:tr>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center"/>
              <w:rPr>
                <w:noProof/>
              </w:rPr>
            </w:pPr>
            <w:r>
              <w:rPr>
                <w:noProof/>
              </w:rPr>
              <w:t>UK</w:t>
            </w:r>
          </w:p>
        </w:tc>
        <w:tc>
          <w:tcPr>
            <w:tcW w:w="1267" w:type="dxa"/>
            <w:tcBorders>
              <w:top w:val="nil"/>
              <w:left w:val="nil"/>
              <w:bottom w:val="single" w:sz="4" w:space="0" w:color="auto"/>
              <w:right w:val="single" w:sz="4" w:space="0" w:color="auto"/>
            </w:tcBorders>
            <w:shd w:val="clear" w:color="auto" w:fill="auto"/>
            <w:noWrap/>
            <w:vAlign w:val="bottom"/>
            <w:hideMark/>
          </w:tcPr>
          <w:p>
            <w:pPr>
              <w:spacing w:after="0"/>
              <w:jc w:val="center"/>
              <w:rPr>
                <w:noProof/>
              </w:rPr>
            </w:pPr>
            <w:r>
              <w:rPr>
                <w:noProof/>
              </w:rPr>
              <w:t>9,3 %</w:t>
            </w:r>
          </w:p>
        </w:tc>
        <w:tc>
          <w:tcPr>
            <w:tcW w:w="653" w:type="dxa"/>
            <w:tcBorders>
              <w:top w:val="nil"/>
              <w:left w:val="nil"/>
              <w:bottom w:val="single" w:sz="4" w:space="0" w:color="auto"/>
              <w:right w:val="single" w:sz="4" w:space="0" w:color="auto"/>
            </w:tcBorders>
            <w:shd w:val="clear" w:color="auto" w:fill="auto"/>
            <w:noWrap/>
            <w:vAlign w:val="bottom"/>
            <w:hideMark/>
          </w:tcPr>
          <w:p>
            <w:pPr>
              <w:spacing w:after="0"/>
              <w:jc w:val="center"/>
              <w:rPr>
                <w:noProof/>
              </w:rPr>
            </w:pPr>
            <w:r>
              <w:rPr>
                <w:noProof/>
              </w:rPr>
              <w:t>NL</w:t>
            </w:r>
          </w:p>
        </w:tc>
        <w:tc>
          <w:tcPr>
            <w:tcW w:w="1267" w:type="dxa"/>
            <w:tcBorders>
              <w:top w:val="nil"/>
              <w:left w:val="nil"/>
              <w:bottom w:val="single" w:sz="4" w:space="0" w:color="auto"/>
              <w:right w:val="single" w:sz="4" w:space="0" w:color="auto"/>
            </w:tcBorders>
            <w:shd w:val="clear" w:color="auto" w:fill="auto"/>
            <w:noWrap/>
            <w:vAlign w:val="bottom"/>
            <w:hideMark/>
          </w:tcPr>
          <w:p>
            <w:pPr>
              <w:spacing w:after="0"/>
              <w:jc w:val="center"/>
              <w:rPr>
                <w:noProof/>
              </w:rPr>
            </w:pPr>
            <w:r>
              <w:rPr>
                <w:noProof/>
              </w:rPr>
              <w:t>9,6 %</w:t>
            </w:r>
          </w:p>
        </w:tc>
        <w:tc>
          <w:tcPr>
            <w:tcW w:w="653" w:type="dxa"/>
            <w:tcBorders>
              <w:top w:val="nil"/>
              <w:left w:val="nil"/>
              <w:bottom w:val="single" w:sz="4" w:space="0" w:color="auto"/>
              <w:right w:val="single" w:sz="4" w:space="0" w:color="auto"/>
            </w:tcBorders>
            <w:shd w:val="clear" w:color="auto" w:fill="auto"/>
            <w:noWrap/>
            <w:vAlign w:val="bottom"/>
            <w:hideMark/>
          </w:tcPr>
          <w:p>
            <w:pPr>
              <w:spacing w:after="0"/>
              <w:jc w:val="center"/>
              <w:rPr>
                <w:noProof/>
              </w:rPr>
            </w:pPr>
            <w:r>
              <w:rPr>
                <w:noProof/>
              </w:rPr>
              <w:t>ES</w:t>
            </w:r>
          </w:p>
        </w:tc>
        <w:tc>
          <w:tcPr>
            <w:tcW w:w="1267" w:type="dxa"/>
            <w:tcBorders>
              <w:top w:val="nil"/>
              <w:left w:val="nil"/>
              <w:bottom w:val="single" w:sz="4" w:space="0" w:color="auto"/>
              <w:right w:val="single" w:sz="4" w:space="0" w:color="auto"/>
            </w:tcBorders>
            <w:shd w:val="clear" w:color="auto" w:fill="auto"/>
            <w:noWrap/>
            <w:vAlign w:val="bottom"/>
            <w:hideMark/>
          </w:tcPr>
          <w:p>
            <w:pPr>
              <w:spacing w:after="0"/>
              <w:jc w:val="center"/>
              <w:rPr>
                <w:noProof/>
              </w:rPr>
            </w:pPr>
            <w:r>
              <w:rPr>
                <w:noProof/>
              </w:rPr>
              <w:t>9,6 %</w:t>
            </w:r>
          </w:p>
        </w:tc>
      </w:tr>
      <w:tr>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center"/>
              <w:rPr>
                <w:noProof/>
              </w:rPr>
            </w:pPr>
            <w:r>
              <w:rPr>
                <w:noProof/>
              </w:rPr>
              <w:t>NL</w:t>
            </w:r>
          </w:p>
        </w:tc>
        <w:tc>
          <w:tcPr>
            <w:tcW w:w="1267" w:type="dxa"/>
            <w:tcBorders>
              <w:top w:val="nil"/>
              <w:left w:val="nil"/>
              <w:bottom w:val="single" w:sz="4" w:space="0" w:color="auto"/>
              <w:right w:val="single" w:sz="4" w:space="0" w:color="auto"/>
            </w:tcBorders>
            <w:shd w:val="clear" w:color="auto" w:fill="auto"/>
            <w:noWrap/>
            <w:vAlign w:val="bottom"/>
            <w:hideMark/>
          </w:tcPr>
          <w:p>
            <w:pPr>
              <w:spacing w:after="0"/>
              <w:jc w:val="center"/>
              <w:rPr>
                <w:noProof/>
              </w:rPr>
            </w:pPr>
            <w:r>
              <w:rPr>
                <w:noProof/>
              </w:rPr>
              <w:t>7,5 %</w:t>
            </w:r>
          </w:p>
        </w:tc>
        <w:tc>
          <w:tcPr>
            <w:tcW w:w="653" w:type="dxa"/>
            <w:tcBorders>
              <w:top w:val="nil"/>
              <w:left w:val="nil"/>
              <w:bottom w:val="single" w:sz="4" w:space="0" w:color="auto"/>
              <w:right w:val="single" w:sz="4" w:space="0" w:color="auto"/>
            </w:tcBorders>
            <w:shd w:val="clear" w:color="auto" w:fill="auto"/>
            <w:noWrap/>
            <w:vAlign w:val="bottom"/>
            <w:hideMark/>
          </w:tcPr>
          <w:p>
            <w:pPr>
              <w:spacing w:after="0"/>
              <w:jc w:val="center"/>
              <w:rPr>
                <w:noProof/>
              </w:rPr>
            </w:pPr>
            <w:r>
              <w:rPr>
                <w:noProof/>
              </w:rPr>
              <w:t>IT</w:t>
            </w:r>
          </w:p>
        </w:tc>
        <w:tc>
          <w:tcPr>
            <w:tcW w:w="1267" w:type="dxa"/>
            <w:tcBorders>
              <w:top w:val="nil"/>
              <w:left w:val="nil"/>
              <w:bottom w:val="single" w:sz="4" w:space="0" w:color="auto"/>
              <w:right w:val="single" w:sz="4" w:space="0" w:color="auto"/>
            </w:tcBorders>
            <w:shd w:val="clear" w:color="auto" w:fill="auto"/>
            <w:noWrap/>
            <w:vAlign w:val="bottom"/>
            <w:hideMark/>
          </w:tcPr>
          <w:p>
            <w:pPr>
              <w:spacing w:after="0"/>
              <w:jc w:val="center"/>
              <w:rPr>
                <w:noProof/>
              </w:rPr>
            </w:pPr>
            <w:r>
              <w:rPr>
                <w:noProof/>
              </w:rPr>
              <w:t>8,4 %</w:t>
            </w:r>
          </w:p>
        </w:tc>
        <w:tc>
          <w:tcPr>
            <w:tcW w:w="653" w:type="dxa"/>
            <w:tcBorders>
              <w:top w:val="nil"/>
              <w:left w:val="nil"/>
              <w:bottom w:val="single" w:sz="4" w:space="0" w:color="auto"/>
              <w:right w:val="single" w:sz="4" w:space="0" w:color="auto"/>
            </w:tcBorders>
            <w:shd w:val="clear" w:color="auto" w:fill="auto"/>
            <w:noWrap/>
            <w:vAlign w:val="bottom"/>
            <w:hideMark/>
          </w:tcPr>
          <w:p>
            <w:pPr>
              <w:spacing w:after="0"/>
              <w:jc w:val="center"/>
              <w:rPr>
                <w:noProof/>
              </w:rPr>
            </w:pPr>
            <w:r>
              <w:rPr>
                <w:noProof/>
              </w:rPr>
              <w:t>IT</w:t>
            </w:r>
          </w:p>
        </w:tc>
        <w:tc>
          <w:tcPr>
            <w:tcW w:w="1267" w:type="dxa"/>
            <w:tcBorders>
              <w:top w:val="nil"/>
              <w:left w:val="nil"/>
              <w:bottom w:val="single" w:sz="4" w:space="0" w:color="auto"/>
              <w:right w:val="single" w:sz="4" w:space="0" w:color="auto"/>
            </w:tcBorders>
            <w:shd w:val="clear" w:color="auto" w:fill="auto"/>
            <w:noWrap/>
            <w:vAlign w:val="bottom"/>
            <w:hideMark/>
          </w:tcPr>
          <w:p>
            <w:pPr>
              <w:spacing w:after="0"/>
              <w:jc w:val="center"/>
              <w:rPr>
                <w:noProof/>
              </w:rPr>
            </w:pPr>
            <w:r>
              <w:rPr>
                <w:noProof/>
              </w:rPr>
              <w:t>8,3 %</w:t>
            </w:r>
          </w:p>
        </w:tc>
      </w:tr>
    </w:tbl>
    <w:p>
      <w:pPr>
        <w:jc w:val="both"/>
        <w:rPr>
          <w:rFonts w:ascii="Times New Roman" w:hAnsi="Times New Roman" w:cs="Times New Roman"/>
          <w:noProof/>
          <w:sz w:val="24"/>
          <w:szCs w:val="24"/>
        </w:rPr>
      </w:pPr>
    </w:p>
    <w:bookmarkEnd w:id="19"/>
    <w:p>
      <w:pPr>
        <w:jc w:val="both"/>
        <w:rPr>
          <w:rFonts w:ascii="Times New Roman" w:hAnsi="Times New Roman" w:cs="Times New Roman"/>
          <w:noProof/>
          <w:sz w:val="24"/>
          <w:szCs w:val="24"/>
        </w:rPr>
      </w:pPr>
      <w:r>
        <w:rPr>
          <w:rFonts w:ascii="Times New Roman" w:hAnsi="Times New Roman"/>
          <w:noProof/>
          <w:sz w:val="24"/>
          <w:szCs w:val="24"/>
        </w:rPr>
        <w:t>Przy uwzględnieniu wszystkich wysłanych powiadomień, w tym powiadomień dotyczących aktualizacji, na pierwszym miejscu pozostają DE, ale kolejność ulega zmianie.</w:t>
      </w:r>
    </w:p>
    <w:p>
      <w:pPr>
        <w:jc w:val="center"/>
        <w:rPr>
          <w:rFonts w:ascii="Times New Roman" w:hAnsi="Times New Roman" w:cs="Times New Roman"/>
          <w:noProof/>
          <w:sz w:val="24"/>
          <w:szCs w:val="24"/>
        </w:rPr>
      </w:pPr>
      <w:r>
        <w:rPr>
          <w:noProof/>
          <w:szCs w:val="24"/>
          <w:lang w:val="en-GB"/>
        </w:rPr>
        <w:drawing>
          <wp:inline distT="0" distB="0" distL="0" distR="0">
            <wp:extent cx="5760085" cy="1819910"/>
            <wp:effectExtent l="0" t="0" r="0" b="0"/>
            <wp:docPr id="65"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srcRect/>
                    <a:stretch>
                      <a:fillRect/>
                    </a:stretch>
                  </pic:blipFill>
                  <pic:spPr bwMode="auto">
                    <a:xfrm>
                      <a:off x="0" y="0"/>
                      <a:ext cx="5760085" cy="1819910"/>
                    </a:xfrm>
                    <a:prstGeom prst="rect">
                      <a:avLst/>
                    </a:prstGeom>
                    <a:noFill/>
                    <a:ln w="9525">
                      <a:noFill/>
                      <a:miter lim="800000"/>
                      <a:headEnd/>
                      <a:tailEnd/>
                    </a:ln>
                  </pic:spPr>
                </pic:pic>
              </a:graphicData>
            </a:graphic>
          </wp:inline>
        </w:drawing>
      </w:r>
    </w:p>
    <w:p>
      <w:pPr>
        <w:jc w:val="both"/>
        <w:rPr>
          <w:rFonts w:ascii="Times New Roman" w:hAnsi="Times New Roman" w:cs="Times New Roman"/>
          <w:b/>
          <w:noProof/>
          <w:sz w:val="24"/>
          <w:szCs w:val="24"/>
        </w:rPr>
      </w:pPr>
    </w:p>
    <w:p>
      <w:pPr>
        <w:jc w:val="both"/>
        <w:rPr>
          <w:rFonts w:ascii="Times New Roman" w:hAnsi="Times New Roman" w:cs="Times New Roman"/>
          <w:bCs/>
          <w:noProof/>
          <w:sz w:val="24"/>
          <w:szCs w:val="24"/>
        </w:rPr>
      </w:pPr>
      <w:r>
        <w:rPr>
          <w:rFonts w:ascii="Times New Roman" w:hAnsi="Times New Roman"/>
          <w:b/>
          <w:noProof/>
          <w:sz w:val="24"/>
          <w:szCs w:val="24"/>
        </w:rPr>
        <w:t xml:space="preserve">Powiadomienia o nowych wyrokach skazujących i powiadomienia o aktualizacji </w:t>
      </w:r>
      <w:r>
        <w:rPr>
          <w:rFonts w:ascii="Times New Roman" w:hAnsi="Times New Roman"/>
          <w:noProof/>
          <w:sz w:val="24"/>
          <w:szCs w:val="24"/>
        </w:rPr>
        <w:t>stanowiły w 2019 r. odpowiednio</w:t>
      </w:r>
      <w:r>
        <w:rPr>
          <w:rFonts w:ascii="Times New Roman" w:hAnsi="Times New Roman"/>
          <w:b/>
          <w:noProof/>
          <w:sz w:val="24"/>
          <w:szCs w:val="24"/>
        </w:rPr>
        <w:t xml:space="preserve"> 58 % i 42 </w:t>
      </w:r>
      <w:r>
        <w:rPr>
          <w:rFonts w:ascii="Times New Roman" w:hAnsi="Times New Roman"/>
          <w:b/>
          <w:bCs/>
          <w:noProof/>
          <w:sz w:val="24"/>
          <w:szCs w:val="24"/>
        </w:rPr>
        <w:t>%</w:t>
      </w:r>
      <w:r>
        <w:rPr>
          <w:rFonts w:ascii="Times New Roman" w:hAnsi="Times New Roman"/>
          <w:noProof/>
          <w:sz w:val="24"/>
          <w:szCs w:val="24"/>
        </w:rPr>
        <w:t xml:space="preserve">. Łącznie w roku tym wysłano </w:t>
      </w:r>
      <w:r>
        <w:rPr>
          <w:rFonts w:ascii="Times New Roman" w:hAnsi="Times New Roman"/>
          <w:b/>
          <w:noProof/>
          <w:sz w:val="24"/>
          <w:szCs w:val="24"/>
        </w:rPr>
        <w:t>230 000 powiadomień o aktualizacjach</w:t>
      </w:r>
      <w:r>
        <w:rPr>
          <w:rStyle w:val="FootnoteReference"/>
          <w:rFonts w:ascii="Times New Roman" w:hAnsi="Times New Roman" w:cs="Times New Roman"/>
          <w:noProof/>
          <w:sz w:val="24"/>
          <w:szCs w:val="24"/>
        </w:rPr>
        <w:footnoteReference w:id="15"/>
      </w:r>
      <w:r>
        <w:rPr>
          <w:noProof/>
        </w:rPr>
        <w:t>.</w:t>
      </w:r>
      <w:r>
        <w:rPr>
          <w:rFonts w:ascii="Times New Roman" w:hAnsi="Times New Roman"/>
          <w:noProof/>
          <w:sz w:val="24"/>
          <w:szCs w:val="24"/>
        </w:rPr>
        <w:t xml:space="preserve"> </w:t>
      </w:r>
      <w:r>
        <w:rPr>
          <w:rFonts w:ascii="Times New Roman" w:hAnsi="Times New Roman"/>
          <w:bCs/>
          <w:noProof/>
          <w:sz w:val="24"/>
          <w:szCs w:val="24"/>
        </w:rPr>
        <w:t xml:space="preserve">Warto zaznaczyć, że przed 2017 r. aktualizacje stanowiły tylko około jednej czwartej wszystkich powiadomień. Obecny </w:t>
      </w:r>
      <w:r>
        <w:rPr>
          <w:rFonts w:ascii="Times New Roman" w:hAnsi="Times New Roman"/>
          <w:b/>
          <w:bCs/>
          <w:noProof/>
          <w:sz w:val="24"/>
          <w:szCs w:val="24"/>
        </w:rPr>
        <w:t>znaczny</w:t>
      </w:r>
      <w:r>
        <w:rPr>
          <w:rFonts w:ascii="Times New Roman" w:hAnsi="Times New Roman"/>
          <w:bCs/>
          <w:noProof/>
          <w:sz w:val="24"/>
          <w:szCs w:val="24"/>
        </w:rPr>
        <w:t xml:space="preserve"> </w:t>
      </w:r>
      <w:r>
        <w:rPr>
          <w:rFonts w:ascii="Times New Roman" w:hAnsi="Times New Roman"/>
          <w:b/>
          <w:noProof/>
          <w:sz w:val="24"/>
          <w:szCs w:val="24"/>
        </w:rPr>
        <w:t xml:space="preserve">wzrost liczby aktualizacji </w:t>
      </w:r>
      <w:r>
        <w:rPr>
          <w:rFonts w:ascii="Times New Roman" w:hAnsi="Times New Roman"/>
          <w:bCs/>
          <w:noProof/>
          <w:sz w:val="24"/>
          <w:szCs w:val="24"/>
        </w:rPr>
        <w:t>w</w:t>
      </w:r>
      <w:r>
        <w:rPr>
          <w:rFonts w:ascii="Times New Roman" w:hAnsi="Times New Roman"/>
          <w:b/>
          <w:noProof/>
          <w:sz w:val="24"/>
          <w:szCs w:val="24"/>
        </w:rPr>
        <w:t> </w:t>
      </w:r>
      <w:r>
        <w:rPr>
          <w:rFonts w:ascii="Times New Roman" w:hAnsi="Times New Roman"/>
          <w:bCs/>
          <w:noProof/>
          <w:sz w:val="24"/>
          <w:szCs w:val="24"/>
        </w:rPr>
        <w:t xml:space="preserve">przypadku wielu państw członkowskich należy postrzegać jako pozytywny sygnał dotyczący ich świadomości znaczenia komunikowania dalszych zmian w początkowych powiadomieniach. </w:t>
      </w:r>
    </w:p>
    <w:p>
      <w:pPr>
        <w:jc w:val="both"/>
        <w:rPr>
          <w:rFonts w:ascii="Times New Roman" w:hAnsi="Times New Roman" w:cs="Times New Roman"/>
          <w:noProof/>
          <w:sz w:val="24"/>
          <w:szCs w:val="24"/>
        </w:rPr>
      </w:pPr>
      <w:r>
        <w:rPr>
          <w:rFonts w:ascii="Times New Roman" w:hAnsi="Times New Roman"/>
          <w:b/>
          <w:noProof/>
          <w:sz w:val="24"/>
          <w:szCs w:val="24"/>
        </w:rPr>
        <w:t>Proporcje między powiadomieniami o nowych wyrokach skazujących i powiadomieniami o aktualizacjach różnią się znacznie między poszczególnymi państwami członkowskimi</w:t>
      </w:r>
      <w:r>
        <w:rPr>
          <w:rFonts w:ascii="Times New Roman" w:hAnsi="Times New Roman"/>
          <w:noProof/>
          <w:sz w:val="24"/>
          <w:szCs w:val="24"/>
        </w:rPr>
        <w:t xml:space="preserve"> – od trzykrotnie (np. FR, PL) lub dwukrotnie wyższej liczby aktualizacji niż powiadomień (np. AT, CZ), poprzez mniej więcej równe liczby w przypadku obu tych kategorii komunikatów (np. ES, NL, IT, HU, FI, SK), do aktualizacji stanowiących znikomą część wszystkich powiadomień (np. CY, DK, IE, RO). W przypadki DE, FR i ES, które wysłały największą liczbę wszystkich powiadomień, aktualizacje stanowiły odpowiednio około 34 %/76 %/57 % wszystkich ich powiadomień wysłanych w 2019 r.</w:t>
      </w:r>
    </w:p>
    <w:p>
      <w:pPr>
        <w:jc w:val="both"/>
        <w:rPr>
          <w:rFonts w:ascii="Times New Roman" w:hAnsi="Times New Roman" w:cs="Times New Roman"/>
          <w:noProof/>
          <w:sz w:val="24"/>
          <w:szCs w:val="24"/>
        </w:rPr>
      </w:pPr>
      <w:r>
        <w:rPr>
          <w:rFonts w:ascii="Times New Roman" w:hAnsi="Times New Roman"/>
          <w:noProof/>
          <w:sz w:val="24"/>
          <w:szCs w:val="24"/>
        </w:rPr>
        <w:t xml:space="preserve">W pierwszym sprawozdaniu statystycznym ustalono dwa główne problemy, tj. (i) wiele państw członkowskich </w:t>
      </w:r>
      <w:r>
        <w:rPr>
          <w:rFonts w:ascii="Times New Roman" w:hAnsi="Times New Roman"/>
          <w:b/>
          <w:noProof/>
          <w:sz w:val="24"/>
          <w:szCs w:val="24"/>
        </w:rPr>
        <w:t>w</w:t>
      </w:r>
      <w:r>
        <w:rPr>
          <w:rFonts w:ascii="Times New Roman" w:hAnsi="Times New Roman"/>
          <w:noProof/>
          <w:sz w:val="24"/>
          <w:szCs w:val="24"/>
        </w:rPr>
        <w:t> </w:t>
      </w:r>
      <w:r>
        <w:rPr>
          <w:rFonts w:ascii="Times New Roman" w:hAnsi="Times New Roman"/>
          <w:b/>
          <w:noProof/>
          <w:sz w:val="24"/>
          <w:szCs w:val="24"/>
        </w:rPr>
        <w:t>ogóle nie wysyła powiadomień o nowych wyrokach skazujących lub wysyła ich mało</w:t>
      </w:r>
      <w:r>
        <w:rPr>
          <w:rFonts w:ascii="Times New Roman" w:hAnsi="Times New Roman"/>
          <w:noProof/>
          <w:sz w:val="24"/>
          <w:szCs w:val="24"/>
        </w:rPr>
        <w:t xml:space="preserve"> oraz (ii) wiele państw członkowskich </w:t>
      </w:r>
      <w:r>
        <w:rPr>
          <w:rFonts w:ascii="Times New Roman" w:hAnsi="Times New Roman"/>
          <w:b/>
          <w:noProof/>
          <w:sz w:val="24"/>
          <w:szCs w:val="24"/>
        </w:rPr>
        <w:t>nie wysyła aktualizacji</w:t>
      </w:r>
      <w:r>
        <w:rPr>
          <w:rFonts w:ascii="Times New Roman" w:hAnsi="Times New Roman"/>
          <w:noProof/>
          <w:sz w:val="24"/>
          <w:szCs w:val="24"/>
        </w:rPr>
        <w:t xml:space="preserve"> swoich poprzednio wysłanych powiadomień </w:t>
      </w:r>
      <w:r>
        <w:rPr>
          <w:rFonts w:ascii="Times New Roman" w:hAnsi="Times New Roman"/>
          <w:b/>
          <w:bCs/>
          <w:noProof/>
          <w:sz w:val="24"/>
          <w:szCs w:val="24"/>
        </w:rPr>
        <w:t>wcale</w:t>
      </w:r>
      <w:r>
        <w:rPr>
          <w:rFonts w:ascii="Times New Roman" w:hAnsi="Times New Roman"/>
          <w:b/>
          <w:noProof/>
          <w:sz w:val="24"/>
          <w:szCs w:val="24"/>
        </w:rPr>
        <w:t xml:space="preserve"> lub wysyła ich mało</w:t>
      </w:r>
      <w:r>
        <w:rPr>
          <w:rFonts w:ascii="Times New Roman" w:hAnsi="Times New Roman"/>
          <w:noProof/>
          <w:sz w:val="24"/>
          <w:szCs w:val="24"/>
        </w:rPr>
        <w:t>. Na te dwa problemy wskazuje również szczegółowa analiza danych statystycznych z lat 2017–2019. W tym przypadku kwestie te są jednak jeszcze bardziej widoczne, ponieważ dotyczą większej liczby państw członkowskich.</w:t>
      </w:r>
    </w:p>
    <w:p>
      <w:pPr>
        <w:jc w:val="both"/>
        <w:rPr>
          <w:rFonts w:ascii="Times New Roman" w:hAnsi="Times New Roman" w:cs="Times New Roman"/>
          <w:noProof/>
          <w:sz w:val="24"/>
          <w:szCs w:val="24"/>
        </w:rPr>
      </w:pPr>
      <w:r>
        <w:rPr>
          <w:rFonts w:ascii="Times New Roman" w:hAnsi="Times New Roman"/>
          <w:noProof/>
          <w:sz w:val="24"/>
          <w:szCs w:val="24"/>
        </w:rPr>
        <w:t xml:space="preserve">Po pierwsze, wiele państw członkowskich </w:t>
      </w:r>
      <w:r>
        <w:rPr>
          <w:rFonts w:ascii="Times New Roman" w:hAnsi="Times New Roman"/>
          <w:b/>
          <w:noProof/>
          <w:sz w:val="24"/>
          <w:szCs w:val="24"/>
        </w:rPr>
        <w:t>w</w:t>
      </w:r>
      <w:r>
        <w:rPr>
          <w:rFonts w:ascii="Times New Roman" w:hAnsi="Times New Roman"/>
          <w:noProof/>
          <w:sz w:val="24"/>
          <w:szCs w:val="24"/>
        </w:rPr>
        <w:t> </w:t>
      </w:r>
      <w:r>
        <w:rPr>
          <w:rFonts w:ascii="Times New Roman" w:hAnsi="Times New Roman"/>
          <w:b/>
          <w:noProof/>
          <w:sz w:val="24"/>
          <w:szCs w:val="24"/>
        </w:rPr>
        <w:t>ogóle nie wysyła powiadomień dotyczących nowych wyroków skazujących</w:t>
      </w:r>
      <w:r>
        <w:rPr>
          <w:rFonts w:ascii="Times New Roman" w:hAnsi="Times New Roman"/>
          <w:noProof/>
          <w:sz w:val="24"/>
          <w:szCs w:val="24"/>
        </w:rPr>
        <w:t xml:space="preserve"> (PT w 2019 r. i 2018 r., MT w 2019 r. i 2017 r., EE w 2018 r., EL w 2017 r.) </w:t>
      </w:r>
      <w:r>
        <w:rPr>
          <w:rFonts w:ascii="Times New Roman" w:hAnsi="Times New Roman"/>
          <w:b/>
          <w:noProof/>
          <w:sz w:val="24"/>
          <w:szCs w:val="24"/>
        </w:rPr>
        <w:t>lub wysyła mało</w:t>
      </w:r>
      <w:r>
        <w:rPr>
          <w:rFonts w:ascii="Times New Roman" w:hAnsi="Times New Roman"/>
          <w:noProof/>
          <w:sz w:val="24"/>
          <w:szCs w:val="24"/>
        </w:rPr>
        <w:t xml:space="preserve"> takich powiadomień w odniesieniu do przebywających na ich terenie obywateli innych państw członkowskich UE oraz liczby wyroków skazujących (BG, EE, IE, LT, LU, NL, RO w 2019 r.; BG, IE, LU, LT, RO, SI, SE, MT, EL, UK w 2018 r.; BG, EE, IE, LT, LU, RO, SI, SE, PT, UK w 2017 r.). </w:t>
      </w:r>
      <w:r>
        <w:rPr>
          <w:rFonts w:ascii="Times New Roman" w:hAnsi="Times New Roman"/>
          <w:b/>
          <w:noProof/>
          <w:sz w:val="24"/>
          <w:szCs w:val="24"/>
        </w:rPr>
        <w:t>W</w:t>
      </w:r>
      <w:r>
        <w:rPr>
          <w:rFonts w:ascii="Times New Roman" w:hAnsi="Times New Roman"/>
          <w:noProof/>
          <w:sz w:val="24"/>
          <w:szCs w:val="24"/>
        </w:rPr>
        <w:t> </w:t>
      </w:r>
      <w:r>
        <w:rPr>
          <w:rFonts w:ascii="Times New Roman" w:hAnsi="Times New Roman"/>
          <w:b/>
          <w:noProof/>
          <w:sz w:val="24"/>
          <w:szCs w:val="24"/>
        </w:rPr>
        <w:t>rezultacie wyroki skazujące, o których nie powiadomiono, nie zostały zarejestrowane w państwie członkowskim obywatelstwa.</w:t>
      </w:r>
    </w:p>
    <w:p>
      <w:pPr>
        <w:jc w:val="both"/>
        <w:rPr>
          <w:rFonts w:ascii="Times New Roman" w:hAnsi="Times New Roman" w:cs="Times New Roman"/>
          <w:noProof/>
          <w:sz w:val="24"/>
          <w:szCs w:val="24"/>
        </w:rPr>
      </w:pPr>
      <w:r>
        <w:rPr>
          <w:rFonts w:ascii="Times New Roman" w:hAnsi="Times New Roman"/>
          <w:noProof/>
          <w:sz w:val="24"/>
          <w:szCs w:val="24"/>
        </w:rPr>
        <w:t xml:space="preserve">Po drugie, wiele państw członkowskich </w:t>
      </w:r>
      <w:r>
        <w:rPr>
          <w:rFonts w:ascii="Times New Roman" w:hAnsi="Times New Roman"/>
          <w:b/>
          <w:noProof/>
          <w:sz w:val="24"/>
          <w:szCs w:val="24"/>
        </w:rPr>
        <w:t>w</w:t>
      </w:r>
      <w:r>
        <w:rPr>
          <w:rFonts w:ascii="Times New Roman" w:hAnsi="Times New Roman"/>
          <w:noProof/>
          <w:sz w:val="24"/>
          <w:szCs w:val="24"/>
        </w:rPr>
        <w:t> </w:t>
      </w:r>
      <w:r>
        <w:rPr>
          <w:rFonts w:ascii="Times New Roman" w:hAnsi="Times New Roman"/>
          <w:b/>
          <w:noProof/>
          <w:sz w:val="24"/>
          <w:szCs w:val="24"/>
        </w:rPr>
        <w:t>ogóle nie wysyła aktualizacji</w:t>
      </w:r>
      <w:r>
        <w:rPr>
          <w:rFonts w:ascii="Times New Roman" w:hAnsi="Times New Roman"/>
          <w:noProof/>
          <w:sz w:val="24"/>
          <w:szCs w:val="24"/>
        </w:rPr>
        <w:t xml:space="preserve"> dotyczących poprzednio wysłanych powiadomień (BG, EE, EL, LV, LU, MT, PT, SI w 2019 r.; BG, DK, EL, SI, PT, MT, LV, LU, IE, EE w 2018 r.; DK, EE, EL, LV, LU, BG w 2017 r.) lub </w:t>
      </w:r>
      <w:r>
        <w:rPr>
          <w:rFonts w:ascii="Times New Roman" w:hAnsi="Times New Roman"/>
          <w:b/>
          <w:noProof/>
          <w:sz w:val="24"/>
          <w:szCs w:val="24"/>
        </w:rPr>
        <w:t>wysyła mało</w:t>
      </w:r>
      <w:r>
        <w:rPr>
          <w:rFonts w:ascii="Times New Roman" w:hAnsi="Times New Roman"/>
          <w:noProof/>
          <w:sz w:val="24"/>
          <w:szCs w:val="24"/>
        </w:rPr>
        <w:t xml:space="preserve"> takich komunikatów (IE, RO, CY w 2019 r.; RO, CY w 2018 r.; SI, RO, PT, MT, IE, HR, CY w 2017 r.). Nieprzesyłanie aktualizacji informacji przez skazujące państwa członkowskie </w:t>
      </w:r>
      <w:r>
        <w:rPr>
          <w:rFonts w:ascii="Times New Roman" w:hAnsi="Times New Roman"/>
          <w:b/>
          <w:noProof/>
          <w:sz w:val="24"/>
          <w:szCs w:val="24"/>
        </w:rPr>
        <w:t>prowadzi do przetwarzania przestarzałych i nierzetelnych informacji przez państwo członkowskie obywatelstwa</w:t>
      </w:r>
      <w:r>
        <w:rPr>
          <w:rFonts w:ascii="Times New Roman" w:hAnsi="Times New Roman"/>
          <w:noProof/>
          <w:sz w:val="24"/>
          <w:szCs w:val="24"/>
        </w:rPr>
        <w:t>, a także do ich rozpowszechniania</w:t>
      </w:r>
      <w:r>
        <w:rPr>
          <w:rStyle w:val="FootnoteReference"/>
          <w:rFonts w:ascii="Times New Roman" w:hAnsi="Times New Roman" w:cs="Times New Roman"/>
          <w:noProof/>
          <w:sz w:val="24"/>
          <w:szCs w:val="24"/>
        </w:rPr>
        <w:footnoteReference w:id="16"/>
      </w:r>
      <w:r>
        <w:rPr>
          <w:rFonts w:ascii="Times New Roman" w:hAnsi="Times New Roman"/>
          <w:noProof/>
          <w:sz w:val="24"/>
          <w:szCs w:val="24"/>
        </w:rPr>
        <w:t>.</w:t>
      </w:r>
    </w:p>
    <w:bookmarkEnd w:id="18"/>
    <w:bookmarkEnd w:id="20"/>
    <w:p>
      <w:pPr>
        <w:spacing w:after="0"/>
        <w:rPr>
          <w:rFonts w:ascii="Times New Roman" w:hAnsi="Times New Roman" w:cs="Times New Roman"/>
          <w:b/>
          <w:noProof/>
          <w:sz w:val="24"/>
          <w:szCs w:val="24"/>
        </w:rPr>
      </w:pPr>
    </w:p>
    <w:p>
      <w:pPr>
        <w:jc w:val="both"/>
        <w:rPr>
          <w:rFonts w:ascii="Times New Roman" w:hAnsi="Times New Roman" w:cs="Times New Roman"/>
          <w:b/>
          <w:noProof/>
          <w:sz w:val="24"/>
          <w:szCs w:val="24"/>
        </w:rPr>
      </w:pPr>
      <w:r>
        <w:rPr>
          <w:rFonts w:ascii="Times New Roman" w:hAnsi="Times New Roman"/>
          <w:b/>
          <w:noProof/>
          <w:sz w:val="24"/>
          <w:szCs w:val="24"/>
        </w:rPr>
        <w:t>2.5. Wnioski o udzielenie informacji</w:t>
      </w:r>
    </w:p>
    <w:p>
      <w:pPr>
        <w:jc w:val="both"/>
        <w:rPr>
          <w:rFonts w:ascii="Times New Roman" w:hAnsi="Times New Roman" w:cs="Times New Roman"/>
          <w:noProof/>
          <w:sz w:val="24"/>
          <w:szCs w:val="24"/>
        </w:rPr>
      </w:pPr>
      <w:r>
        <w:rPr>
          <w:rFonts w:ascii="Times New Roman" w:hAnsi="Times New Roman"/>
          <w:noProof/>
          <w:sz w:val="24"/>
          <w:szCs w:val="24"/>
        </w:rPr>
        <w:t>Na poniższym wykresie porównano liczbę wniosków o udzielenie informacji przesłanych przez wszystkie wzajemnie połączone państwa członkowskie w 2019 r. z liczbą otrzymanych odpowiedzi na te wnioski</w:t>
      </w:r>
      <w:r>
        <w:rPr>
          <w:rStyle w:val="FootnoteReference"/>
          <w:rFonts w:ascii="Times New Roman" w:hAnsi="Times New Roman" w:cs="Times New Roman"/>
          <w:noProof/>
          <w:sz w:val="24"/>
          <w:szCs w:val="24"/>
        </w:rPr>
        <w:footnoteReference w:id="17"/>
      </w:r>
      <w:r>
        <w:rPr>
          <w:rFonts w:ascii="Times New Roman" w:hAnsi="Times New Roman"/>
          <w:noProof/>
          <w:sz w:val="24"/>
          <w:szCs w:val="24"/>
        </w:rPr>
        <w:t>.</w:t>
      </w:r>
    </w:p>
    <w:p>
      <w:pPr>
        <w:jc w:val="both"/>
        <w:rPr>
          <w:rFonts w:ascii="Times New Roman" w:hAnsi="Times New Roman" w:cs="Times New Roman"/>
          <w:noProof/>
          <w:sz w:val="24"/>
          <w:szCs w:val="24"/>
        </w:rPr>
      </w:pPr>
      <w:r>
        <w:rPr>
          <w:noProof/>
          <w:szCs w:val="24"/>
          <w:lang w:val="en-GB"/>
        </w:rPr>
        <w:drawing>
          <wp:inline distT="0" distB="0" distL="0" distR="0">
            <wp:extent cx="6178550" cy="2910205"/>
            <wp:effectExtent l="0" t="0" r="0" b="0"/>
            <wp:docPr id="27"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6178550" cy="2910205"/>
                    </a:xfrm>
                    <a:prstGeom prst="rect">
                      <a:avLst/>
                    </a:prstGeom>
                    <a:noFill/>
                    <a:ln w="9525">
                      <a:noFill/>
                      <a:miter lim="800000"/>
                      <a:headEnd/>
                      <a:tailEnd/>
                    </a:ln>
                  </pic:spPr>
                </pic:pic>
              </a:graphicData>
            </a:graphic>
          </wp:inline>
        </w:drawing>
      </w:r>
    </w:p>
    <w:p>
      <w:pPr>
        <w:jc w:val="both"/>
        <w:rPr>
          <w:rFonts w:ascii="Times New Roman" w:hAnsi="Times New Roman" w:cs="Times New Roman"/>
          <w:noProof/>
          <w:sz w:val="24"/>
          <w:szCs w:val="24"/>
        </w:rPr>
      </w:pPr>
      <w:bookmarkStart w:id="21" w:name="_Hlk481003611"/>
      <w:r>
        <w:rPr>
          <w:rFonts w:ascii="Times New Roman" w:hAnsi="Times New Roman"/>
          <w:noProof/>
          <w:sz w:val="24"/>
          <w:szCs w:val="24"/>
        </w:rPr>
        <w:t xml:space="preserve">Jak przedstawiono powyżej w sekcji 2.2, ogólna </w:t>
      </w:r>
      <w:r>
        <w:rPr>
          <w:rFonts w:ascii="Times New Roman" w:hAnsi="Times New Roman"/>
          <w:b/>
          <w:noProof/>
          <w:sz w:val="24"/>
          <w:szCs w:val="24"/>
        </w:rPr>
        <w:t>liczba wniosków o udzielenie informacji</w:t>
      </w:r>
      <w:r>
        <w:rPr>
          <w:rFonts w:ascii="Times New Roman" w:hAnsi="Times New Roman"/>
          <w:noProof/>
          <w:sz w:val="24"/>
          <w:szCs w:val="24"/>
        </w:rPr>
        <w:t xml:space="preserve"> </w:t>
      </w:r>
      <w:r>
        <w:rPr>
          <w:rFonts w:ascii="Times New Roman" w:hAnsi="Times New Roman"/>
          <w:b/>
          <w:noProof/>
          <w:sz w:val="24"/>
          <w:szCs w:val="24"/>
        </w:rPr>
        <w:t>zwiększyła się trzykrotnie od 2017 r.</w:t>
      </w:r>
      <w:r>
        <w:rPr>
          <w:rFonts w:ascii="Times New Roman" w:hAnsi="Times New Roman"/>
          <w:noProof/>
          <w:sz w:val="24"/>
          <w:szCs w:val="24"/>
        </w:rPr>
        <w:t xml:space="preserve">, a w 2019 r. osiągnęła </w:t>
      </w:r>
      <w:r>
        <w:rPr>
          <w:rFonts w:ascii="Times New Roman" w:hAnsi="Times New Roman"/>
          <w:b/>
          <w:noProof/>
          <w:sz w:val="24"/>
          <w:szCs w:val="24"/>
        </w:rPr>
        <w:t>1 mln</w:t>
      </w:r>
      <w:r>
        <w:rPr>
          <w:rFonts w:ascii="Times New Roman" w:hAnsi="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b/>
          <w:noProof/>
          <w:sz w:val="24"/>
          <w:szCs w:val="24"/>
        </w:rPr>
        <w:t>Liczba wysłanych wniosków znacznie się różni między poszczególnymi państwami członkowskimi</w:t>
      </w:r>
      <w:r>
        <w:rPr>
          <w:rFonts w:ascii="Times New Roman" w:hAnsi="Times New Roman"/>
          <w:noProof/>
          <w:sz w:val="24"/>
          <w:szCs w:val="24"/>
        </w:rPr>
        <w:t xml:space="preserve"> – od 745 000 (DE) do 6 wniosków (EL) rocznie. Wzrost całkowitej liczby wniosków nastąpił głównie ze względu na DE, w których liczba wniosków zwiększyła się ponad pięciokrotnie. W ES, LT, NL i PL liczba wniosków zwiększyła się dwukrotnie. Głównym czynnikiem, który należy uwzględnić w analizie różnic w liczbach wniosków państw członkowskich, jest liczba obywateli innych państw członkowskich przebywających w danym państwie członkowskim.</w:t>
      </w:r>
    </w:p>
    <w:p>
      <w:pPr>
        <w:jc w:val="both"/>
        <w:rPr>
          <w:rFonts w:ascii="Times New Roman" w:hAnsi="Times New Roman" w:cs="Times New Roman"/>
          <w:noProof/>
          <w:sz w:val="24"/>
          <w:szCs w:val="24"/>
        </w:rPr>
      </w:pPr>
      <w:r>
        <w:rPr>
          <w:rFonts w:ascii="Times New Roman" w:hAnsi="Times New Roman"/>
          <w:noProof/>
          <w:sz w:val="24"/>
          <w:szCs w:val="24"/>
        </w:rPr>
        <w:t xml:space="preserve">Podobnie jak w poprzednich latach </w:t>
      </w:r>
      <w:r>
        <w:rPr>
          <w:rFonts w:ascii="Times New Roman" w:hAnsi="Times New Roman"/>
          <w:b/>
          <w:noProof/>
          <w:sz w:val="24"/>
          <w:szCs w:val="24"/>
        </w:rPr>
        <w:t>najbardziej aktywnymi</w:t>
      </w:r>
      <w:r>
        <w:rPr>
          <w:rFonts w:ascii="Times New Roman" w:hAnsi="Times New Roman"/>
          <w:noProof/>
          <w:sz w:val="24"/>
          <w:szCs w:val="24"/>
        </w:rPr>
        <w:t xml:space="preserve"> państwami członkowskimi pod względem całkowitej liczby </w:t>
      </w:r>
      <w:r>
        <w:rPr>
          <w:rFonts w:ascii="Times New Roman" w:hAnsi="Times New Roman"/>
          <w:b/>
          <w:noProof/>
          <w:sz w:val="24"/>
          <w:szCs w:val="24"/>
        </w:rPr>
        <w:t>wysłanych wniosków</w:t>
      </w:r>
      <w:r>
        <w:rPr>
          <w:rFonts w:ascii="Times New Roman" w:hAnsi="Times New Roman"/>
          <w:noProof/>
          <w:sz w:val="24"/>
          <w:szCs w:val="24"/>
        </w:rPr>
        <w:t xml:space="preserve"> były następujące państwa.</w:t>
      </w:r>
    </w:p>
    <w:p>
      <w:pPr>
        <w:jc w:val="center"/>
        <w:rPr>
          <w:rFonts w:ascii="Times New Roman" w:hAnsi="Times New Roman" w:cs="Times New Roman"/>
          <w:noProof/>
          <w:sz w:val="24"/>
          <w:szCs w:val="24"/>
        </w:rPr>
      </w:pPr>
      <w:r>
        <w:rPr>
          <w:noProof/>
          <w:szCs w:val="24"/>
          <w:lang w:val="en-GB"/>
        </w:rPr>
        <w:drawing>
          <wp:inline distT="0" distB="0" distL="0" distR="0">
            <wp:extent cx="5760085" cy="1670050"/>
            <wp:effectExtent l="0" t="0" r="0" b="0"/>
            <wp:docPr id="66"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srcRect/>
                    <a:stretch>
                      <a:fillRect/>
                    </a:stretch>
                  </pic:blipFill>
                  <pic:spPr bwMode="auto">
                    <a:xfrm>
                      <a:off x="0" y="0"/>
                      <a:ext cx="5760085" cy="1670050"/>
                    </a:xfrm>
                    <a:prstGeom prst="rect">
                      <a:avLst/>
                    </a:prstGeom>
                    <a:noFill/>
                    <a:ln w="9525">
                      <a:noFill/>
                      <a:miter lim="800000"/>
                      <a:headEnd/>
                      <a:tailEnd/>
                    </a:ln>
                  </pic:spPr>
                </pic:pic>
              </a:graphicData>
            </a:graphic>
          </wp:inline>
        </w:drawing>
      </w:r>
    </w:p>
    <w:p>
      <w:pPr>
        <w:jc w:val="center"/>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noProof/>
          <w:sz w:val="24"/>
          <w:szCs w:val="24"/>
        </w:rPr>
        <w:t>Pomimo znacznego wzrostu liczby wniosków ogółem dalej utrzymuje się zauważony już w pierwszym sprawozdaniu statystycznym problem niektórych państw członkowskich, które</w:t>
      </w:r>
      <w:r>
        <w:rPr>
          <w:rFonts w:ascii="Times New Roman" w:hAnsi="Times New Roman"/>
          <w:b/>
          <w:noProof/>
          <w:sz w:val="24"/>
          <w:szCs w:val="24"/>
        </w:rPr>
        <w:t xml:space="preserve"> nie wysyłają wniosków prawie w ogóle</w:t>
      </w:r>
      <w:r>
        <w:rPr>
          <w:rFonts w:ascii="Times New Roman" w:hAnsi="Times New Roman"/>
          <w:noProof/>
          <w:sz w:val="24"/>
          <w:szCs w:val="24"/>
        </w:rPr>
        <w:t xml:space="preserve"> (EL, CY, MT) lub </w:t>
      </w:r>
      <w:r>
        <w:rPr>
          <w:rFonts w:ascii="Times New Roman" w:hAnsi="Times New Roman"/>
          <w:b/>
          <w:noProof/>
          <w:sz w:val="24"/>
          <w:szCs w:val="24"/>
        </w:rPr>
        <w:t>wysyłają małą liczbę</w:t>
      </w:r>
      <w:r>
        <w:rPr>
          <w:rFonts w:ascii="Times New Roman" w:hAnsi="Times New Roman"/>
          <w:noProof/>
          <w:sz w:val="24"/>
          <w:szCs w:val="24"/>
        </w:rPr>
        <w:t xml:space="preserve"> wniosków w stosunku do przebywających na ich terenie obywateli innych państw członkowskich UE (BG, EE, HU, IT, LV, RO, SI w latach 2017–2019). Może to prowadzić do sytuacji, w której sądy karne mogłyby wydawać wyroki bez znajomości wyroków skazujących wydanych w innych państwach członkowskich, co jest niezgodne z wymogami określonymi w decyzji ramowej 2008/675/WSiSW. Dodatkowo zmniejszony zostanie efekt prewencyjny wnioskowania o zaświadczenia z rejestru karnego w innych celach niż postępowanie karne, np. w celach kontroli przed zatrudnieniem.</w:t>
      </w:r>
    </w:p>
    <w:p>
      <w:pPr>
        <w:jc w:val="both"/>
        <w:rPr>
          <w:rFonts w:ascii="Times New Roman" w:hAnsi="Times New Roman" w:cs="Times New Roman"/>
          <w:noProof/>
          <w:sz w:val="24"/>
          <w:szCs w:val="24"/>
        </w:rPr>
      </w:pPr>
      <w:r>
        <w:rPr>
          <w:rFonts w:ascii="Times New Roman" w:hAnsi="Times New Roman"/>
          <w:noProof/>
          <w:sz w:val="24"/>
          <w:szCs w:val="24"/>
        </w:rPr>
        <w:t xml:space="preserve">Z powyższych danych można również wywnioskować, że </w:t>
      </w:r>
      <w:r>
        <w:rPr>
          <w:rFonts w:ascii="Times New Roman" w:hAnsi="Times New Roman"/>
          <w:b/>
          <w:noProof/>
          <w:sz w:val="24"/>
          <w:szCs w:val="24"/>
        </w:rPr>
        <w:t xml:space="preserve">nie na wszystkie wnioski o udzielenie informacji udziela się odpowiedzi </w:t>
      </w:r>
      <w:r>
        <w:rPr>
          <w:rFonts w:ascii="Times New Roman" w:hAnsi="Times New Roman"/>
          <w:bCs/>
          <w:noProof/>
          <w:sz w:val="24"/>
          <w:szCs w:val="24"/>
        </w:rPr>
        <w:t xml:space="preserve">(zob. również sekcja 2.6.). </w:t>
      </w:r>
      <w:r>
        <w:rPr>
          <w:rFonts w:ascii="Times New Roman" w:hAnsi="Times New Roman"/>
          <w:noProof/>
          <w:sz w:val="24"/>
          <w:szCs w:val="24"/>
        </w:rPr>
        <w:t>W</w:t>
      </w:r>
      <w:r>
        <w:rPr>
          <w:rFonts w:ascii="Times New Roman" w:hAnsi="Times New Roman"/>
          <w:bCs/>
          <w:noProof/>
          <w:sz w:val="24"/>
          <w:szCs w:val="24"/>
        </w:rPr>
        <w:t> </w:t>
      </w:r>
      <w:r>
        <w:rPr>
          <w:rFonts w:ascii="Times New Roman" w:hAnsi="Times New Roman"/>
          <w:noProof/>
          <w:sz w:val="24"/>
          <w:szCs w:val="24"/>
        </w:rPr>
        <w:t>przypadku państw członkowskich, które są najbardziej aktywne pod względem wysyłania powiadomień, w 2019 r. na 5,6 % powiadomień DE (41 662) i 2,5 % powiadomień AT (945) nigdy nie odpowiedziano, natomiast w przypadku UK i CZ liczba odpowiedzi otrzymanych we wspomnianym roku przekroczyła liczbę ich wniosków.</w:t>
      </w:r>
    </w:p>
    <w:bookmarkEnd w:id="21"/>
    <w:p>
      <w:pPr>
        <w:jc w:val="both"/>
        <w:rPr>
          <w:rFonts w:ascii="Times New Roman" w:hAnsi="Times New Roman" w:cs="Times New Roman"/>
          <w:b/>
          <w:noProof/>
          <w:sz w:val="24"/>
          <w:szCs w:val="24"/>
        </w:rPr>
      </w:pPr>
    </w:p>
    <w:p>
      <w:pPr>
        <w:jc w:val="both"/>
        <w:rPr>
          <w:rFonts w:ascii="Times New Roman" w:hAnsi="Times New Roman" w:cs="Times New Roman"/>
          <w:b/>
          <w:noProof/>
          <w:sz w:val="24"/>
          <w:szCs w:val="24"/>
        </w:rPr>
      </w:pPr>
      <w:r>
        <w:rPr>
          <w:rFonts w:ascii="Times New Roman" w:hAnsi="Times New Roman"/>
          <w:b/>
          <w:noProof/>
          <w:sz w:val="24"/>
          <w:szCs w:val="24"/>
        </w:rPr>
        <w:t>2.6. Odpowiedzi na wnioski</w:t>
      </w:r>
    </w:p>
    <w:p>
      <w:pPr>
        <w:jc w:val="both"/>
        <w:rPr>
          <w:rFonts w:ascii="Times New Roman" w:hAnsi="Times New Roman" w:cs="Times New Roman"/>
          <w:noProof/>
          <w:sz w:val="24"/>
          <w:szCs w:val="24"/>
        </w:rPr>
      </w:pPr>
      <w:r>
        <w:rPr>
          <w:rFonts w:ascii="Times New Roman" w:hAnsi="Times New Roman"/>
          <w:noProof/>
          <w:sz w:val="24"/>
          <w:szCs w:val="24"/>
        </w:rPr>
        <w:t>Na poniższym wykresie porównano liczbę odpowiedzi przesłanych przez wszystkie wzajemnie połączone państwa członkowskie w 2019 r. z liczbą otrzymanych przez nie odpowiednich wniosków o udzielenie informacji</w:t>
      </w:r>
      <w:r>
        <w:rPr>
          <w:rStyle w:val="FootnoteReference"/>
          <w:rFonts w:ascii="Times New Roman" w:hAnsi="Times New Roman" w:cs="Times New Roman"/>
          <w:noProof/>
          <w:sz w:val="24"/>
          <w:szCs w:val="24"/>
        </w:rPr>
        <w:footnoteReference w:id="18"/>
      </w:r>
      <w:r>
        <w:rPr>
          <w:rFonts w:ascii="Times New Roman" w:hAnsi="Times New Roman"/>
          <w:noProof/>
          <w:sz w:val="24"/>
          <w:szCs w:val="24"/>
        </w:rPr>
        <w:t xml:space="preserve">. </w:t>
      </w:r>
    </w:p>
    <w:p>
      <w:pPr>
        <w:jc w:val="both"/>
        <w:rPr>
          <w:rFonts w:ascii="Times New Roman" w:hAnsi="Times New Roman"/>
          <w:b/>
          <w:noProof/>
          <w:sz w:val="24"/>
          <w:szCs w:val="24"/>
        </w:rPr>
      </w:pPr>
      <w:bookmarkStart w:id="22" w:name="_Hlk481164813"/>
      <w:r>
        <w:rPr>
          <w:noProof/>
          <w:lang w:val="en-GB"/>
        </w:rPr>
        <w:drawing>
          <wp:inline distT="0" distB="0" distL="0" distR="0">
            <wp:extent cx="5760085" cy="3662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85" cy="3662680"/>
                    </a:xfrm>
                    <a:prstGeom prst="rect">
                      <a:avLst/>
                    </a:prstGeom>
                  </pic:spPr>
                </pic:pic>
              </a:graphicData>
            </a:graphic>
          </wp:inline>
        </w:drawing>
      </w:r>
    </w:p>
    <w:p>
      <w:pPr>
        <w:jc w:val="both"/>
        <w:rPr>
          <w:rFonts w:ascii="Times New Roman" w:hAnsi="Times New Roman" w:cs="Times New Roman"/>
          <w:noProof/>
          <w:sz w:val="24"/>
          <w:szCs w:val="24"/>
        </w:rPr>
      </w:pPr>
      <w:r>
        <w:rPr>
          <w:rFonts w:ascii="Times New Roman" w:hAnsi="Times New Roman"/>
          <w:b/>
          <w:noProof/>
          <w:sz w:val="24"/>
          <w:szCs w:val="24"/>
        </w:rPr>
        <w:t>Liczba otrzymanych wniosków</w:t>
      </w:r>
      <w:r>
        <w:rPr>
          <w:rFonts w:ascii="Times New Roman" w:hAnsi="Times New Roman"/>
          <w:noProof/>
          <w:sz w:val="24"/>
          <w:szCs w:val="24"/>
        </w:rPr>
        <w:t xml:space="preserve"> i odpowiadających im </w:t>
      </w:r>
      <w:r>
        <w:rPr>
          <w:rFonts w:ascii="Times New Roman" w:hAnsi="Times New Roman"/>
          <w:b/>
          <w:noProof/>
          <w:sz w:val="24"/>
          <w:szCs w:val="24"/>
        </w:rPr>
        <w:t>wysłanych odpowiedzi wykazuje istotne różnice między państwami członkowskimi</w:t>
      </w:r>
      <w:r>
        <w:rPr>
          <w:rFonts w:ascii="Times New Roman" w:hAnsi="Times New Roman"/>
          <w:noProof/>
          <w:sz w:val="24"/>
          <w:szCs w:val="24"/>
        </w:rPr>
        <w:t xml:space="preserve"> – od 179 000 (PL) do 646 wniosków (MT) rocznie. Analizując te różnice, należy uwzględnić przede wszystkim dwa czynniki: całkowitą populację danego państwa członkowskiego i liczbę obywateli tego państwa mieszkających w innych państwach członkowskich.</w:t>
      </w:r>
    </w:p>
    <w:p>
      <w:pPr>
        <w:jc w:val="both"/>
        <w:rPr>
          <w:rFonts w:ascii="Times New Roman" w:hAnsi="Times New Roman" w:cs="Times New Roman"/>
          <w:noProof/>
          <w:sz w:val="24"/>
          <w:szCs w:val="24"/>
        </w:rPr>
      </w:pPr>
      <w:r>
        <w:rPr>
          <w:rFonts w:ascii="Times New Roman" w:hAnsi="Times New Roman"/>
          <w:noProof/>
          <w:sz w:val="24"/>
          <w:szCs w:val="24"/>
        </w:rPr>
        <w:t xml:space="preserve">Państwami członkowskimi, które </w:t>
      </w:r>
      <w:r>
        <w:rPr>
          <w:rFonts w:ascii="Times New Roman" w:hAnsi="Times New Roman"/>
          <w:b/>
          <w:noProof/>
          <w:sz w:val="24"/>
          <w:szCs w:val="24"/>
        </w:rPr>
        <w:t>udzieliły odpowiedzi na największą liczbę wniosków</w:t>
      </w:r>
      <w:r>
        <w:rPr>
          <w:rFonts w:ascii="Times New Roman" w:hAnsi="Times New Roman"/>
          <w:noProof/>
          <w:sz w:val="24"/>
          <w:szCs w:val="24"/>
        </w:rPr>
        <w:t xml:space="preserve"> w ujęciu bezwzględnym (niekoniecznie największą w stosunku do liczby otrzymanych wniosków), były:</w:t>
      </w:r>
    </w:p>
    <w:p>
      <w:pPr>
        <w:jc w:val="center"/>
        <w:rPr>
          <w:rFonts w:ascii="Times New Roman" w:hAnsi="Times New Roman" w:cs="Times New Roman"/>
          <w:noProof/>
          <w:sz w:val="24"/>
          <w:szCs w:val="24"/>
        </w:rPr>
      </w:pPr>
      <w:r>
        <w:rPr>
          <w:noProof/>
          <w:szCs w:val="24"/>
          <w:lang w:val="en-GB"/>
        </w:rPr>
        <w:drawing>
          <wp:inline distT="0" distB="0" distL="0" distR="0">
            <wp:extent cx="5760085" cy="1762125"/>
            <wp:effectExtent l="0" t="0" r="0" b="0"/>
            <wp:docPr id="52"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5760085" cy="1762125"/>
                    </a:xfrm>
                    <a:prstGeom prst="rect">
                      <a:avLst/>
                    </a:prstGeom>
                    <a:noFill/>
                    <a:ln w="9525">
                      <a:noFill/>
                      <a:miter lim="800000"/>
                      <a:headEnd/>
                      <a:tailEnd/>
                    </a:ln>
                  </pic:spPr>
                </pic:pic>
              </a:graphicData>
            </a:graphic>
          </wp:inline>
        </w:drawing>
      </w:r>
    </w:p>
    <w:p>
      <w:pPr>
        <w:jc w:val="both"/>
        <w:rPr>
          <w:rFonts w:ascii="Times New Roman" w:hAnsi="Times New Roman" w:cs="Times New Roman"/>
          <w:noProof/>
          <w:sz w:val="24"/>
          <w:szCs w:val="24"/>
        </w:rPr>
      </w:pPr>
    </w:p>
    <w:p>
      <w:pPr>
        <w:jc w:val="both"/>
        <w:rPr>
          <w:rFonts w:ascii="Times New Roman" w:hAnsi="Times New Roman" w:cs="Times New Roman"/>
          <w:bCs/>
          <w:noProof/>
          <w:sz w:val="24"/>
          <w:szCs w:val="24"/>
        </w:rPr>
      </w:pPr>
      <w:r>
        <w:rPr>
          <w:rFonts w:ascii="Times New Roman" w:hAnsi="Times New Roman"/>
          <w:noProof/>
          <w:sz w:val="24"/>
          <w:szCs w:val="24"/>
        </w:rPr>
        <w:t>Chociaż wszystkie państwa członkowskie zasadniczo</w:t>
      </w:r>
      <w:r>
        <w:rPr>
          <w:rFonts w:ascii="Times New Roman" w:hAnsi="Times New Roman"/>
          <w:b/>
          <w:noProof/>
          <w:sz w:val="24"/>
          <w:szCs w:val="24"/>
        </w:rPr>
        <w:t xml:space="preserve"> </w:t>
      </w:r>
      <w:r>
        <w:rPr>
          <w:rFonts w:ascii="Times New Roman" w:hAnsi="Times New Roman"/>
          <w:noProof/>
          <w:sz w:val="24"/>
          <w:szCs w:val="24"/>
        </w:rPr>
        <w:t xml:space="preserve">odpowiadają na wnioski, w 2019 r. nadal </w:t>
      </w:r>
      <w:r>
        <w:rPr>
          <w:rFonts w:ascii="Times New Roman" w:hAnsi="Times New Roman"/>
          <w:b/>
          <w:bCs/>
          <w:noProof/>
          <w:sz w:val="24"/>
          <w:szCs w:val="24"/>
        </w:rPr>
        <w:t xml:space="preserve">nie udzielono odpowiedzi na ponad 42 000 </w:t>
      </w:r>
      <w:r>
        <w:rPr>
          <w:rFonts w:ascii="Times New Roman" w:hAnsi="Times New Roman"/>
          <w:b/>
          <w:noProof/>
          <w:sz w:val="24"/>
          <w:szCs w:val="24"/>
        </w:rPr>
        <w:t>wniosków o udzielenie informacji</w:t>
      </w:r>
      <w:r>
        <w:rPr>
          <w:rFonts w:ascii="Times New Roman" w:hAnsi="Times New Roman"/>
          <w:noProof/>
          <w:sz w:val="24"/>
          <w:szCs w:val="24"/>
        </w:rPr>
        <w:t xml:space="preserve">. W większości przypadków liczba wysłanych odpowiedzi była nieco mniejsza niż liczba otrzymanych wniosków o udzielenie informacji, przy czym średnia wynosiła </w:t>
      </w:r>
      <w:r>
        <w:rPr>
          <w:rFonts w:ascii="Times New Roman" w:hAnsi="Times New Roman"/>
          <w:b/>
          <w:noProof/>
          <w:sz w:val="24"/>
          <w:szCs w:val="24"/>
        </w:rPr>
        <w:t>około 4,1 % w porównaniu z 3,6 % w 2016 r.</w:t>
      </w:r>
    </w:p>
    <w:p>
      <w:pPr>
        <w:jc w:val="both"/>
        <w:rPr>
          <w:rFonts w:ascii="Times New Roman" w:hAnsi="Times New Roman" w:cs="Times New Roman"/>
          <w:noProof/>
          <w:sz w:val="24"/>
          <w:szCs w:val="24"/>
        </w:rPr>
      </w:pPr>
      <w:r>
        <w:rPr>
          <w:rFonts w:ascii="Times New Roman" w:hAnsi="Times New Roman"/>
          <w:noProof/>
          <w:sz w:val="24"/>
          <w:szCs w:val="24"/>
        </w:rPr>
        <w:t xml:space="preserve">Wśród państw członkowskich, które w 2019 r. otrzymały najwyższą liczbę wniosków, BG nie odpowiedziała na 53 % otrzymanych wniosków (30 975), EL na 38 % (19 564), IT na 8,9 % (9 720), a RO na 1,3 % (2 347). W przypadku PL i HR liczba odpowiedzi wysłanych w 2019 r. była w rzeczywistości wyższa niż liczba otrzymanych wniosków, co mogło być spowodowane wysłaniem zaległych odpowiedzi z poprzedniego roku. </w:t>
      </w:r>
      <w:bookmarkStart w:id="23" w:name="_Hlk481154445"/>
    </w:p>
    <w:p>
      <w:pPr>
        <w:jc w:val="both"/>
        <w:rPr>
          <w:rFonts w:ascii="Times New Roman" w:hAnsi="Times New Roman" w:cs="Times New Roman"/>
          <w:noProof/>
          <w:sz w:val="24"/>
          <w:szCs w:val="24"/>
        </w:rPr>
      </w:pPr>
      <w:bookmarkStart w:id="24" w:name="_Hlk481154348"/>
      <w:r>
        <w:rPr>
          <w:rFonts w:ascii="Times New Roman" w:hAnsi="Times New Roman"/>
          <w:noProof/>
          <w:sz w:val="24"/>
          <w:szCs w:val="24"/>
        </w:rPr>
        <w:t xml:space="preserve">W 2019 r. </w:t>
      </w:r>
      <w:r>
        <w:rPr>
          <w:rFonts w:ascii="Times New Roman" w:hAnsi="Times New Roman"/>
          <w:b/>
          <w:bCs/>
          <w:noProof/>
          <w:sz w:val="24"/>
          <w:szCs w:val="24"/>
        </w:rPr>
        <w:t>państwami członkowskimi z największym odsetkiem wniosków, na które nie udzielono odpowiedzi</w:t>
      </w:r>
      <w:r>
        <w:rPr>
          <w:rFonts w:ascii="Times New Roman" w:hAnsi="Times New Roman"/>
          <w:noProof/>
          <w:sz w:val="24"/>
          <w:szCs w:val="24"/>
        </w:rPr>
        <w:t xml:space="preserve">, były: MT (82 % otrzymanych wniosków), CY (65 %), BG (53 %) i EL (38 %). Aby zapoznać się ze szczegółową analizą danych statystycznych poszczególnych państw członkowskich w zakresie odpowiedzi na wnioski, zob. dokument roboczy służb Komisji, sekcja 3. </w:t>
      </w:r>
    </w:p>
    <w:p>
      <w:pPr>
        <w:jc w:val="both"/>
        <w:rPr>
          <w:rFonts w:ascii="Times New Roman" w:hAnsi="Times New Roman" w:cs="Times New Roman"/>
          <w:noProof/>
          <w:sz w:val="24"/>
          <w:szCs w:val="24"/>
        </w:rPr>
      </w:pPr>
      <w:r>
        <w:rPr>
          <w:rFonts w:ascii="Times New Roman" w:hAnsi="Times New Roman"/>
          <w:noProof/>
          <w:sz w:val="24"/>
          <w:szCs w:val="24"/>
        </w:rPr>
        <w:t>Konsekwencje naruszenia obowiązku udzielania odpowiedzi na wnioski o udzielenie informacji mogą być tragiczne, jak wskazano w poprzednich punktach.</w:t>
      </w:r>
    </w:p>
    <w:bookmarkEnd w:id="22"/>
    <w:bookmarkEnd w:id="23"/>
    <w:bookmarkEnd w:id="24"/>
    <w:p>
      <w:pPr>
        <w:jc w:val="both"/>
        <w:rPr>
          <w:rFonts w:ascii="Times New Roman" w:hAnsi="Times New Roman" w:cs="Times New Roman"/>
          <w:noProof/>
          <w:sz w:val="24"/>
          <w:szCs w:val="24"/>
        </w:rPr>
      </w:pPr>
    </w:p>
    <w:p>
      <w:pPr>
        <w:jc w:val="both"/>
        <w:rPr>
          <w:rFonts w:ascii="Times New Roman" w:hAnsi="Times New Roman" w:cs="Times New Roman"/>
          <w:b/>
          <w:noProof/>
          <w:sz w:val="24"/>
          <w:szCs w:val="24"/>
        </w:rPr>
      </w:pPr>
      <w:r>
        <w:rPr>
          <w:rFonts w:ascii="Times New Roman" w:hAnsi="Times New Roman"/>
          <w:b/>
          <w:noProof/>
          <w:sz w:val="24"/>
          <w:szCs w:val="24"/>
        </w:rPr>
        <w:t>2.7. Odpowiedzi udzielone po przewidzianym prawem terminie</w:t>
      </w:r>
    </w:p>
    <w:p>
      <w:pPr>
        <w:jc w:val="both"/>
        <w:rPr>
          <w:rFonts w:ascii="Times New Roman" w:hAnsi="Times New Roman" w:cs="Times New Roman"/>
          <w:noProof/>
          <w:sz w:val="24"/>
          <w:szCs w:val="24"/>
        </w:rPr>
      </w:pPr>
      <w:r>
        <w:rPr>
          <w:rFonts w:ascii="Times New Roman" w:hAnsi="Times New Roman"/>
          <w:noProof/>
          <w:sz w:val="24"/>
          <w:szCs w:val="24"/>
        </w:rPr>
        <w:t>Innym problemem jest to, że na niektóre wnioski odpowiedź nie zostaje udzielona w przewidzianym prawem terminie</w:t>
      </w:r>
      <w:r>
        <w:rPr>
          <w:rStyle w:val="FootnoteReference"/>
          <w:rFonts w:ascii="Times New Roman" w:hAnsi="Times New Roman" w:cs="Times New Roman"/>
          <w:noProof/>
          <w:sz w:val="24"/>
          <w:szCs w:val="24"/>
        </w:rPr>
        <w:footnoteReference w:id="19"/>
      </w:r>
      <w:r>
        <w:rPr>
          <w:rFonts w:ascii="Times New Roman" w:hAnsi="Times New Roman"/>
          <w:noProof/>
          <w:sz w:val="24"/>
          <w:szCs w:val="24"/>
        </w:rPr>
        <w:t>. Na poniższym wykresie przedstawiono przegląd wszystkich państw członkowskich pod względem liczby odpowiedzi udzielonych po przewidzianym prawem terminie w 2019 r. ze wskazaniem odpowiedzi wysłanych po terminie i wniosków, w przypadku których termin na udzielenie odpowiedzi minął</w:t>
      </w:r>
      <w:r>
        <w:rPr>
          <w:rStyle w:val="FootnoteReference"/>
          <w:rFonts w:ascii="Times New Roman" w:hAnsi="Times New Roman" w:cs="Times New Roman"/>
          <w:noProof/>
          <w:sz w:val="24"/>
          <w:szCs w:val="24"/>
        </w:rPr>
        <w:footnoteReference w:id="20"/>
      </w:r>
      <w:r>
        <w:rPr>
          <w:noProof/>
        </w:rPr>
        <w:t>.</w:t>
      </w:r>
      <w:r>
        <w:rPr>
          <w:rFonts w:ascii="Times New Roman" w:hAnsi="Times New Roman"/>
          <w:noProof/>
          <w:sz w:val="24"/>
          <w:szCs w:val="24"/>
        </w:rPr>
        <w:t xml:space="preserve"> </w:t>
      </w:r>
    </w:p>
    <w:p>
      <w:pPr>
        <w:jc w:val="both"/>
        <w:rPr>
          <w:rFonts w:ascii="Times New Roman" w:hAnsi="Times New Roman" w:cs="Times New Roman"/>
          <w:noProof/>
          <w:sz w:val="24"/>
          <w:szCs w:val="24"/>
        </w:rPr>
      </w:pPr>
    </w:p>
    <w:p>
      <w:pPr>
        <w:jc w:val="center"/>
        <w:rPr>
          <w:rFonts w:ascii="Times New Roman" w:hAnsi="Times New Roman" w:cs="Times New Roman"/>
          <w:noProof/>
          <w:sz w:val="24"/>
          <w:szCs w:val="24"/>
        </w:rPr>
      </w:pPr>
      <w:r>
        <w:rPr>
          <w:noProof/>
          <w:szCs w:val="24"/>
          <w:lang w:val="en-GB"/>
        </w:rPr>
        <w:drawing>
          <wp:inline distT="0" distB="0" distL="0" distR="0">
            <wp:extent cx="5760085" cy="3757930"/>
            <wp:effectExtent l="0" t="0" r="0" b="0"/>
            <wp:docPr id="53"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5760085" cy="3757930"/>
                    </a:xfrm>
                    <a:prstGeom prst="rect">
                      <a:avLst/>
                    </a:prstGeom>
                    <a:noFill/>
                    <a:ln w="9525">
                      <a:noFill/>
                      <a:miter lim="800000"/>
                      <a:headEnd/>
                      <a:tailEnd/>
                    </a:ln>
                  </pic:spPr>
                </pic:pic>
              </a:graphicData>
            </a:graphic>
          </wp:inline>
        </w:drawing>
      </w:r>
    </w:p>
    <w:p>
      <w:pPr>
        <w:jc w:val="both"/>
        <w:rPr>
          <w:rFonts w:ascii="Times New Roman" w:hAnsi="Times New Roman" w:cs="Times New Roman"/>
          <w:b/>
          <w:bCs/>
          <w:noProof/>
          <w:sz w:val="24"/>
          <w:szCs w:val="24"/>
        </w:rPr>
      </w:pPr>
      <w:r>
        <w:rPr>
          <w:rFonts w:ascii="Times New Roman" w:hAnsi="Times New Roman"/>
          <w:noProof/>
          <w:sz w:val="24"/>
          <w:szCs w:val="24"/>
        </w:rPr>
        <w:t>W 2019 r. na </w:t>
      </w:r>
      <w:r>
        <w:rPr>
          <w:rFonts w:ascii="Times New Roman" w:hAnsi="Times New Roman"/>
          <w:b/>
          <w:bCs/>
          <w:noProof/>
          <w:sz w:val="24"/>
          <w:szCs w:val="24"/>
        </w:rPr>
        <w:t>1</w:t>
      </w:r>
      <w:r>
        <w:rPr>
          <w:rFonts w:ascii="Times New Roman" w:hAnsi="Times New Roman"/>
          <w:b/>
          <w:noProof/>
          <w:sz w:val="24"/>
          <w:szCs w:val="24"/>
        </w:rPr>
        <w:t xml:space="preserve">90 000 wniosków udzielono odpowiedzi po upływie przewidzianego prawem terminu, </w:t>
      </w:r>
      <w:r>
        <w:rPr>
          <w:rFonts w:ascii="Times New Roman" w:hAnsi="Times New Roman"/>
          <w:bCs/>
          <w:noProof/>
          <w:sz w:val="24"/>
          <w:szCs w:val="24"/>
        </w:rPr>
        <w:t>co</w:t>
      </w:r>
      <w:r>
        <w:rPr>
          <w:rFonts w:ascii="Times New Roman" w:hAnsi="Times New Roman"/>
          <w:noProof/>
          <w:sz w:val="24"/>
          <w:szCs w:val="24"/>
        </w:rPr>
        <w:t xml:space="preserve"> stanowi </w:t>
      </w:r>
      <w:r>
        <w:rPr>
          <w:rFonts w:ascii="Times New Roman" w:hAnsi="Times New Roman"/>
          <w:b/>
          <w:noProof/>
          <w:sz w:val="24"/>
          <w:szCs w:val="24"/>
        </w:rPr>
        <w:t>18,4 %</w:t>
      </w:r>
      <w:r>
        <w:rPr>
          <w:rFonts w:ascii="Times New Roman" w:hAnsi="Times New Roman"/>
          <w:noProof/>
          <w:sz w:val="24"/>
          <w:szCs w:val="24"/>
        </w:rPr>
        <w:t xml:space="preserve"> </w:t>
      </w:r>
      <w:r>
        <w:rPr>
          <w:rFonts w:ascii="Times New Roman" w:hAnsi="Times New Roman"/>
          <w:b/>
          <w:noProof/>
          <w:sz w:val="24"/>
          <w:szCs w:val="24"/>
        </w:rPr>
        <w:t>całkowitej</w:t>
      </w:r>
      <w:r>
        <w:rPr>
          <w:rFonts w:ascii="Times New Roman" w:hAnsi="Times New Roman"/>
          <w:noProof/>
          <w:sz w:val="24"/>
          <w:szCs w:val="24"/>
        </w:rPr>
        <w:t xml:space="preserve"> liczby wniosków. Ponadto zarejestrowano</w:t>
      </w:r>
      <w:r>
        <w:rPr>
          <w:rFonts w:ascii="Times New Roman" w:hAnsi="Times New Roman"/>
          <w:bCs/>
          <w:noProof/>
          <w:sz w:val="24"/>
          <w:szCs w:val="24"/>
        </w:rPr>
        <w:t xml:space="preserve"> </w:t>
      </w:r>
      <w:r>
        <w:rPr>
          <w:rFonts w:ascii="Times New Roman" w:hAnsi="Times New Roman"/>
          <w:b/>
          <w:noProof/>
          <w:sz w:val="24"/>
          <w:szCs w:val="24"/>
        </w:rPr>
        <w:t>42 000 wniosków, w przypadku których termin na udzielenie odpowiedzi minął</w:t>
      </w:r>
      <w:r>
        <w:rPr>
          <w:rFonts w:ascii="Times New Roman" w:hAnsi="Times New Roman"/>
          <w:bCs/>
          <w:noProof/>
          <w:sz w:val="24"/>
          <w:szCs w:val="24"/>
        </w:rPr>
        <w:t xml:space="preserve">. </w:t>
      </w:r>
      <w:r>
        <w:rPr>
          <w:rFonts w:ascii="Times New Roman" w:hAnsi="Times New Roman"/>
          <w:noProof/>
          <w:sz w:val="24"/>
          <w:szCs w:val="24"/>
        </w:rPr>
        <w:t xml:space="preserve">Te wysokie liczby w połączeniu z danymi referencyjnymi z 2016 r. (odpowiednio: 13 800 (3,8 %); 13 000) oznaczają </w:t>
      </w:r>
      <w:r>
        <w:rPr>
          <w:rFonts w:ascii="Times New Roman" w:hAnsi="Times New Roman"/>
          <w:b/>
          <w:bCs/>
          <w:noProof/>
          <w:sz w:val="24"/>
          <w:szCs w:val="24"/>
        </w:rPr>
        <w:t>alarmujący wzrost liczby odpowiedzi, których udzielono po upływie przewidzianych prawem terminów.</w:t>
      </w:r>
    </w:p>
    <w:p>
      <w:pPr>
        <w:jc w:val="both"/>
        <w:rPr>
          <w:rFonts w:ascii="Times New Roman" w:hAnsi="Times New Roman" w:cs="Times New Roman"/>
          <w:noProof/>
          <w:sz w:val="24"/>
          <w:szCs w:val="24"/>
        </w:rPr>
      </w:pPr>
      <w:r>
        <w:rPr>
          <w:rFonts w:ascii="Times New Roman" w:hAnsi="Times New Roman"/>
          <w:b/>
          <w:bCs/>
          <w:noProof/>
          <w:sz w:val="24"/>
          <w:szCs w:val="24"/>
        </w:rPr>
        <w:t xml:space="preserve">Tendencja ta dotyczy tylko kilku państw członkowskich, </w:t>
      </w:r>
      <w:r>
        <w:rPr>
          <w:rFonts w:ascii="Times New Roman" w:hAnsi="Times New Roman"/>
          <w:noProof/>
          <w:sz w:val="24"/>
          <w:szCs w:val="24"/>
        </w:rPr>
        <w:t>w</w:t>
      </w:r>
      <w:r>
        <w:rPr>
          <w:rFonts w:ascii="Times New Roman" w:hAnsi="Times New Roman"/>
          <w:b/>
          <w:bCs/>
          <w:noProof/>
          <w:sz w:val="24"/>
          <w:szCs w:val="24"/>
        </w:rPr>
        <w:t> </w:t>
      </w:r>
      <w:r>
        <w:rPr>
          <w:rFonts w:ascii="Times New Roman" w:hAnsi="Times New Roman"/>
          <w:noProof/>
          <w:sz w:val="24"/>
          <w:szCs w:val="24"/>
        </w:rPr>
        <w:t>szczególności tych, które</w:t>
      </w:r>
      <w:r>
        <w:rPr>
          <w:rFonts w:ascii="Times New Roman" w:hAnsi="Times New Roman"/>
          <w:b/>
          <w:bCs/>
          <w:noProof/>
          <w:sz w:val="24"/>
          <w:szCs w:val="24"/>
        </w:rPr>
        <w:t xml:space="preserve"> miały do czynienia z bardzo dużą liczbą wniosków o udzielenie informacji, </w:t>
      </w:r>
      <w:r>
        <w:rPr>
          <w:rFonts w:ascii="Times New Roman" w:hAnsi="Times New Roman"/>
          <w:noProof/>
          <w:sz w:val="24"/>
          <w:szCs w:val="24"/>
        </w:rPr>
        <w:t>natomiast w przypadku znacznej większości państw członkowskich liczba spóźnionych odpowiedzi utrzymuje się na poziomie poniżej 0,5 %. Państwami członkowskimi, które miały najwięcej problemów z przestrzeganiem przewidzianych prawem terminów w 2019 r., były: PL z 55 % odpowiedzi wysłanych za późno (99 000), RO (30 %; 50 000), HR (43 %; 24 600), LV (47 %; 6 200), BE (18 %; 2 800) i BG (5 %; 3 300). Problem wniosków, w przypadku których termin udzielenia odpowiedzi upłynął, co może skutkować opóźnieniami w udzielaniu odpowiedzi lub brakiem odpowiedzi na wnioski, dotyczył 33 % wniosków otrzymanych przez MT i CY, 13,5 % otrzymanych przez LV i 8 % otrzymanych przez PL.</w:t>
      </w:r>
    </w:p>
    <w:p>
      <w:pPr>
        <w:rPr>
          <w:rFonts w:ascii="Times New Roman" w:hAnsi="Times New Roman" w:cs="Times New Roman"/>
          <w:b/>
          <w:noProof/>
          <w:sz w:val="24"/>
          <w:szCs w:val="24"/>
        </w:rPr>
      </w:pPr>
      <w:bookmarkStart w:id="25" w:name="_Toc479267023"/>
    </w:p>
    <w:p>
      <w:pPr>
        <w:rPr>
          <w:rFonts w:ascii="Times New Roman" w:hAnsi="Times New Roman" w:cs="Times New Roman"/>
          <w:b/>
          <w:noProof/>
          <w:sz w:val="24"/>
          <w:szCs w:val="24"/>
        </w:rPr>
      </w:pPr>
      <w:r>
        <w:rPr>
          <w:rFonts w:ascii="Times New Roman" w:hAnsi="Times New Roman"/>
          <w:b/>
          <w:noProof/>
          <w:sz w:val="24"/>
          <w:szCs w:val="24"/>
        </w:rPr>
        <w:t>2.8. Wnioski w celach związanych z postępowaniem karnym i w innych celach</w:t>
      </w:r>
      <w:bookmarkEnd w:id="25"/>
    </w:p>
    <w:p>
      <w:pPr>
        <w:spacing w:after="0"/>
        <w:jc w:val="both"/>
        <w:rPr>
          <w:rFonts w:ascii="Times New Roman" w:hAnsi="Times New Roman" w:cs="Times New Roman"/>
          <w:noProof/>
          <w:sz w:val="24"/>
          <w:szCs w:val="24"/>
        </w:rPr>
      </w:pPr>
      <w:bookmarkStart w:id="26" w:name="_Hlk481158644"/>
      <w:r>
        <w:rPr>
          <w:rFonts w:ascii="Times New Roman" w:hAnsi="Times New Roman"/>
          <w:noProof/>
          <w:sz w:val="24"/>
          <w:szCs w:val="24"/>
        </w:rPr>
        <w:t>Na poniższych wykresach przedstawiono stosunek wniosków złożonych w celach związanych z postępowaniem karnym i w innych celach niż postępowanie karne w latach 2012–2019.</w:t>
      </w:r>
    </w:p>
    <w:p>
      <w:pPr>
        <w:spacing w:after="0"/>
        <w:jc w:val="both"/>
        <w:rPr>
          <w:rFonts w:ascii="Times New Roman" w:hAnsi="Times New Roman" w:cs="Times New Roman"/>
          <w:noProof/>
          <w:sz w:val="24"/>
          <w:szCs w:val="24"/>
        </w:rPr>
      </w:pPr>
    </w:p>
    <w:p>
      <w:pPr>
        <w:spacing w:after="0"/>
        <w:jc w:val="center"/>
        <w:rPr>
          <w:rFonts w:ascii="Times New Roman" w:hAnsi="Times New Roman" w:cs="Times New Roman"/>
          <w:noProof/>
          <w:sz w:val="24"/>
          <w:szCs w:val="24"/>
        </w:rPr>
      </w:pPr>
      <w:r>
        <w:rPr>
          <w:noProof/>
          <w:lang w:val="en-GB"/>
        </w:rPr>
        <w:drawing>
          <wp:inline distT="0" distB="0" distL="0" distR="0">
            <wp:extent cx="3924300" cy="22574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24300" cy="2257425"/>
                    </a:xfrm>
                    <a:prstGeom prst="rect">
                      <a:avLst/>
                    </a:prstGeom>
                  </pic:spPr>
                </pic:pic>
              </a:graphicData>
            </a:graphic>
          </wp:inline>
        </w:drawing>
      </w:r>
    </w:p>
    <w:p>
      <w:pPr>
        <w:spacing w:after="0"/>
        <w:jc w:val="center"/>
        <w:rPr>
          <w:rFonts w:ascii="Times New Roman" w:hAnsi="Times New Roman" w:cs="Times New Roman"/>
          <w:noProof/>
          <w:sz w:val="24"/>
          <w:szCs w:val="24"/>
        </w:rPr>
      </w:pPr>
    </w:p>
    <w:p>
      <w:pPr>
        <w:spacing w:after="0"/>
        <w:jc w:val="center"/>
        <w:rPr>
          <w:rFonts w:ascii="Times New Roman" w:hAnsi="Times New Roman" w:cs="Times New Roman"/>
          <w:noProof/>
          <w:sz w:val="24"/>
          <w:szCs w:val="24"/>
        </w:rPr>
      </w:pPr>
      <w:r>
        <w:rPr>
          <w:noProof/>
          <w:lang w:val="en-GB"/>
        </w:rPr>
        <w:drawing>
          <wp:inline distT="0" distB="0" distL="0" distR="0">
            <wp:extent cx="5695950" cy="39909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95950" cy="3990975"/>
                    </a:xfrm>
                    <a:prstGeom prst="rect">
                      <a:avLst/>
                    </a:prstGeom>
                  </pic:spPr>
                </pic:pic>
              </a:graphicData>
            </a:graphic>
          </wp:inline>
        </w:drawing>
      </w:r>
    </w:p>
    <w:bookmarkEnd w:id="26"/>
    <w:p>
      <w:pPr>
        <w:jc w:val="center"/>
        <w:rPr>
          <w:rFonts w:ascii="Times New Roman" w:hAnsi="Times New Roman" w:cs="Times New Roman"/>
          <w:noProof/>
          <w:sz w:val="24"/>
          <w:szCs w:val="24"/>
        </w:rPr>
      </w:pPr>
    </w:p>
    <w:p>
      <w:pPr>
        <w:jc w:val="both"/>
        <w:rPr>
          <w:rFonts w:ascii="Times New Roman" w:hAnsi="Times New Roman" w:cs="Times New Roman"/>
          <w:bCs/>
          <w:noProof/>
          <w:sz w:val="24"/>
          <w:szCs w:val="24"/>
        </w:rPr>
      </w:pPr>
      <w:r>
        <w:rPr>
          <w:rFonts w:ascii="Times New Roman" w:hAnsi="Times New Roman"/>
          <w:noProof/>
          <w:sz w:val="24"/>
          <w:szCs w:val="24"/>
        </w:rPr>
        <w:t>Przez wiele lat odsetek wniosków złożonych w celach innych niż postępowanie karne znajdował się średnio na poziomie 20 % wszystkich wniosków. Jak wspomniano powyżej, w latach 2018–2019 nastąpiła</w:t>
      </w:r>
      <w:r>
        <w:rPr>
          <w:rFonts w:ascii="Times New Roman" w:hAnsi="Times New Roman"/>
          <w:b/>
          <w:bCs/>
          <w:noProof/>
          <w:sz w:val="24"/>
          <w:szCs w:val="24"/>
        </w:rPr>
        <w:t xml:space="preserve"> całkowita zmiana w użytkowaniu systemu, z którego zaczęto korzystać w celach postępowań karnych równie często jak w innych celach (50/50 %).</w:t>
      </w:r>
      <w:r>
        <w:rPr>
          <w:rFonts w:ascii="Times New Roman" w:hAnsi="Times New Roman"/>
          <w:noProof/>
          <w:sz w:val="24"/>
          <w:szCs w:val="24"/>
        </w:rPr>
        <w:t xml:space="preserve"> Średnia dla całego okresu działania ECRIS wynosi </w:t>
      </w:r>
      <w:r>
        <w:rPr>
          <w:rFonts w:ascii="Times New Roman" w:hAnsi="Times New Roman"/>
          <w:b/>
          <w:noProof/>
          <w:sz w:val="24"/>
          <w:szCs w:val="24"/>
        </w:rPr>
        <w:t>69 %</w:t>
      </w:r>
      <w:r>
        <w:rPr>
          <w:rFonts w:ascii="Times New Roman" w:hAnsi="Times New Roman"/>
          <w:noProof/>
          <w:sz w:val="24"/>
          <w:szCs w:val="24"/>
        </w:rPr>
        <w:t xml:space="preserve"> wszystkich wniosków w celach </w:t>
      </w:r>
      <w:r>
        <w:rPr>
          <w:rFonts w:ascii="Times New Roman" w:hAnsi="Times New Roman"/>
          <w:b/>
          <w:noProof/>
          <w:sz w:val="24"/>
          <w:szCs w:val="24"/>
        </w:rPr>
        <w:t>postępowań karnych</w:t>
      </w:r>
      <w:r>
        <w:rPr>
          <w:rFonts w:ascii="Times New Roman" w:hAnsi="Times New Roman"/>
          <w:noProof/>
          <w:sz w:val="24"/>
          <w:szCs w:val="24"/>
        </w:rPr>
        <w:t xml:space="preserve"> i </w:t>
      </w:r>
      <w:r>
        <w:rPr>
          <w:rFonts w:ascii="Times New Roman" w:hAnsi="Times New Roman"/>
          <w:b/>
          <w:noProof/>
          <w:sz w:val="24"/>
          <w:szCs w:val="24"/>
        </w:rPr>
        <w:t>31 %</w:t>
      </w:r>
      <w:r>
        <w:rPr>
          <w:rFonts w:ascii="Times New Roman" w:hAnsi="Times New Roman"/>
          <w:noProof/>
          <w:sz w:val="24"/>
          <w:szCs w:val="24"/>
        </w:rPr>
        <w:t xml:space="preserve"> w </w:t>
      </w:r>
      <w:r>
        <w:rPr>
          <w:rFonts w:ascii="Times New Roman" w:hAnsi="Times New Roman"/>
          <w:b/>
          <w:noProof/>
          <w:sz w:val="24"/>
          <w:szCs w:val="24"/>
        </w:rPr>
        <w:t>innych celach</w:t>
      </w:r>
      <w:r>
        <w:rPr>
          <w:rFonts w:ascii="Times New Roman" w:hAnsi="Times New Roman"/>
          <w:noProof/>
          <w:sz w:val="24"/>
          <w:szCs w:val="24"/>
        </w:rPr>
        <w:t>.</w:t>
      </w:r>
    </w:p>
    <w:p>
      <w:pPr>
        <w:jc w:val="both"/>
        <w:rPr>
          <w:rFonts w:ascii="Times New Roman" w:hAnsi="Times New Roman" w:cs="Times New Roman"/>
          <w:bCs/>
          <w:noProof/>
          <w:sz w:val="24"/>
          <w:szCs w:val="24"/>
        </w:rPr>
      </w:pPr>
      <w:r>
        <w:rPr>
          <w:rFonts w:ascii="Times New Roman" w:hAnsi="Times New Roman"/>
          <w:noProof/>
          <w:sz w:val="24"/>
          <w:szCs w:val="24"/>
        </w:rPr>
        <w:t xml:space="preserve">W 2019 r. liczba </w:t>
      </w:r>
      <w:r>
        <w:rPr>
          <w:rFonts w:ascii="Times New Roman" w:hAnsi="Times New Roman"/>
          <w:b/>
          <w:noProof/>
          <w:sz w:val="24"/>
          <w:szCs w:val="24"/>
        </w:rPr>
        <w:t>wniosków</w:t>
      </w:r>
      <w:r>
        <w:rPr>
          <w:rFonts w:ascii="Times New Roman" w:hAnsi="Times New Roman"/>
          <w:noProof/>
          <w:sz w:val="24"/>
          <w:szCs w:val="24"/>
        </w:rPr>
        <w:t xml:space="preserve"> </w:t>
      </w:r>
      <w:r>
        <w:rPr>
          <w:rFonts w:ascii="Times New Roman" w:hAnsi="Times New Roman"/>
          <w:b/>
          <w:noProof/>
          <w:sz w:val="24"/>
          <w:szCs w:val="24"/>
        </w:rPr>
        <w:t xml:space="preserve">złożonych w innych celach </w:t>
      </w:r>
      <w:r>
        <w:rPr>
          <w:rFonts w:ascii="Times New Roman" w:hAnsi="Times New Roman"/>
          <w:b/>
          <w:bCs/>
          <w:noProof/>
          <w:sz w:val="24"/>
          <w:szCs w:val="24"/>
        </w:rPr>
        <w:t>przekroczyła</w:t>
      </w:r>
      <w:r>
        <w:rPr>
          <w:rFonts w:ascii="Times New Roman" w:hAnsi="Times New Roman"/>
          <w:b/>
          <w:noProof/>
          <w:sz w:val="24"/>
          <w:szCs w:val="24"/>
        </w:rPr>
        <w:t xml:space="preserve"> 500 000, </w:t>
      </w:r>
      <w:r>
        <w:rPr>
          <w:rFonts w:ascii="Times New Roman" w:hAnsi="Times New Roman"/>
          <w:bCs/>
          <w:noProof/>
          <w:sz w:val="24"/>
          <w:szCs w:val="24"/>
        </w:rPr>
        <w:t xml:space="preserve">co stanowi ponad </w:t>
      </w:r>
      <w:r>
        <w:rPr>
          <w:rFonts w:ascii="Times New Roman" w:hAnsi="Times New Roman"/>
          <w:b/>
          <w:noProof/>
          <w:sz w:val="24"/>
          <w:szCs w:val="24"/>
        </w:rPr>
        <w:t>6 razy więcej niż w 2016 r</w:t>
      </w:r>
      <w:r>
        <w:rPr>
          <w:rFonts w:ascii="Times New Roman" w:hAnsi="Times New Roman"/>
          <w:bCs/>
          <w:noProof/>
          <w:sz w:val="24"/>
          <w:szCs w:val="24"/>
        </w:rPr>
        <w:t xml:space="preserve">. Liczba </w:t>
      </w:r>
      <w:r>
        <w:rPr>
          <w:rFonts w:ascii="Times New Roman" w:hAnsi="Times New Roman"/>
          <w:b/>
          <w:noProof/>
          <w:sz w:val="24"/>
          <w:szCs w:val="24"/>
        </w:rPr>
        <w:t xml:space="preserve">wniosków w celach postępowań karnych </w:t>
      </w:r>
      <w:r>
        <w:rPr>
          <w:rFonts w:ascii="Times New Roman" w:hAnsi="Times New Roman"/>
          <w:bCs/>
          <w:noProof/>
          <w:sz w:val="24"/>
          <w:szCs w:val="24"/>
        </w:rPr>
        <w:t xml:space="preserve">również utrzymywała się </w:t>
      </w:r>
      <w:r>
        <w:rPr>
          <w:rFonts w:ascii="Times New Roman" w:hAnsi="Times New Roman"/>
          <w:b/>
          <w:noProof/>
          <w:sz w:val="24"/>
          <w:szCs w:val="24"/>
        </w:rPr>
        <w:t>na stabilnym poziomie około 500 000</w:t>
      </w:r>
      <w:r>
        <w:rPr>
          <w:rFonts w:ascii="Times New Roman" w:hAnsi="Times New Roman"/>
          <w:bCs/>
          <w:noProof/>
          <w:sz w:val="24"/>
          <w:szCs w:val="24"/>
        </w:rPr>
        <w:t>.</w:t>
      </w:r>
    </w:p>
    <w:p>
      <w:pPr>
        <w:jc w:val="both"/>
        <w:rPr>
          <w:rFonts w:ascii="Times New Roman" w:hAnsi="Times New Roman" w:cs="Times New Roman"/>
          <w:noProof/>
          <w:sz w:val="24"/>
          <w:szCs w:val="24"/>
        </w:rPr>
      </w:pPr>
      <w:r>
        <w:rPr>
          <w:rFonts w:ascii="Times New Roman" w:hAnsi="Times New Roman"/>
          <w:noProof/>
          <w:sz w:val="24"/>
          <w:szCs w:val="24"/>
        </w:rPr>
        <w:t xml:space="preserve">Wzrost liczby wniosków składanych w innych celach był spowodowany głównie </w:t>
      </w:r>
      <w:r>
        <w:rPr>
          <w:rFonts w:ascii="Times New Roman" w:hAnsi="Times New Roman"/>
          <w:b/>
          <w:bCs/>
          <w:noProof/>
          <w:sz w:val="24"/>
          <w:szCs w:val="24"/>
        </w:rPr>
        <w:t xml:space="preserve">znacznym wzrostem liczby wniosków składanych przez osoby fizyczne o udzielenie informacji z ich własnych rejestrów karnych </w:t>
      </w:r>
      <w:r>
        <w:rPr>
          <w:rFonts w:ascii="Times New Roman" w:hAnsi="Times New Roman"/>
          <w:noProof/>
          <w:sz w:val="24"/>
          <w:szCs w:val="24"/>
        </w:rPr>
        <w:t>–</w:t>
      </w:r>
      <w:r>
        <w:rPr>
          <w:rFonts w:ascii="Times New Roman" w:hAnsi="Times New Roman"/>
          <w:b/>
          <w:bCs/>
          <w:noProof/>
          <w:sz w:val="24"/>
          <w:szCs w:val="24"/>
        </w:rPr>
        <w:t xml:space="preserve"> </w:t>
      </w:r>
      <w:r>
        <w:rPr>
          <w:rFonts w:ascii="Times New Roman" w:hAnsi="Times New Roman"/>
          <w:noProof/>
          <w:sz w:val="24"/>
          <w:szCs w:val="24"/>
        </w:rPr>
        <w:t xml:space="preserve">ponad sześciokrotny wzrost od 2016 r., co łącznie oznacza </w:t>
      </w:r>
      <w:r>
        <w:rPr>
          <w:rFonts w:ascii="Times New Roman" w:hAnsi="Times New Roman"/>
          <w:b/>
          <w:bCs/>
          <w:noProof/>
          <w:sz w:val="24"/>
          <w:szCs w:val="24"/>
        </w:rPr>
        <w:t>356 000 wniosków</w:t>
      </w:r>
      <w:r>
        <w:rPr>
          <w:rFonts w:ascii="Times New Roman" w:hAnsi="Times New Roman"/>
          <w:noProof/>
          <w:sz w:val="24"/>
          <w:szCs w:val="24"/>
        </w:rPr>
        <w:t xml:space="preserve">. Drugim czynnikiem składowym była liczba </w:t>
      </w:r>
      <w:r>
        <w:rPr>
          <w:rFonts w:ascii="Times New Roman" w:hAnsi="Times New Roman"/>
          <w:b/>
          <w:bCs/>
          <w:noProof/>
          <w:sz w:val="24"/>
          <w:szCs w:val="24"/>
        </w:rPr>
        <w:t xml:space="preserve">wniosków złożonych w celach </w:t>
      </w:r>
      <w:r>
        <w:rPr>
          <w:rFonts w:ascii="Times New Roman" w:hAnsi="Times New Roman"/>
          <w:b/>
          <w:noProof/>
          <w:sz w:val="24"/>
          <w:szCs w:val="24"/>
        </w:rPr>
        <w:t xml:space="preserve">rekrutacji </w:t>
      </w:r>
      <w:r>
        <w:rPr>
          <w:rFonts w:ascii="Times New Roman" w:hAnsi="Times New Roman"/>
          <w:noProof/>
          <w:sz w:val="24"/>
          <w:szCs w:val="24"/>
        </w:rPr>
        <w:t xml:space="preserve">do wykonywania działalności zawodowej lub zorganizowanej działalności wolontariackiej </w:t>
      </w:r>
      <w:r>
        <w:rPr>
          <w:rFonts w:ascii="Times New Roman" w:hAnsi="Times New Roman"/>
          <w:b/>
          <w:noProof/>
          <w:sz w:val="24"/>
          <w:szCs w:val="24"/>
        </w:rPr>
        <w:t>wiążącej się z bezpośrednim i regularnym kontaktem z dziećmi</w:t>
      </w:r>
      <w:r>
        <w:rPr>
          <w:rFonts w:ascii="Times New Roman" w:hAnsi="Times New Roman"/>
          <w:noProof/>
          <w:sz w:val="24"/>
          <w:szCs w:val="24"/>
        </w:rPr>
        <w:t xml:space="preserve">, w związku z wykonaniem </w:t>
      </w:r>
      <w:r>
        <w:rPr>
          <w:rFonts w:ascii="Times New Roman" w:hAnsi="Times New Roman"/>
          <w:b/>
          <w:noProof/>
          <w:sz w:val="24"/>
          <w:szCs w:val="24"/>
        </w:rPr>
        <w:t>dyrektywy 2011/93/UE</w:t>
      </w:r>
      <w:r>
        <w:rPr>
          <w:rStyle w:val="FootnoteReference"/>
          <w:rFonts w:ascii="Times New Roman" w:hAnsi="Times New Roman" w:cs="Times New Roman"/>
          <w:b/>
          <w:noProof/>
          <w:sz w:val="24"/>
          <w:szCs w:val="24"/>
        </w:rPr>
        <w:footnoteReference w:id="21"/>
      </w:r>
      <w:r>
        <w:rPr>
          <w:rFonts w:ascii="Times New Roman" w:hAnsi="Times New Roman"/>
          <w:b/>
          <w:noProof/>
          <w:sz w:val="24"/>
          <w:szCs w:val="24"/>
        </w:rPr>
        <w:t>.</w:t>
      </w:r>
      <w:r>
        <w:rPr>
          <w:rFonts w:ascii="Times New Roman" w:hAnsi="Times New Roman"/>
          <w:noProof/>
          <w:sz w:val="24"/>
          <w:szCs w:val="24"/>
        </w:rPr>
        <w:t xml:space="preserve"> Takich wniosków w 2019 r. było </w:t>
      </w:r>
      <w:r>
        <w:rPr>
          <w:rFonts w:ascii="Times New Roman" w:hAnsi="Times New Roman"/>
          <w:b/>
          <w:noProof/>
          <w:sz w:val="24"/>
          <w:szCs w:val="24"/>
        </w:rPr>
        <w:t>115 000</w:t>
      </w:r>
      <w:r>
        <w:rPr>
          <w:rFonts w:ascii="Times New Roman" w:hAnsi="Times New Roman"/>
          <w:bCs/>
          <w:noProof/>
          <w:sz w:val="24"/>
          <w:szCs w:val="24"/>
        </w:rPr>
        <w:t xml:space="preserve">, </w:t>
      </w:r>
      <w:r>
        <w:rPr>
          <w:rFonts w:ascii="Times New Roman" w:hAnsi="Times New Roman"/>
          <w:noProof/>
          <w:sz w:val="24"/>
          <w:szCs w:val="24"/>
        </w:rPr>
        <w:t xml:space="preserve">co stanowi </w:t>
      </w:r>
      <w:r>
        <w:rPr>
          <w:rFonts w:ascii="Times New Roman" w:hAnsi="Times New Roman"/>
          <w:b/>
          <w:noProof/>
          <w:sz w:val="24"/>
          <w:szCs w:val="24"/>
        </w:rPr>
        <w:t>znaczny wzrost</w:t>
      </w:r>
      <w:r>
        <w:rPr>
          <w:rFonts w:ascii="Times New Roman" w:hAnsi="Times New Roman"/>
          <w:noProof/>
          <w:sz w:val="24"/>
          <w:szCs w:val="24"/>
        </w:rPr>
        <w:t xml:space="preserve"> w porównaniu z 7 800 wniosków w 2016 r. Państwem członkowskim w głównej mierze odpowiedzialnym za wzrost liczby wniosków składanych w innych celach są DE.</w:t>
      </w:r>
    </w:p>
    <w:p>
      <w:pPr>
        <w:jc w:val="both"/>
        <w:rPr>
          <w:rFonts w:ascii="Times New Roman" w:hAnsi="Times New Roman" w:cs="Times New Roman"/>
          <w:noProof/>
          <w:sz w:val="24"/>
          <w:szCs w:val="24"/>
        </w:rPr>
      </w:pPr>
      <w:r>
        <w:rPr>
          <w:rFonts w:ascii="Times New Roman" w:hAnsi="Times New Roman"/>
          <w:noProof/>
          <w:sz w:val="24"/>
          <w:szCs w:val="24"/>
        </w:rPr>
        <w:t xml:space="preserve">W 2019 r. większość wniosków w celach niezwiązanych z postępowaniem karnym została złożona przez </w:t>
      </w:r>
      <w:r>
        <w:rPr>
          <w:rFonts w:ascii="Times New Roman" w:hAnsi="Times New Roman"/>
          <w:b/>
          <w:noProof/>
          <w:sz w:val="24"/>
          <w:szCs w:val="24"/>
        </w:rPr>
        <w:t>osoby</w:t>
      </w:r>
      <w:r>
        <w:rPr>
          <w:rFonts w:ascii="Times New Roman" w:hAnsi="Times New Roman"/>
          <w:noProof/>
          <w:sz w:val="24"/>
          <w:szCs w:val="24"/>
        </w:rPr>
        <w:t xml:space="preserve"> </w:t>
      </w:r>
      <w:r>
        <w:rPr>
          <w:rFonts w:ascii="Times New Roman" w:hAnsi="Times New Roman"/>
          <w:b/>
          <w:bCs/>
          <w:noProof/>
          <w:sz w:val="24"/>
          <w:szCs w:val="24"/>
        </w:rPr>
        <w:t>fizyczne,</w:t>
      </w:r>
      <w:r>
        <w:rPr>
          <w:rFonts w:ascii="Times New Roman" w:hAnsi="Times New Roman"/>
          <w:noProof/>
          <w:sz w:val="24"/>
          <w:szCs w:val="24"/>
        </w:rPr>
        <w:t xml:space="preserve"> </w:t>
      </w:r>
      <w:r>
        <w:rPr>
          <w:rFonts w:ascii="Times New Roman" w:hAnsi="Times New Roman"/>
          <w:b/>
          <w:noProof/>
          <w:sz w:val="24"/>
          <w:szCs w:val="24"/>
        </w:rPr>
        <w:t>aby uzyskać informacje z rejestru karnego dotyczące nich samych</w:t>
      </w:r>
      <w:r>
        <w:rPr>
          <w:rFonts w:ascii="Times New Roman" w:hAnsi="Times New Roman"/>
          <w:noProof/>
          <w:sz w:val="24"/>
          <w:szCs w:val="24"/>
        </w:rPr>
        <w:t xml:space="preserve"> – </w:t>
      </w:r>
      <w:r>
        <w:rPr>
          <w:rFonts w:ascii="Times New Roman" w:hAnsi="Times New Roman"/>
          <w:b/>
          <w:bCs/>
          <w:noProof/>
          <w:sz w:val="24"/>
          <w:szCs w:val="24"/>
        </w:rPr>
        <w:t xml:space="preserve">70 % wniosków złożonych w innych celach </w:t>
      </w:r>
      <w:r>
        <w:rPr>
          <w:rFonts w:ascii="Times New Roman" w:hAnsi="Times New Roman"/>
          <w:noProof/>
          <w:sz w:val="24"/>
          <w:szCs w:val="24"/>
        </w:rPr>
        <w:t>i</w:t>
      </w:r>
      <w:r>
        <w:rPr>
          <w:rFonts w:ascii="Times New Roman" w:hAnsi="Times New Roman"/>
          <w:b/>
          <w:bCs/>
          <w:noProof/>
          <w:sz w:val="24"/>
          <w:szCs w:val="24"/>
        </w:rPr>
        <w:t> 35 % wszystkich złożonych wniosków</w:t>
      </w:r>
      <w:r>
        <w:rPr>
          <w:rFonts w:ascii="Times New Roman" w:hAnsi="Times New Roman"/>
          <w:noProof/>
          <w:sz w:val="24"/>
          <w:szCs w:val="24"/>
        </w:rPr>
        <w:t>. Następne w kolejności były wnioski związane z </w:t>
      </w:r>
      <w:r>
        <w:rPr>
          <w:rFonts w:ascii="Times New Roman" w:hAnsi="Times New Roman"/>
          <w:b/>
          <w:bCs/>
          <w:noProof/>
          <w:sz w:val="24"/>
          <w:szCs w:val="24"/>
        </w:rPr>
        <w:t xml:space="preserve">rekrutacją zgodnie z dyrektywą 2011/93/UE (22 % </w:t>
      </w:r>
      <w:r>
        <w:rPr>
          <w:rFonts w:ascii="Times New Roman" w:hAnsi="Times New Roman"/>
          <w:noProof/>
          <w:sz w:val="24"/>
          <w:szCs w:val="24"/>
        </w:rPr>
        <w:t>wniosków złożonych w innych celach i 11 % wszystkich złożonych wniosków – w porównaniu z 10 % wniosków złożonych w innych celach w 2016 r.). Odsetek wniosków złożonych przez właściwe organy administracyjne w postępowaniach innych niż karne spadł z 14 % wniosków złożonych w innych celach w 2016 r. do 3,8 % w 2019 r. (i 2 % wszystkich wniosków), w związku z czym wnioski te znajdują się na trzecim miejscu, a ich liczba wynosi 19 000. Wnioski dotyczące uzyskania pozwolenia na posiadanie broni stanowiły 1,1 % wniosków złożonych w innych celach. Ponadto wnioski złożone w ważnym celu uzyskania innego obywatelstwa stanowiły tylko około 0,9 % wniosków złożonych w innych celach i 0,4 % wszystkich wniosków</w:t>
      </w:r>
      <w:r>
        <w:rPr>
          <w:rStyle w:val="FootnoteReference"/>
          <w:rFonts w:ascii="Times New Roman" w:hAnsi="Times New Roman" w:cs="Times New Roman"/>
          <w:noProof/>
          <w:sz w:val="24"/>
          <w:szCs w:val="24"/>
        </w:rPr>
        <w:footnoteReference w:id="22"/>
      </w:r>
      <w:r>
        <w:rPr>
          <w:noProof/>
        </w:rPr>
        <w:t>.</w:t>
      </w:r>
    </w:p>
    <w:p>
      <w:pPr>
        <w:rPr>
          <w:rFonts w:ascii="Times New Roman" w:hAnsi="Times New Roman" w:cs="Times New Roman"/>
          <w:noProof/>
          <w:sz w:val="24"/>
          <w:szCs w:val="24"/>
        </w:rPr>
      </w:pPr>
      <w:bookmarkStart w:id="27" w:name="_Toc479267024"/>
    </w:p>
    <w:p>
      <w:pPr>
        <w:rPr>
          <w:rFonts w:ascii="Times New Roman" w:hAnsi="Times New Roman" w:cs="Times New Roman"/>
          <w:b/>
          <w:noProof/>
          <w:sz w:val="24"/>
          <w:szCs w:val="24"/>
        </w:rPr>
      </w:pPr>
      <w:r>
        <w:rPr>
          <w:rFonts w:ascii="Times New Roman" w:hAnsi="Times New Roman"/>
          <w:b/>
          <w:noProof/>
          <w:sz w:val="24"/>
          <w:szCs w:val="24"/>
        </w:rPr>
        <w:t>2.9. Wnioski dotyczące obywateli Unii</w:t>
      </w:r>
      <w:bookmarkEnd w:id="27"/>
      <w:r>
        <w:rPr>
          <w:rFonts w:ascii="Times New Roman" w:hAnsi="Times New Roman"/>
          <w:b/>
          <w:noProof/>
          <w:sz w:val="24"/>
          <w:szCs w:val="24"/>
        </w:rPr>
        <w:t xml:space="preserve"> i obywateli państw trzecich (TCN)</w:t>
      </w:r>
    </w:p>
    <w:p>
      <w:pPr>
        <w:spacing w:after="0"/>
        <w:jc w:val="both"/>
        <w:rPr>
          <w:rFonts w:ascii="Times New Roman" w:hAnsi="Times New Roman" w:cs="Times New Roman"/>
          <w:noProof/>
          <w:sz w:val="24"/>
          <w:szCs w:val="24"/>
        </w:rPr>
      </w:pPr>
      <w:r>
        <w:rPr>
          <w:rFonts w:ascii="Times New Roman" w:hAnsi="Times New Roman"/>
          <w:noProof/>
          <w:sz w:val="24"/>
          <w:szCs w:val="24"/>
        </w:rPr>
        <w:t>Na poniższych wykresach przedstawiono stosunek wniosków dotyczących obywateli UE do wniosków dotyczących TCN w ujęciu rocznym</w:t>
      </w:r>
      <w:r>
        <w:rPr>
          <w:rStyle w:val="FootnoteReference"/>
          <w:rFonts w:ascii="Times New Roman" w:hAnsi="Times New Roman" w:cs="Times New Roman"/>
          <w:noProof/>
          <w:sz w:val="24"/>
          <w:szCs w:val="24"/>
        </w:rPr>
        <w:footnoteReference w:id="23"/>
      </w:r>
      <w:r>
        <w:rPr>
          <w:rFonts w:ascii="Times New Roman" w:hAnsi="Times New Roman"/>
          <w:noProof/>
          <w:sz w:val="24"/>
          <w:szCs w:val="24"/>
        </w:rPr>
        <w:t xml:space="preserve"> i średnio w trakcie całego okresu działania systemu ECRIS.</w:t>
      </w:r>
    </w:p>
    <w:p>
      <w:pPr>
        <w:jc w:val="center"/>
        <w:rPr>
          <w:rStyle w:val="CommentReference"/>
          <w:rFonts w:ascii="Times New Roman" w:hAnsi="Times New Roman" w:cs="Times New Roman"/>
          <w:noProof/>
          <w:sz w:val="24"/>
          <w:szCs w:val="24"/>
        </w:rPr>
      </w:pPr>
    </w:p>
    <w:p>
      <w:pPr>
        <w:jc w:val="center"/>
        <w:rPr>
          <w:rFonts w:ascii="Times New Roman" w:hAnsi="Times New Roman" w:cs="Times New Roman"/>
          <w:noProof/>
          <w:sz w:val="24"/>
          <w:szCs w:val="24"/>
        </w:rPr>
      </w:pPr>
      <w:r>
        <w:rPr>
          <w:noProof/>
          <w:lang w:val="en-GB"/>
        </w:rPr>
        <w:drawing>
          <wp:inline distT="0" distB="0" distL="0" distR="0">
            <wp:extent cx="5760085" cy="2307265"/>
            <wp:effectExtent l="0" t="0" r="0" b="0"/>
            <wp:docPr id="59"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srcRect/>
                    <a:stretch>
                      <a:fillRect/>
                    </a:stretch>
                  </pic:blipFill>
                  <pic:spPr bwMode="auto">
                    <a:xfrm>
                      <a:off x="0" y="0"/>
                      <a:ext cx="5764345" cy="2308971"/>
                    </a:xfrm>
                    <a:prstGeom prst="rect">
                      <a:avLst/>
                    </a:prstGeom>
                    <a:noFill/>
                    <a:ln w="9525">
                      <a:noFill/>
                      <a:miter lim="800000"/>
                      <a:headEnd/>
                      <a:tailEnd/>
                    </a:ln>
                  </pic:spPr>
                </pic:pic>
              </a:graphicData>
            </a:graphic>
          </wp:inline>
        </w:drawing>
      </w:r>
      <w:r>
        <w:rPr>
          <w:noProof/>
        </w:rPr>
        <w:t xml:space="preserve"> </w:t>
      </w:r>
    </w:p>
    <w:p>
      <w:pPr>
        <w:contextualSpacing/>
        <w:jc w:val="center"/>
        <w:rPr>
          <w:rFonts w:ascii="Times New Roman" w:hAnsi="Times New Roman" w:cs="Times New Roman"/>
          <w:noProof/>
          <w:sz w:val="24"/>
          <w:szCs w:val="24"/>
        </w:rPr>
      </w:pPr>
    </w:p>
    <w:p>
      <w:pPr>
        <w:contextualSpacing/>
        <w:jc w:val="center"/>
        <w:rPr>
          <w:rFonts w:ascii="Times New Roman" w:hAnsi="Times New Roman" w:cs="Times New Roman"/>
          <w:noProof/>
          <w:sz w:val="24"/>
          <w:szCs w:val="24"/>
        </w:rPr>
      </w:pPr>
      <w:r>
        <w:rPr>
          <w:noProof/>
          <w:lang w:val="en-GB"/>
        </w:rPr>
        <w:drawing>
          <wp:inline distT="0" distB="0" distL="0" distR="0">
            <wp:extent cx="5760085" cy="34042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85" cy="3404235"/>
                    </a:xfrm>
                    <a:prstGeom prst="rect">
                      <a:avLst/>
                    </a:prstGeom>
                  </pic:spPr>
                </pic:pic>
              </a:graphicData>
            </a:graphic>
          </wp:inline>
        </w:drawing>
      </w:r>
    </w:p>
    <w:p>
      <w:pPr>
        <w:contextualSpacing/>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noProof/>
          <w:sz w:val="24"/>
          <w:szCs w:val="24"/>
        </w:rPr>
        <w:t>Średnio</w:t>
      </w:r>
      <w:r>
        <w:rPr>
          <w:rFonts w:ascii="Times New Roman" w:hAnsi="Times New Roman"/>
          <w:b/>
          <w:noProof/>
          <w:sz w:val="24"/>
          <w:szCs w:val="24"/>
        </w:rPr>
        <w:t xml:space="preserve"> 92 %</w:t>
      </w:r>
      <w:r>
        <w:rPr>
          <w:rFonts w:ascii="Times New Roman" w:hAnsi="Times New Roman"/>
          <w:noProof/>
          <w:sz w:val="24"/>
          <w:szCs w:val="24"/>
        </w:rPr>
        <w:t xml:space="preserve"> wszystkich wniosków dotyczy </w:t>
      </w:r>
      <w:r>
        <w:rPr>
          <w:rFonts w:ascii="Times New Roman" w:hAnsi="Times New Roman"/>
          <w:b/>
          <w:noProof/>
          <w:sz w:val="24"/>
          <w:szCs w:val="24"/>
        </w:rPr>
        <w:t>obywateli UE</w:t>
      </w:r>
      <w:r>
        <w:rPr>
          <w:rFonts w:ascii="Times New Roman" w:hAnsi="Times New Roman"/>
          <w:noProof/>
          <w:sz w:val="24"/>
          <w:szCs w:val="24"/>
        </w:rPr>
        <w:t xml:space="preserve">, a około </w:t>
      </w:r>
      <w:r>
        <w:rPr>
          <w:rFonts w:ascii="Times New Roman" w:hAnsi="Times New Roman"/>
          <w:b/>
          <w:noProof/>
          <w:sz w:val="24"/>
          <w:szCs w:val="24"/>
        </w:rPr>
        <w:t>8 % dotyczy TCN</w:t>
      </w:r>
      <w:r>
        <w:rPr>
          <w:rFonts w:ascii="Times New Roman" w:hAnsi="Times New Roman"/>
          <w:noProof/>
          <w:sz w:val="24"/>
          <w:szCs w:val="24"/>
        </w:rPr>
        <w:t>. Odsetek wniosków dotyczących bezpaństwowców jest marginalny (0,02 %).</w:t>
      </w:r>
    </w:p>
    <w:p>
      <w:pPr>
        <w:jc w:val="both"/>
        <w:rPr>
          <w:rFonts w:ascii="Times New Roman" w:hAnsi="Times New Roman" w:cs="Times New Roman"/>
          <w:bCs/>
          <w:noProof/>
          <w:sz w:val="24"/>
          <w:szCs w:val="24"/>
        </w:rPr>
      </w:pPr>
      <w:r>
        <w:rPr>
          <w:rFonts w:ascii="Times New Roman" w:hAnsi="Times New Roman"/>
          <w:noProof/>
          <w:sz w:val="24"/>
          <w:szCs w:val="24"/>
        </w:rPr>
        <w:t xml:space="preserve">Chociaż od 2016 r. </w:t>
      </w:r>
      <w:r>
        <w:rPr>
          <w:rFonts w:ascii="Times New Roman" w:hAnsi="Times New Roman"/>
          <w:b/>
          <w:bCs/>
          <w:noProof/>
          <w:sz w:val="24"/>
          <w:szCs w:val="24"/>
        </w:rPr>
        <w:t>odsetek wniosków o udzielenie informacji na temat TCN zmalał</w:t>
      </w:r>
      <w:r>
        <w:rPr>
          <w:rFonts w:ascii="Times New Roman" w:hAnsi="Times New Roman"/>
          <w:noProof/>
          <w:sz w:val="24"/>
          <w:szCs w:val="24"/>
        </w:rPr>
        <w:t xml:space="preserve"> z 10 % do</w:t>
      </w:r>
      <w:r>
        <w:rPr>
          <w:rFonts w:ascii="Times New Roman" w:hAnsi="Times New Roman"/>
          <w:b/>
          <w:bCs/>
          <w:noProof/>
          <w:sz w:val="24"/>
          <w:szCs w:val="24"/>
        </w:rPr>
        <w:t> 7 % wszystkich wniosków w 2019 r.</w:t>
      </w:r>
      <w:r>
        <w:rPr>
          <w:rFonts w:ascii="Times New Roman" w:hAnsi="Times New Roman"/>
          <w:noProof/>
          <w:sz w:val="24"/>
          <w:szCs w:val="24"/>
        </w:rPr>
        <w:t xml:space="preserve">, </w:t>
      </w:r>
      <w:r>
        <w:rPr>
          <w:rFonts w:ascii="Times New Roman" w:hAnsi="Times New Roman"/>
          <w:b/>
          <w:bCs/>
          <w:noProof/>
          <w:sz w:val="24"/>
          <w:szCs w:val="24"/>
        </w:rPr>
        <w:t>rzeczywista</w:t>
      </w:r>
      <w:r>
        <w:rPr>
          <w:rFonts w:ascii="Times New Roman" w:hAnsi="Times New Roman"/>
          <w:noProof/>
          <w:sz w:val="24"/>
          <w:szCs w:val="24"/>
        </w:rPr>
        <w:t xml:space="preserve"> </w:t>
      </w:r>
      <w:r>
        <w:rPr>
          <w:rFonts w:ascii="Times New Roman" w:hAnsi="Times New Roman"/>
          <w:b/>
          <w:bCs/>
          <w:noProof/>
          <w:sz w:val="24"/>
          <w:szCs w:val="24"/>
        </w:rPr>
        <w:t xml:space="preserve">liczba takich wniosków </w:t>
      </w:r>
      <w:r>
        <w:rPr>
          <w:rFonts w:ascii="Times New Roman" w:hAnsi="Times New Roman"/>
          <w:bCs/>
          <w:noProof/>
          <w:sz w:val="24"/>
          <w:szCs w:val="24"/>
        </w:rPr>
        <w:t xml:space="preserve">stale </w:t>
      </w:r>
      <w:r>
        <w:rPr>
          <w:rFonts w:ascii="Times New Roman" w:hAnsi="Times New Roman"/>
          <w:b/>
          <w:noProof/>
          <w:sz w:val="24"/>
          <w:szCs w:val="24"/>
        </w:rPr>
        <w:t>rosła</w:t>
      </w:r>
      <w:r>
        <w:rPr>
          <w:rFonts w:ascii="Times New Roman" w:hAnsi="Times New Roman"/>
          <w:bCs/>
          <w:noProof/>
          <w:sz w:val="24"/>
          <w:szCs w:val="24"/>
        </w:rPr>
        <w:t xml:space="preserve"> i </w:t>
      </w:r>
      <w:r>
        <w:rPr>
          <w:rFonts w:ascii="Times New Roman" w:hAnsi="Times New Roman"/>
          <w:b/>
          <w:bCs/>
          <w:noProof/>
          <w:sz w:val="24"/>
          <w:szCs w:val="24"/>
        </w:rPr>
        <w:t>w</w:t>
      </w:r>
      <w:r>
        <w:rPr>
          <w:rFonts w:ascii="Times New Roman" w:hAnsi="Times New Roman"/>
          <w:bCs/>
          <w:noProof/>
          <w:sz w:val="24"/>
          <w:szCs w:val="24"/>
        </w:rPr>
        <w:t> </w:t>
      </w:r>
      <w:r>
        <w:rPr>
          <w:rFonts w:ascii="Times New Roman" w:hAnsi="Times New Roman"/>
          <w:b/>
          <w:bCs/>
          <w:noProof/>
          <w:sz w:val="24"/>
          <w:szCs w:val="24"/>
        </w:rPr>
        <w:t>2019 r.</w:t>
      </w:r>
      <w:r>
        <w:rPr>
          <w:rFonts w:ascii="Times New Roman" w:hAnsi="Times New Roman"/>
          <w:bCs/>
          <w:noProof/>
          <w:sz w:val="24"/>
          <w:szCs w:val="24"/>
        </w:rPr>
        <w:t xml:space="preserve"> przekroczyła </w:t>
      </w:r>
      <w:r>
        <w:rPr>
          <w:rFonts w:ascii="Times New Roman" w:hAnsi="Times New Roman"/>
          <w:b/>
          <w:noProof/>
          <w:sz w:val="24"/>
          <w:szCs w:val="24"/>
        </w:rPr>
        <w:t xml:space="preserve">69 000. </w:t>
      </w:r>
      <w:r>
        <w:rPr>
          <w:rFonts w:ascii="Times New Roman" w:hAnsi="Times New Roman"/>
          <w:bCs/>
          <w:noProof/>
          <w:sz w:val="24"/>
          <w:szCs w:val="24"/>
        </w:rPr>
        <w:t>Zjawisko to jest spowodowane znacznym wzrostem liczby wniosków złożonych w celach innych niż postępowania karne, które dotyczą w większości obywateli UE.</w:t>
      </w:r>
    </w:p>
    <w:p>
      <w:pPr>
        <w:jc w:val="both"/>
        <w:rPr>
          <w:rFonts w:ascii="Times New Roman" w:hAnsi="Times New Roman" w:cs="Times New Roman"/>
          <w:noProof/>
          <w:sz w:val="24"/>
          <w:szCs w:val="24"/>
        </w:rPr>
      </w:pPr>
      <w:r>
        <w:rPr>
          <w:rFonts w:ascii="Times New Roman" w:hAnsi="Times New Roman"/>
          <w:noProof/>
          <w:sz w:val="24"/>
          <w:szCs w:val="24"/>
        </w:rPr>
        <w:t>W 2019 r. przyjęto przepisy uzupełniające</w:t>
      </w:r>
      <w:r>
        <w:rPr>
          <w:rStyle w:val="FootnoteReference"/>
          <w:rFonts w:ascii="Times New Roman" w:hAnsi="Times New Roman" w:cs="Times New Roman"/>
          <w:noProof/>
          <w:sz w:val="24"/>
          <w:szCs w:val="24"/>
        </w:rPr>
        <w:footnoteReference w:id="24"/>
      </w:r>
      <w:r>
        <w:rPr>
          <w:rFonts w:ascii="Times New Roman" w:hAnsi="Times New Roman"/>
          <w:noProof/>
          <w:sz w:val="24"/>
          <w:szCs w:val="24"/>
        </w:rPr>
        <w:t>, w których ustanowiono scentralizowany system ECRIS-TCN umożliwiający sprawną identyfikację jednego lub większej liczby państw członkowskich posiadających informacje w rejestrach karnych dotyczące TCN skazanych w UE. Oczekuje się, że gdy system ten zacznie działać w 2023 r., będzie on wspierał sprawniejszą wymianę za pośrednictwem ECRIS informacji dotyczących TCN oraz że doprowadzi do znacznego wzrostu liczby takich wniosków.</w:t>
      </w:r>
    </w:p>
    <w:p>
      <w:pPr>
        <w:rPr>
          <w:rFonts w:ascii="Times New Roman" w:hAnsi="Times New Roman" w:cs="Times New Roman"/>
          <w:noProof/>
          <w:sz w:val="24"/>
          <w:szCs w:val="24"/>
        </w:rPr>
      </w:pPr>
      <w:bookmarkStart w:id="28" w:name="_Toc479267025"/>
    </w:p>
    <w:p>
      <w:pPr>
        <w:rPr>
          <w:rFonts w:ascii="Times New Roman" w:hAnsi="Times New Roman" w:cs="Times New Roman"/>
          <w:b/>
          <w:noProof/>
          <w:sz w:val="24"/>
          <w:szCs w:val="24"/>
        </w:rPr>
      </w:pPr>
      <w:r>
        <w:rPr>
          <w:rFonts w:ascii="Times New Roman" w:hAnsi="Times New Roman"/>
          <w:b/>
          <w:noProof/>
          <w:sz w:val="24"/>
          <w:szCs w:val="24"/>
        </w:rPr>
        <w:t>2.10.</w:t>
      </w:r>
      <w:bookmarkEnd w:id="28"/>
      <w:r>
        <w:rPr>
          <w:rFonts w:ascii="Times New Roman" w:hAnsi="Times New Roman"/>
          <w:b/>
          <w:noProof/>
          <w:sz w:val="24"/>
          <w:szCs w:val="24"/>
        </w:rPr>
        <w:t xml:space="preserve"> Odpowiedzi zawierające informacje o wyrokach skazujących</w:t>
      </w:r>
    </w:p>
    <w:p>
      <w:pPr>
        <w:jc w:val="both"/>
        <w:rPr>
          <w:rFonts w:ascii="Times New Roman" w:hAnsi="Times New Roman" w:cs="Times New Roman"/>
          <w:noProof/>
          <w:sz w:val="24"/>
          <w:szCs w:val="24"/>
        </w:rPr>
      </w:pPr>
      <w:r>
        <w:rPr>
          <w:rFonts w:ascii="Times New Roman" w:hAnsi="Times New Roman"/>
          <w:noProof/>
          <w:sz w:val="24"/>
          <w:szCs w:val="24"/>
        </w:rPr>
        <w:t>Na poniższych wykresach przedstawiono dane na temat odsetków odpowiedzi na wnioski zawierających informację o jednym lub większej liczbie wyroków skazujących, odpowiedzi niezawierających informacji o wyrokach skazujących i innych odpowiedzi udzielanych rocznie</w:t>
      </w:r>
      <w:r>
        <w:rPr>
          <w:rStyle w:val="FootnoteReference"/>
          <w:rFonts w:ascii="Times New Roman" w:hAnsi="Times New Roman" w:cs="Times New Roman"/>
          <w:noProof/>
          <w:sz w:val="24"/>
          <w:szCs w:val="24"/>
        </w:rPr>
        <w:footnoteReference w:id="25"/>
      </w:r>
      <w:r>
        <w:rPr>
          <w:rFonts w:ascii="Times New Roman" w:hAnsi="Times New Roman"/>
          <w:noProof/>
          <w:sz w:val="24"/>
          <w:szCs w:val="24"/>
        </w:rPr>
        <w:t xml:space="preserve"> i średnio w całym okresie działania systemu ECRIS.</w:t>
      </w:r>
    </w:p>
    <w:p>
      <w:pPr>
        <w:jc w:val="center"/>
        <w:rPr>
          <w:rFonts w:ascii="Times New Roman" w:hAnsi="Times New Roman" w:cs="Times New Roman"/>
          <w:noProof/>
          <w:sz w:val="24"/>
          <w:szCs w:val="24"/>
        </w:rPr>
      </w:pPr>
      <w:r>
        <w:rPr>
          <w:noProof/>
          <w:szCs w:val="24"/>
          <w:lang w:val="en-GB"/>
        </w:rPr>
        <w:drawing>
          <wp:inline distT="0" distB="0" distL="0" distR="0">
            <wp:extent cx="7526395" cy="2197100"/>
            <wp:effectExtent l="0" t="0" r="0" b="0"/>
            <wp:docPr id="61"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srcRect/>
                    <a:stretch>
                      <a:fillRect/>
                    </a:stretch>
                  </pic:blipFill>
                  <pic:spPr bwMode="auto">
                    <a:xfrm>
                      <a:off x="0" y="0"/>
                      <a:ext cx="7526395" cy="2197100"/>
                    </a:xfrm>
                    <a:prstGeom prst="rect">
                      <a:avLst/>
                    </a:prstGeom>
                    <a:noFill/>
                    <a:ln w="9525">
                      <a:noFill/>
                      <a:miter lim="800000"/>
                      <a:headEnd/>
                      <a:tailEnd/>
                    </a:ln>
                  </pic:spPr>
                </pic:pic>
              </a:graphicData>
            </a:graphic>
          </wp:inline>
        </w:drawing>
      </w:r>
    </w:p>
    <w:p>
      <w:pPr>
        <w:jc w:val="center"/>
        <w:rPr>
          <w:rFonts w:ascii="Times New Roman" w:hAnsi="Times New Roman" w:cs="Times New Roman"/>
          <w:noProof/>
          <w:sz w:val="24"/>
          <w:szCs w:val="24"/>
        </w:rPr>
      </w:pPr>
    </w:p>
    <w:p>
      <w:pPr>
        <w:contextualSpacing/>
        <w:jc w:val="both"/>
        <w:rPr>
          <w:rFonts w:ascii="Times New Roman" w:hAnsi="Times New Roman" w:cs="Times New Roman"/>
          <w:noProof/>
          <w:sz w:val="24"/>
          <w:szCs w:val="24"/>
        </w:rPr>
      </w:pPr>
      <w:r>
        <w:rPr>
          <w:rFonts w:ascii="Times New Roman" w:hAnsi="Times New Roman"/>
          <w:noProof/>
          <w:sz w:val="24"/>
          <w:szCs w:val="24"/>
        </w:rPr>
        <w:t xml:space="preserve">Od pierwszego roku działania systemu ECRIS </w:t>
      </w:r>
      <w:r>
        <w:rPr>
          <w:rFonts w:ascii="Times New Roman" w:hAnsi="Times New Roman"/>
          <w:b/>
          <w:noProof/>
          <w:sz w:val="24"/>
          <w:szCs w:val="24"/>
        </w:rPr>
        <w:t xml:space="preserve">średnio 26 % odpowiedzi zawierało informacje na temat wcześniejszych wyroków skazujących. </w:t>
      </w:r>
      <w:r>
        <w:rPr>
          <w:rFonts w:ascii="Times New Roman" w:hAnsi="Times New Roman"/>
          <w:noProof/>
          <w:sz w:val="24"/>
          <w:szCs w:val="24"/>
        </w:rPr>
        <w:t xml:space="preserve">Oznacza to, że </w:t>
      </w:r>
      <w:r>
        <w:rPr>
          <w:rFonts w:ascii="Times New Roman" w:hAnsi="Times New Roman"/>
          <w:b/>
          <w:bCs/>
          <w:noProof/>
          <w:sz w:val="24"/>
          <w:szCs w:val="24"/>
        </w:rPr>
        <w:t>w</w:t>
      </w:r>
      <w:r>
        <w:rPr>
          <w:rFonts w:ascii="Times New Roman" w:hAnsi="Times New Roman"/>
          <w:noProof/>
          <w:sz w:val="24"/>
          <w:szCs w:val="24"/>
        </w:rPr>
        <w:t> </w:t>
      </w:r>
      <w:r>
        <w:rPr>
          <w:rFonts w:ascii="Times New Roman" w:hAnsi="Times New Roman"/>
          <w:b/>
          <w:bCs/>
          <w:noProof/>
          <w:sz w:val="24"/>
          <w:szCs w:val="24"/>
        </w:rPr>
        <w:t>jednym na cztery przypadki dana osoba była już skazana</w:t>
      </w:r>
      <w:r>
        <w:rPr>
          <w:rFonts w:ascii="Times New Roman" w:hAnsi="Times New Roman"/>
          <w:noProof/>
          <w:sz w:val="24"/>
          <w:szCs w:val="24"/>
        </w:rPr>
        <w:t xml:space="preserve"> jeden lub więcej razy, co dowodzi wartości systemu ECRIS jako narzędzia uzyskiwania informacji z rejestrów karnych. </w:t>
      </w:r>
    </w:p>
    <w:p>
      <w:pPr>
        <w:contextualSpacing/>
        <w:jc w:val="both"/>
        <w:rPr>
          <w:rFonts w:ascii="Times New Roman" w:hAnsi="Times New Roman" w:cs="Times New Roman"/>
          <w:noProof/>
          <w:sz w:val="24"/>
          <w:szCs w:val="24"/>
        </w:rPr>
      </w:pPr>
    </w:p>
    <w:p>
      <w:pPr>
        <w:contextualSpacing/>
        <w:jc w:val="both"/>
        <w:rPr>
          <w:rFonts w:ascii="Times New Roman" w:hAnsi="Times New Roman" w:cs="Times New Roman"/>
          <w:noProof/>
          <w:sz w:val="24"/>
          <w:szCs w:val="24"/>
        </w:rPr>
      </w:pPr>
      <w:r>
        <w:rPr>
          <w:rFonts w:ascii="Times New Roman" w:hAnsi="Times New Roman"/>
          <w:noProof/>
          <w:sz w:val="24"/>
          <w:szCs w:val="24"/>
        </w:rPr>
        <w:t xml:space="preserve">Do 2018 r. odsetek ten utrzymywał się przez wiele lat na stabilnym poziomie około 30 %, po czym nagle </w:t>
      </w:r>
      <w:r>
        <w:rPr>
          <w:rFonts w:ascii="Times New Roman" w:hAnsi="Times New Roman"/>
          <w:b/>
          <w:bCs/>
          <w:noProof/>
          <w:sz w:val="24"/>
          <w:szCs w:val="24"/>
        </w:rPr>
        <w:t>w</w:t>
      </w:r>
      <w:r>
        <w:rPr>
          <w:rFonts w:ascii="Times New Roman" w:hAnsi="Times New Roman"/>
          <w:noProof/>
          <w:sz w:val="24"/>
          <w:szCs w:val="24"/>
        </w:rPr>
        <w:t> </w:t>
      </w:r>
      <w:r>
        <w:rPr>
          <w:rFonts w:ascii="Times New Roman" w:hAnsi="Times New Roman"/>
          <w:b/>
          <w:bCs/>
          <w:noProof/>
          <w:sz w:val="24"/>
          <w:szCs w:val="24"/>
        </w:rPr>
        <w:t>2019 r. spadł do 19 %</w:t>
      </w:r>
      <w:r>
        <w:rPr>
          <w:rFonts w:ascii="Times New Roman" w:hAnsi="Times New Roman"/>
          <w:noProof/>
          <w:sz w:val="24"/>
          <w:szCs w:val="24"/>
        </w:rPr>
        <w:t xml:space="preserve"> równolegle z gwałtownym wzrostem liczby wniosków składanych w innych celach niż postępowania karne. Jest to pozytywny sygnał, że większość osób, których dotyczą wnioski o udzielenie informacji związane między innymi z rekrutacją, licencjami, celami administracyjnymi, nie miała wcześniej żadnych wyroków skazujących.</w:t>
      </w:r>
    </w:p>
    <w:p>
      <w:pPr>
        <w:contextualSpacing/>
        <w:jc w:val="both"/>
        <w:rPr>
          <w:rFonts w:ascii="Times New Roman" w:hAnsi="Times New Roman" w:cs="Times New Roman"/>
          <w:noProof/>
          <w:sz w:val="24"/>
          <w:szCs w:val="24"/>
        </w:rPr>
      </w:pPr>
    </w:p>
    <w:p>
      <w:pPr>
        <w:contextualSpacing/>
        <w:jc w:val="both"/>
        <w:rPr>
          <w:rFonts w:ascii="Times New Roman" w:hAnsi="Times New Roman" w:cs="Times New Roman"/>
          <w:noProof/>
          <w:sz w:val="24"/>
          <w:szCs w:val="24"/>
        </w:rPr>
      </w:pPr>
      <w:r>
        <w:rPr>
          <w:rFonts w:ascii="Times New Roman" w:hAnsi="Times New Roman"/>
          <w:noProof/>
          <w:sz w:val="24"/>
          <w:szCs w:val="24"/>
        </w:rPr>
        <w:t xml:space="preserve">W </w:t>
      </w:r>
      <w:r>
        <w:rPr>
          <w:rFonts w:ascii="Times New Roman" w:hAnsi="Times New Roman"/>
          <w:b/>
          <w:noProof/>
          <w:sz w:val="24"/>
          <w:szCs w:val="24"/>
        </w:rPr>
        <w:t xml:space="preserve">2019 r. </w:t>
      </w:r>
      <w:r>
        <w:rPr>
          <w:rFonts w:ascii="Times New Roman" w:hAnsi="Times New Roman"/>
          <w:noProof/>
          <w:sz w:val="24"/>
          <w:szCs w:val="24"/>
        </w:rPr>
        <w:t xml:space="preserve">stanowiło to ponad </w:t>
      </w:r>
      <w:r>
        <w:rPr>
          <w:rFonts w:ascii="Times New Roman" w:hAnsi="Times New Roman"/>
          <w:b/>
          <w:noProof/>
          <w:sz w:val="24"/>
          <w:szCs w:val="24"/>
        </w:rPr>
        <w:t xml:space="preserve">188 000 odpowiedzi na wszystkie wnioski zawierające informacje na temat wyroków skazujących </w:t>
      </w:r>
      <w:r>
        <w:rPr>
          <w:rFonts w:ascii="Times New Roman" w:hAnsi="Times New Roman"/>
          <w:bCs/>
          <w:noProof/>
          <w:sz w:val="24"/>
          <w:szCs w:val="24"/>
        </w:rPr>
        <w:t>(w porównaniu z 105 000 w 2016 r.).</w:t>
      </w:r>
      <w:r>
        <w:rPr>
          <w:rFonts w:ascii="Times New Roman" w:hAnsi="Times New Roman"/>
          <w:b/>
          <w:noProof/>
          <w:sz w:val="24"/>
          <w:szCs w:val="24"/>
        </w:rPr>
        <w:t xml:space="preserve"> </w:t>
      </w:r>
      <w:r>
        <w:rPr>
          <w:rFonts w:ascii="Times New Roman" w:hAnsi="Times New Roman"/>
          <w:noProof/>
          <w:sz w:val="24"/>
          <w:szCs w:val="24"/>
        </w:rPr>
        <w:t>Odpowiedzi niezawierające żadnych informacji o wyrokach skazujących stanowiły średnio 74 %, a inne odpowiedzi 7 %.</w:t>
      </w:r>
    </w:p>
    <w:p>
      <w:pPr>
        <w:rPr>
          <w:rStyle w:val="Hyperlink"/>
          <w:rFonts w:ascii="Times New Roman" w:hAnsi="Times New Roman" w:cs="Times New Roman"/>
          <w:noProof/>
          <w:color w:val="auto"/>
          <w:sz w:val="24"/>
          <w:szCs w:val="24"/>
          <w:u w:val="none"/>
        </w:rPr>
      </w:pPr>
      <w:bookmarkStart w:id="29" w:name="_Toc479267027"/>
      <w:bookmarkStart w:id="30" w:name="_Toc479267028"/>
      <w:bookmarkStart w:id="31" w:name="_Toc479267029"/>
      <w:bookmarkStart w:id="32" w:name="_Toc479267030"/>
      <w:bookmarkStart w:id="33" w:name="_Toc479267031"/>
      <w:bookmarkStart w:id="34" w:name="_Toc479267032"/>
      <w:bookmarkStart w:id="35" w:name="_Toc479267033"/>
      <w:bookmarkStart w:id="36" w:name="_Toc479267034"/>
      <w:bookmarkStart w:id="37" w:name="_Toc479267035"/>
      <w:bookmarkStart w:id="38" w:name="_Toc479267036"/>
      <w:bookmarkStart w:id="39" w:name="_Toc479267037"/>
      <w:bookmarkStart w:id="40" w:name="_Toc479267038"/>
      <w:bookmarkStart w:id="41" w:name="_Toc479267039"/>
      <w:bookmarkStart w:id="42" w:name="_Toc479267040"/>
      <w:bookmarkStart w:id="43" w:name="_Toc479267041"/>
      <w:bookmarkStart w:id="44" w:name="_Toc479267042"/>
      <w:bookmarkStart w:id="45" w:name="_Toc479267043"/>
      <w:bookmarkStart w:id="46" w:name="_Toc479267044"/>
      <w:bookmarkStart w:id="47" w:name="_Toc479267045"/>
      <w:bookmarkStart w:id="48" w:name="_Toc479267046"/>
      <w:bookmarkStart w:id="49" w:name="_Toc479267047"/>
      <w:bookmarkStart w:id="50" w:name="_Toc479267048"/>
      <w:bookmarkStart w:id="51" w:name="_Toc479267049"/>
      <w:bookmarkStart w:id="52" w:name="_Toc479267050"/>
      <w:bookmarkStart w:id="53" w:name="_Toc479267051"/>
      <w:bookmarkStart w:id="54" w:name="_Toc479267052"/>
      <w:bookmarkStart w:id="55" w:name="_Toc479267053"/>
      <w:bookmarkStart w:id="56" w:name="_Toc479267054"/>
      <w:bookmarkStart w:id="57" w:name="_Toc479267055"/>
      <w:bookmarkStart w:id="58" w:name="_Toc479267056"/>
      <w:bookmarkStart w:id="59" w:name="_Toc479267057"/>
      <w:bookmarkStart w:id="60" w:name="_Toc479267058"/>
      <w:bookmarkStart w:id="61" w:name="_Toc479267059"/>
      <w:bookmarkStart w:id="62" w:name="_Toc479267060"/>
      <w:bookmarkStart w:id="63" w:name="_Toc479267061"/>
      <w:bookmarkStart w:id="64" w:name="_Toc479267062"/>
      <w:bookmarkStart w:id="65" w:name="_Toc479267063"/>
      <w:bookmarkStart w:id="66" w:name="_Toc479267064"/>
      <w:bookmarkStart w:id="67" w:name="_Toc479267065"/>
      <w:bookmarkStart w:id="68" w:name="_Toc479267066"/>
      <w:bookmarkStart w:id="69" w:name="_Toc479267067"/>
      <w:bookmarkStart w:id="70" w:name="_Toc479267068"/>
      <w:bookmarkStart w:id="71" w:name="_Toc479267069"/>
      <w:bookmarkStart w:id="72" w:name="_Toc479267070"/>
      <w:bookmarkStart w:id="73" w:name="_Toc479267071"/>
      <w:bookmarkStart w:id="74" w:name="_Toc479267072"/>
      <w:bookmarkStart w:id="75" w:name="_Toc479267073"/>
      <w:bookmarkStart w:id="76" w:name="_Toc479267074"/>
      <w:bookmarkStart w:id="77" w:name="_Toc479267075"/>
      <w:bookmarkStart w:id="78" w:name="_Toc479267076"/>
      <w:bookmarkStart w:id="79" w:name="_Toc479267077"/>
      <w:bookmarkStart w:id="80" w:name="_Toc479267078"/>
      <w:bookmarkStart w:id="81" w:name="_Toc479267079"/>
      <w:bookmarkStart w:id="82" w:name="_Toc479267080"/>
      <w:bookmarkStart w:id="83" w:name="_Toc479267081"/>
      <w:bookmarkStart w:id="84" w:name="_Toc479267082"/>
      <w:bookmarkStart w:id="85" w:name="_Toc479267083"/>
      <w:bookmarkStart w:id="86" w:name="_Toc479267084"/>
      <w:bookmarkStart w:id="87" w:name="_Toc479267085"/>
      <w:bookmarkStart w:id="88" w:name="_Toc479267086"/>
      <w:bookmarkStart w:id="89" w:name="_Toc479267087"/>
      <w:bookmarkStart w:id="90" w:name="_Toc479267088"/>
      <w:bookmarkStart w:id="91" w:name="_Toc479267089"/>
      <w:bookmarkStart w:id="92" w:name="_Toc479267090"/>
      <w:bookmarkStart w:id="93" w:name="_Toc479267091"/>
      <w:bookmarkStart w:id="94" w:name="_Toc479267092"/>
      <w:bookmarkStart w:id="95" w:name="_Toc479267093"/>
      <w:bookmarkStart w:id="96" w:name="_Toc479267094"/>
      <w:bookmarkStart w:id="97" w:name="_Toc479267095"/>
      <w:bookmarkStart w:id="98" w:name="_Toc479267096"/>
      <w:bookmarkStart w:id="99" w:name="_Toc479267097"/>
      <w:bookmarkStart w:id="100" w:name="_Toc479267098"/>
      <w:bookmarkStart w:id="101" w:name="_Toc479267099"/>
      <w:bookmarkStart w:id="102" w:name="_Toc479267100"/>
      <w:bookmarkStart w:id="103" w:name="_Toc479267101"/>
      <w:bookmarkStart w:id="104" w:name="_Toc479267102"/>
      <w:bookmarkStart w:id="105" w:name="_Toc479267103"/>
      <w:bookmarkStart w:id="106" w:name="_Toc479267104"/>
      <w:bookmarkStart w:id="107" w:name="_Toc479267105"/>
      <w:bookmarkStart w:id="108" w:name="_Toc479267106"/>
      <w:bookmarkStart w:id="109" w:name="_Toc479267107"/>
      <w:bookmarkStart w:id="110" w:name="_Toc479267108"/>
      <w:bookmarkStart w:id="111" w:name="_Toc479267109"/>
      <w:bookmarkStart w:id="112" w:name="_Toc479267110"/>
      <w:bookmarkStart w:id="113" w:name="_Toc479267111"/>
      <w:bookmarkStart w:id="114" w:name="_Toc479267112"/>
      <w:bookmarkStart w:id="115" w:name="_Toc479267113"/>
      <w:bookmarkStart w:id="116" w:name="_Toc479267114"/>
      <w:bookmarkStart w:id="117" w:name="_Toc479267115"/>
      <w:bookmarkStart w:id="118" w:name="_Toc479267116"/>
      <w:bookmarkStart w:id="119" w:name="_Toc479267117"/>
      <w:bookmarkStart w:id="120" w:name="_Toc479267118"/>
      <w:bookmarkStart w:id="121" w:name="_Toc479267119"/>
      <w:bookmarkStart w:id="122" w:name="_Toc479267120"/>
      <w:bookmarkStart w:id="123" w:name="_Toc479267121"/>
      <w:bookmarkStart w:id="124" w:name="_Toc479267122"/>
      <w:bookmarkStart w:id="125" w:name="_Toc479267123"/>
      <w:bookmarkStart w:id="126" w:name="_Toc479267124"/>
      <w:bookmarkStart w:id="127" w:name="_Toc479267125"/>
      <w:bookmarkStart w:id="128" w:name="_Toc479267126"/>
      <w:bookmarkStart w:id="129" w:name="_Toc479267127"/>
      <w:bookmarkStart w:id="130" w:name="_Toc479267128"/>
      <w:bookmarkStart w:id="131" w:name="_Toc479267129"/>
      <w:bookmarkStart w:id="132" w:name="_Toc479267130"/>
      <w:bookmarkStart w:id="133" w:name="_Toc479267131"/>
      <w:bookmarkStart w:id="134" w:name="_Toc479267132"/>
      <w:bookmarkStart w:id="135" w:name="_Toc479267133"/>
      <w:bookmarkStart w:id="136" w:name="_Toc479267134"/>
      <w:bookmarkStart w:id="137" w:name="_Toc479267135"/>
      <w:bookmarkStart w:id="138" w:name="_Toc479267136"/>
      <w:bookmarkStart w:id="139" w:name="_Toc479267137"/>
      <w:bookmarkStart w:id="140" w:name="_Toc479267138"/>
      <w:bookmarkStart w:id="141" w:name="_Toc479267139"/>
      <w:bookmarkStart w:id="142" w:name="_Toc479267140"/>
      <w:bookmarkStart w:id="143" w:name="_Toc479267141"/>
      <w:bookmarkStart w:id="144" w:name="_Toc479267142"/>
      <w:bookmarkStart w:id="145" w:name="_Toc479267143"/>
      <w:bookmarkStart w:id="146" w:name="_Toc479267144"/>
      <w:bookmarkStart w:id="147" w:name="_Toc479267145"/>
      <w:bookmarkStart w:id="148" w:name="_Toc479267146"/>
      <w:bookmarkStart w:id="149" w:name="_Toc479267147"/>
      <w:bookmarkStart w:id="150" w:name="_Toc479267148"/>
      <w:bookmarkStart w:id="151" w:name="_Toc479267149"/>
      <w:bookmarkStart w:id="152" w:name="_Toc479267150"/>
      <w:bookmarkStart w:id="153" w:name="_Toc479267151"/>
      <w:bookmarkStart w:id="154" w:name="_Toc479267152"/>
      <w:bookmarkStart w:id="155" w:name="_Toc479267153"/>
      <w:bookmarkStart w:id="156" w:name="_Toc479267154"/>
      <w:bookmarkStart w:id="157" w:name="_Toc479267155"/>
      <w:bookmarkStart w:id="158" w:name="_Toc479267156"/>
      <w:bookmarkStart w:id="159" w:name="_Toc479267157"/>
      <w:bookmarkStart w:id="160" w:name="_Toc479267158"/>
      <w:bookmarkStart w:id="161" w:name="_Toc479267159"/>
      <w:bookmarkStart w:id="162" w:name="_Toc479267160"/>
      <w:bookmarkStart w:id="163" w:name="_Toc479267161"/>
      <w:bookmarkStart w:id="164" w:name="_Toc479267162"/>
      <w:bookmarkStart w:id="165" w:name="_Toc479267163"/>
      <w:bookmarkStart w:id="166" w:name="_Toc479267164"/>
      <w:bookmarkStart w:id="167" w:name="_Toc479267165"/>
      <w:bookmarkStart w:id="168" w:name="_Toc479267166"/>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pPr>
        <w:jc w:val="both"/>
        <w:rPr>
          <w:rFonts w:ascii="Times New Roman" w:hAnsi="Times New Roman" w:cs="Times New Roman"/>
          <w:b/>
          <w:smallCaps/>
          <w:noProof/>
          <w:kern w:val="28"/>
          <w:sz w:val="24"/>
          <w:szCs w:val="24"/>
        </w:rPr>
      </w:pPr>
      <w:r>
        <w:rPr>
          <w:rFonts w:ascii="Times New Roman" w:hAnsi="Times New Roman"/>
          <w:b/>
          <w:noProof/>
          <w:sz w:val="24"/>
          <w:szCs w:val="24"/>
        </w:rPr>
        <w:t xml:space="preserve">3. Główne ustalenia </w:t>
      </w:r>
    </w:p>
    <w:p>
      <w:pPr>
        <w:numPr>
          <w:ilvl w:val="0"/>
          <w:numId w:val="27"/>
        </w:numPr>
        <w:ind w:left="714" w:hanging="357"/>
        <w:jc w:val="both"/>
        <w:rPr>
          <w:rFonts w:ascii="Times New Roman" w:hAnsi="Times New Roman" w:cs="Times New Roman"/>
          <w:noProof/>
          <w:sz w:val="24"/>
          <w:szCs w:val="24"/>
        </w:rPr>
      </w:pPr>
      <w:r>
        <w:rPr>
          <w:rFonts w:ascii="Times New Roman" w:hAnsi="Times New Roman"/>
          <w:b/>
          <w:noProof/>
          <w:sz w:val="24"/>
          <w:szCs w:val="24"/>
        </w:rPr>
        <w:t>W 2019 r. wszystkich 28 państw członkowskich aktywnie korzystało z ECRIS, ale nadal brakowało 9,8 % możliwych wzajemnych połączeń</w:t>
      </w:r>
    </w:p>
    <w:p>
      <w:pPr>
        <w:jc w:val="both"/>
        <w:rPr>
          <w:rFonts w:ascii="Times New Roman" w:hAnsi="Times New Roman" w:cs="Times New Roman"/>
          <w:noProof/>
          <w:sz w:val="24"/>
          <w:szCs w:val="24"/>
        </w:rPr>
      </w:pPr>
      <w:r>
        <w:rPr>
          <w:rFonts w:ascii="Times New Roman" w:hAnsi="Times New Roman"/>
          <w:noProof/>
          <w:sz w:val="24"/>
          <w:szCs w:val="24"/>
        </w:rPr>
        <w:t xml:space="preserve">Po ośmiu latach działania ECRIS </w:t>
      </w:r>
      <w:r>
        <w:rPr>
          <w:rFonts w:ascii="Times New Roman" w:hAnsi="Times New Roman"/>
          <w:b/>
          <w:noProof/>
          <w:sz w:val="24"/>
          <w:szCs w:val="24"/>
        </w:rPr>
        <w:t xml:space="preserve">wszystkie 28 państw członkowskich </w:t>
      </w:r>
      <w:r>
        <w:rPr>
          <w:rFonts w:ascii="Times New Roman" w:hAnsi="Times New Roman"/>
          <w:noProof/>
          <w:sz w:val="24"/>
          <w:szCs w:val="24"/>
        </w:rPr>
        <w:t xml:space="preserve">było </w:t>
      </w:r>
      <w:r>
        <w:rPr>
          <w:rFonts w:ascii="Times New Roman" w:hAnsi="Times New Roman"/>
          <w:b/>
          <w:noProof/>
          <w:sz w:val="24"/>
          <w:szCs w:val="24"/>
        </w:rPr>
        <w:t>do niego podłączonych</w:t>
      </w:r>
      <w:r>
        <w:rPr>
          <w:rFonts w:ascii="Times New Roman" w:hAnsi="Times New Roman"/>
          <w:noProof/>
          <w:sz w:val="24"/>
          <w:szCs w:val="24"/>
        </w:rPr>
        <w:t xml:space="preserve">. </w:t>
      </w:r>
      <w:r>
        <w:rPr>
          <w:rFonts w:ascii="Times New Roman" w:hAnsi="Times New Roman"/>
          <w:bCs/>
          <w:noProof/>
          <w:sz w:val="24"/>
          <w:szCs w:val="24"/>
        </w:rPr>
        <w:t>Tylko jedno z nich (ES) wymienia jednak informacje z pozostałymi 27 państwami członkowskimi.</w:t>
      </w:r>
      <w:r>
        <w:rPr>
          <w:rFonts w:ascii="Times New Roman" w:hAnsi="Times New Roman"/>
          <w:b/>
          <w:noProof/>
          <w:sz w:val="24"/>
          <w:szCs w:val="24"/>
        </w:rPr>
        <w:t xml:space="preserve"> </w:t>
      </w:r>
      <w:r>
        <w:rPr>
          <w:rFonts w:ascii="Times New Roman" w:hAnsi="Times New Roman"/>
          <w:b/>
          <w:bCs/>
          <w:noProof/>
          <w:sz w:val="24"/>
          <w:szCs w:val="24"/>
        </w:rPr>
        <w:t>Każde z państw członkowskich ma średnio 24 aktywne połączenia</w:t>
      </w:r>
      <w:r>
        <w:rPr>
          <w:rFonts w:ascii="Times New Roman" w:hAnsi="Times New Roman"/>
          <w:noProof/>
          <w:sz w:val="24"/>
          <w:szCs w:val="24"/>
        </w:rPr>
        <w:t xml:space="preserve"> z pozostałymi. Na koniec 2019 r. ustanowionych było</w:t>
      </w:r>
      <w:r>
        <w:rPr>
          <w:rFonts w:ascii="Times New Roman" w:hAnsi="Times New Roman"/>
          <w:b/>
          <w:noProof/>
          <w:sz w:val="24"/>
          <w:szCs w:val="24"/>
        </w:rPr>
        <w:t xml:space="preserve"> 90 % całkowitej liczby możliwych wzajemnych połączeń</w:t>
      </w:r>
      <w:r>
        <w:rPr>
          <w:rFonts w:ascii="Times New Roman" w:hAnsi="Times New Roman"/>
          <w:noProof/>
          <w:sz w:val="24"/>
          <w:szCs w:val="24"/>
        </w:rPr>
        <w:t>.</w:t>
      </w:r>
    </w:p>
    <w:p>
      <w:pPr>
        <w:numPr>
          <w:ilvl w:val="0"/>
          <w:numId w:val="27"/>
        </w:numPr>
        <w:ind w:left="714" w:hanging="357"/>
        <w:jc w:val="both"/>
        <w:rPr>
          <w:rFonts w:ascii="Times New Roman" w:hAnsi="Times New Roman"/>
          <w:b/>
          <w:noProof/>
          <w:sz w:val="24"/>
        </w:rPr>
      </w:pPr>
      <w:r>
        <w:rPr>
          <w:rFonts w:ascii="Times New Roman" w:hAnsi="Times New Roman"/>
          <w:b/>
          <w:noProof/>
          <w:sz w:val="24"/>
          <w:szCs w:val="24"/>
        </w:rPr>
        <w:t>Liczba wymienionych komunikatów osiągnęła w 2019 r. 4,2 mln</w:t>
      </w:r>
    </w:p>
    <w:p>
      <w:pPr>
        <w:jc w:val="both"/>
        <w:rPr>
          <w:rFonts w:ascii="Times New Roman" w:hAnsi="Times New Roman" w:cs="Times New Roman"/>
          <w:noProof/>
          <w:sz w:val="24"/>
          <w:szCs w:val="24"/>
        </w:rPr>
      </w:pPr>
      <w:r>
        <w:rPr>
          <w:rFonts w:ascii="Times New Roman" w:hAnsi="Times New Roman"/>
          <w:noProof/>
          <w:sz w:val="24"/>
          <w:szCs w:val="24"/>
        </w:rPr>
        <w:t xml:space="preserve">Liczba komunikatów wymienionych przez wszystkie wzajemnie połączone państwa członkowskie </w:t>
      </w:r>
      <w:r>
        <w:rPr>
          <w:rFonts w:ascii="Times New Roman" w:hAnsi="Times New Roman"/>
          <w:b/>
          <w:bCs/>
          <w:noProof/>
          <w:sz w:val="24"/>
          <w:szCs w:val="24"/>
        </w:rPr>
        <w:t>wzrosła w 2019 r. dwukrotnie</w:t>
      </w:r>
      <w:r>
        <w:rPr>
          <w:rFonts w:ascii="Times New Roman" w:hAnsi="Times New Roman"/>
          <w:noProof/>
          <w:sz w:val="24"/>
          <w:szCs w:val="24"/>
        </w:rPr>
        <w:t xml:space="preserve"> w porównaniu z 2 mln w 2016 r. </w:t>
      </w:r>
      <w:r>
        <w:rPr>
          <w:rFonts w:ascii="Times New Roman" w:hAnsi="Times New Roman"/>
          <w:b/>
          <w:bCs/>
          <w:noProof/>
          <w:sz w:val="24"/>
          <w:szCs w:val="24"/>
        </w:rPr>
        <w:t>i</w:t>
      </w:r>
      <w:r>
        <w:rPr>
          <w:rFonts w:ascii="Times New Roman" w:hAnsi="Times New Roman"/>
          <w:noProof/>
          <w:sz w:val="24"/>
          <w:szCs w:val="24"/>
        </w:rPr>
        <w:t> </w:t>
      </w:r>
      <w:r>
        <w:rPr>
          <w:rFonts w:ascii="Times New Roman" w:hAnsi="Times New Roman"/>
          <w:b/>
          <w:bCs/>
          <w:noProof/>
          <w:sz w:val="24"/>
          <w:szCs w:val="24"/>
        </w:rPr>
        <w:t>osiągnęła</w:t>
      </w:r>
      <w:r>
        <w:rPr>
          <w:rFonts w:ascii="Times New Roman" w:hAnsi="Times New Roman"/>
          <w:noProof/>
          <w:sz w:val="24"/>
          <w:szCs w:val="24"/>
        </w:rPr>
        <w:t xml:space="preserve"> </w:t>
      </w:r>
      <w:r>
        <w:rPr>
          <w:rFonts w:ascii="Times New Roman" w:hAnsi="Times New Roman"/>
          <w:b/>
          <w:bCs/>
          <w:noProof/>
          <w:sz w:val="24"/>
          <w:szCs w:val="24"/>
        </w:rPr>
        <w:t xml:space="preserve">4,2 mln, </w:t>
      </w:r>
      <w:r>
        <w:rPr>
          <w:rFonts w:ascii="Times New Roman" w:hAnsi="Times New Roman"/>
          <w:noProof/>
          <w:sz w:val="24"/>
          <w:szCs w:val="24"/>
        </w:rPr>
        <w:t>przy czym</w:t>
      </w:r>
      <w:r>
        <w:rPr>
          <w:rFonts w:ascii="Times New Roman" w:hAnsi="Times New Roman"/>
          <w:b/>
          <w:bCs/>
          <w:noProof/>
          <w:sz w:val="24"/>
          <w:szCs w:val="24"/>
        </w:rPr>
        <w:t xml:space="preserve"> liczba komunikatów wynosiła średnio 348 000 miesięcznie</w:t>
      </w:r>
      <w:r>
        <w:rPr>
          <w:rFonts w:ascii="Times New Roman" w:hAnsi="Times New Roman"/>
          <w:noProof/>
          <w:sz w:val="24"/>
          <w:szCs w:val="24"/>
        </w:rPr>
        <w:t xml:space="preserve">. W ostatnich trzech latach nastąpiła radykalna </w:t>
      </w:r>
      <w:r>
        <w:rPr>
          <w:rFonts w:ascii="Times New Roman" w:hAnsi="Times New Roman"/>
          <w:b/>
          <w:bCs/>
          <w:noProof/>
          <w:sz w:val="24"/>
          <w:szCs w:val="24"/>
        </w:rPr>
        <w:t>zmiana proporcji</w:t>
      </w:r>
      <w:r>
        <w:rPr>
          <w:rFonts w:ascii="Times New Roman" w:hAnsi="Times New Roman"/>
          <w:noProof/>
          <w:sz w:val="24"/>
          <w:szCs w:val="24"/>
        </w:rPr>
        <w:t xml:space="preserve"> między liczbą powiadomień, wniosków i odpowiedzi na wnioski – </w:t>
      </w:r>
      <w:r>
        <w:rPr>
          <w:rFonts w:ascii="Times New Roman" w:hAnsi="Times New Roman"/>
          <w:b/>
          <w:bCs/>
          <w:noProof/>
          <w:sz w:val="24"/>
          <w:szCs w:val="24"/>
        </w:rPr>
        <w:t xml:space="preserve">liczba wniosków o udzielenie informacji </w:t>
      </w:r>
      <w:r>
        <w:rPr>
          <w:rFonts w:ascii="Times New Roman" w:hAnsi="Times New Roman"/>
          <w:bCs/>
          <w:noProof/>
          <w:sz w:val="24"/>
          <w:szCs w:val="24"/>
        </w:rPr>
        <w:t>stała się</w:t>
      </w:r>
      <w:r>
        <w:rPr>
          <w:rFonts w:ascii="Times New Roman" w:hAnsi="Times New Roman"/>
          <w:b/>
          <w:bCs/>
          <w:noProof/>
          <w:sz w:val="24"/>
          <w:szCs w:val="24"/>
        </w:rPr>
        <w:t xml:space="preserve"> ponad trzykrotnie wyższa niż liczba powiadomień</w:t>
      </w:r>
      <w:r>
        <w:rPr>
          <w:rFonts w:ascii="Times New Roman" w:hAnsi="Times New Roman"/>
          <w:bCs/>
          <w:noProof/>
          <w:sz w:val="24"/>
          <w:szCs w:val="24"/>
        </w:rPr>
        <w:t>.</w:t>
      </w:r>
    </w:p>
    <w:p>
      <w:pPr>
        <w:numPr>
          <w:ilvl w:val="0"/>
          <w:numId w:val="27"/>
        </w:numPr>
        <w:ind w:left="714" w:hanging="357"/>
        <w:jc w:val="both"/>
        <w:rPr>
          <w:rFonts w:ascii="Times New Roman" w:hAnsi="Times New Roman"/>
          <w:b/>
          <w:noProof/>
          <w:sz w:val="24"/>
        </w:rPr>
      </w:pPr>
      <w:r>
        <w:rPr>
          <w:rFonts w:ascii="Times New Roman" w:hAnsi="Times New Roman"/>
          <w:b/>
          <w:noProof/>
          <w:sz w:val="24"/>
          <w:szCs w:val="24"/>
        </w:rPr>
        <w:t xml:space="preserve">Spadek liczby powiadomień dotyczących nowych wyroków skazujących – o wielu wyrokach skazujących nie powiadomiono </w:t>
      </w:r>
    </w:p>
    <w:p>
      <w:pPr>
        <w:jc w:val="both"/>
        <w:rPr>
          <w:rFonts w:ascii="Times New Roman" w:hAnsi="Times New Roman" w:cs="Times New Roman"/>
          <w:noProof/>
          <w:sz w:val="24"/>
          <w:szCs w:val="24"/>
        </w:rPr>
      </w:pPr>
      <w:r>
        <w:rPr>
          <w:rFonts w:ascii="Times New Roman" w:hAnsi="Times New Roman"/>
          <w:noProof/>
          <w:sz w:val="24"/>
          <w:szCs w:val="24"/>
        </w:rPr>
        <w:t xml:space="preserve">W 2017 r. </w:t>
      </w:r>
      <w:r>
        <w:rPr>
          <w:rFonts w:ascii="Times New Roman" w:hAnsi="Times New Roman"/>
          <w:b/>
          <w:noProof/>
          <w:sz w:val="24"/>
          <w:szCs w:val="24"/>
        </w:rPr>
        <w:t>liczba powiadomień o nowych wyrokach skazujących spadła</w:t>
      </w:r>
      <w:r>
        <w:rPr>
          <w:rFonts w:ascii="Times New Roman" w:hAnsi="Times New Roman"/>
          <w:noProof/>
          <w:sz w:val="24"/>
          <w:szCs w:val="24"/>
        </w:rPr>
        <w:t xml:space="preserve"> i utrzymywała się na poziomie około </w:t>
      </w:r>
      <w:r>
        <w:rPr>
          <w:rFonts w:ascii="Times New Roman" w:hAnsi="Times New Roman"/>
          <w:b/>
          <w:noProof/>
          <w:sz w:val="24"/>
          <w:szCs w:val="24"/>
        </w:rPr>
        <w:t>310 000 do 2019 r</w:t>
      </w:r>
      <w:r>
        <w:rPr>
          <w:rFonts w:ascii="Times New Roman" w:hAnsi="Times New Roman"/>
          <w:noProof/>
          <w:sz w:val="24"/>
          <w:szCs w:val="24"/>
        </w:rPr>
        <w:t xml:space="preserve">. Ta tendencja spadkowa jest zaskakująca w świetle wzrastającej liczby wzajemnych połączeń między państwami członkowskimi. </w:t>
      </w:r>
    </w:p>
    <w:p>
      <w:pPr>
        <w:jc w:val="both"/>
        <w:rPr>
          <w:rFonts w:ascii="Times New Roman" w:hAnsi="Times New Roman" w:cs="Times New Roman"/>
          <w:noProof/>
          <w:sz w:val="24"/>
          <w:szCs w:val="24"/>
        </w:rPr>
      </w:pPr>
      <w:r>
        <w:rPr>
          <w:rFonts w:ascii="Times New Roman" w:hAnsi="Times New Roman"/>
          <w:b/>
          <w:bCs/>
          <w:noProof/>
          <w:sz w:val="24"/>
          <w:szCs w:val="24"/>
        </w:rPr>
        <w:t xml:space="preserve">Niektóre państwa członkowskie w niektórych latach </w:t>
      </w:r>
      <w:r>
        <w:rPr>
          <w:rFonts w:ascii="Times New Roman" w:hAnsi="Times New Roman"/>
          <w:b/>
          <w:noProof/>
          <w:sz w:val="24"/>
          <w:szCs w:val="24"/>
        </w:rPr>
        <w:t>w</w:t>
      </w:r>
      <w:r>
        <w:rPr>
          <w:rFonts w:ascii="Times New Roman" w:hAnsi="Times New Roman"/>
          <w:b/>
          <w:bCs/>
          <w:noProof/>
          <w:sz w:val="24"/>
          <w:szCs w:val="24"/>
        </w:rPr>
        <w:t> </w:t>
      </w:r>
      <w:r>
        <w:rPr>
          <w:rFonts w:ascii="Times New Roman" w:hAnsi="Times New Roman"/>
          <w:b/>
          <w:noProof/>
          <w:sz w:val="24"/>
          <w:szCs w:val="24"/>
        </w:rPr>
        <w:t>ogóle nie wysyłały powiadomień dotyczących nowych wyroków skazujących</w:t>
      </w:r>
      <w:r>
        <w:rPr>
          <w:rFonts w:ascii="Times New Roman" w:hAnsi="Times New Roman"/>
          <w:noProof/>
          <w:sz w:val="24"/>
          <w:szCs w:val="24"/>
        </w:rPr>
        <w:t xml:space="preserve"> (PT, MT, EE, EL) i </w:t>
      </w:r>
      <w:r>
        <w:rPr>
          <w:rFonts w:ascii="Times New Roman" w:hAnsi="Times New Roman"/>
          <w:b/>
          <w:noProof/>
          <w:sz w:val="24"/>
          <w:szCs w:val="24"/>
        </w:rPr>
        <w:t>wiele z nich</w:t>
      </w:r>
      <w:r>
        <w:rPr>
          <w:rFonts w:ascii="Times New Roman" w:hAnsi="Times New Roman"/>
          <w:noProof/>
          <w:sz w:val="24"/>
          <w:szCs w:val="24"/>
        </w:rPr>
        <w:t xml:space="preserve"> </w:t>
      </w:r>
      <w:r>
        <w:rPr>
          <w:rFonts w:ascii="Times New Roman" w:hAnsi="Times New Roman"/>
          <w:b/>
          <w:noProof/>
          <w:sz w:val="24"/>
          <w:szCs w:val="24"/>
        </w:rPr>
        <w:t xml:space="preserve">wysyłało małą liczbę </w:t>
      </w:r>
      <w:r>
        <w:rPr>
          <w:rFonts w:ascii="Times New Roman" w:hAnsi="Times New Roman"/>
          <w:noProof/>
          <w:sz w:val="24"/>
          <w:szCs w:val="24"/>
        </w:rPr>
        <w:t xml:space="preserve">takich powiadomień w odniesieniu do przebywających na ich terenie obywateli innych państw członkowskich UE oraz liczby wyroków skazujących (BG, EE, EL, IE, LT, LU, MT, RO, SI, SE, PT, UK). Niewysyłanie powiadomień jest sprzeczne z prawodawstwem dotyczącym ECRIS i może mieć poważne konsekwencje. </w:t>
      </w:r>
    </w:p>
    <w:p>
      <w:pPr>
        <w:numPr>
          <w:ilvl w:val="0"/>
          <w:numId w:val="27"/>
        </w:numPr>
        <w:ind w:left="714" w:hanging="357"/>
        <w:jc w:val="both"/>
        <w:rPr>
          <w:rFonts w:ascii="Times New Roman" w:hAnsi="Times New Roman" w:cs="Times New Roman"/>
          <w:b/>
          <w:noProof/>
          <w:sz w:val="24"/>
          <w:szCs w:val="24"/>
        </w:rPr>
      </w:pPr>
      <w:r>
        <w:rPr>
          <w:rFonts w:ascii="Times New Roman" w:hAnsi="Times New Roman"/>
          <w:b/>
          <w:noProof/>
          <w:sz w:val="24"/>
          <w:szCs w:val="24"/>
        </w:rPr>
        <w:t>Znaczny wzrost liczby wniosków o udzielenie informacji, która osiągnęła 1 mln</w:t>
      </w:r>
    </w:p>
    <w:p>
      <w:pPr>
        <w:jc w:val="both"/>
        <w:rPr>
          <w:rFonts w:ascii="Times New Roman" w:hAnsi="Times New Roman" w:cs="Times New Roman"/>
          <w:noProof/>
          <w:sz w:val="24"/>
          <w:szCs w:val="24"/>
        </w:rPr>
      </w:pPr>
      <w:r>
        <w:rPr>
          <w:rFonts w:ascii="Times New Roman" w:hAnsi="Times New Roman"/>
          <w:b/>
          <w:noProof/>
          <w:sz w:val="24"/>
          <w:szCs w:val="24"/>
        </w:rPr>
        <w:t>Liczba wniosków o udzielenie informacji</w:t>
      </w:r>
      <w:r>
        <w:rPr>
          <w:rFonts w:ascii="Times New Roman" w:hAnsi="Times New Roman"/>
          <w:noProof/>
          <w:sz w:val="24"/>
          <w:szCs w:val="24"/>
        </w:rPr>
        <w:t xml:space="preserve"> </w:t>
      </w:r>
      <w:r>
        <w:rPr>
          <w:rFonts w:ascii="Times New Roman" w:hAnsi="Times New Roman"/>
          <w:b/>
          <w:noProof/>
          <w:sz w:val="24"/>
          <w:szCs w:val="24"/>
        </w:rPr>
        <w:t xml:space="preserve">od 2017 r. zwiększyła się trzykrotnie – w samym 2019 r. osiągnęła </w:t>
      </w:r>
      <w:r>
        <w:rPr>
          <w:rFonts w:ascii="Times New Roman" w:hAnsi="Times New Roman"/>
          <w:b/>
          <w:bCs/>
          <w:noProof/>
          <w:sz w:val="24"/>
          <w:szCs w:val="24"/>
        </w:rPr>
        <w:t>1 mln</w:t>
      </w:r>
      <w:r>
        <w:rPr>
          <w:rFonts w:ascii="Times New Roman" w:hAnsi="Times New Roman"/>
          <w:noProof/>
          <w:sz w:val="24"/>
          <w:szCs w:val="24"/>
        </w:rPr>
        <w:t>. Ten</w:t>
      </w:r>
      <w:r>
        <w:rPr>
          <w:rFonts w:ascii="Times New Roman" w:hAnsi="Times New Roman"/>
          <w:b/>
          <w:noProof/>
          <w:sz w:val="24"/>
          <w:szCs w:val="24"/>
        </w:rPr>
        <w:t xml:space="preserve"> </w:t>
      </w:r>
      <w:r>
        <w:rPr>
          <w:rFonts w:ascii="Times New Roman" w:hAnsi="Times New Roman"/>
          <w:bCs/>
          <w:noProof/>
          <w:sz w:val="24"/>
          <w:szCs w:val="24"/>
        </w:rPr>
        <w:t>znaczny wzrost</w:t>
      </w:r>
      <w:r>
        <w:rPr>
          <w:rFonts w:ascii="Times New Roman" w:hAnsi="Times New Roman"/>
          <w:b/>
          <w:noProof/>
          <w:sz w:val="24"/>
          <w:szCs w:val="24"/>
        </w:rPr>
        <w:t xml:space="preserve"> </w:t>
      </w:r>
      <w:r>
        <w:rPr>
          <w:rFonts w:ascii="Times New Roman" w:hAnsi="Times New Roman"/>
          <w:noProof/>
          <w:sz w:val="24"/>
          <w:szCs w:val="24"/>
        </w:rPr>
        <w:t>wynika przede wszystkim ze</w:t>
      </w:r>
      <w:r>
        <w:rPr>
          <w:rFonts w:ascii="Times New Roman" w:hAnsi="Times New Roman"/>
          <w:b/>
          <w:noProof/>
          <w:sz w:val="24"/>
          <w:szCs w:val="24"/>
        </w:rPr>
        <w:t xml:space="preserve"> </w:t>
      </w:r>
      <w:r>
        <w:rPr>
          <w:rFonts w:ascii="Times New Roman" w:hAnsi="Times New Roman"/>
          <w:b/>
          <w:bCs/>
          <w:noProof/>
          <w:sz w:val="24"/>
          <w:szCs w:val="24"/>
        </w:rPr>
        <w:t xml:space="preserve">zmiany wykorzystania systemu ECRIS, </w:t>
      </w:r>
      <w:r>
        <w:rPr>
          <w:rFonts w:ascii="Times New Roman" w:hAnsi="Times New Roman"/>
          <w:noProof/>
          <w:sz w:val="24"/>
          <w:szCs w:val="24"/>
        </w:rPr>
        <w:t xml:space="preserve">który nie jest już wykorzystywany wyłącznie lub nawet głównie w celach postępowań karnych, ale również – </w:t>
      </w:r>
      <w:r>
        <w:rPr>
          <w:rFonts w:ascii="Times New Roman" w:hAnsi="Times New Roman"/>
          <w:b/>
          <w:noProof/>
          <w:sz w:val="24"/>
          <w:szCs w:val="24"/>
        </w:rPr>
        <w:t>regularnie – w celach innych niż postępowania karne (np. kontrola przed zatrudnieniem, wnioski o udzielenie informacji z rejestru karnego dotyczące samych wnioskujących itp.).</w:t>
      </w:r>
      <w:r>
        <w:rPr>
          <w:rFonts w:ascii="Times New Roman" w:hAnsi="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b/>
          <w:noProof/>
          <w:sz w:val="24"/>
          <w:szCs w:val="24"/>
        </w:rPr>
        <w:t>Liczba wysłanych wniosków znacznie różni się jednak między poszczególnymi państwami członkowskimi</w:t>
      </w:r>
      <w:r>
        <w:rPr>
          <w:rFonts w:ascii="Times New Roman" w:hAnsi="Times New Roman"/>
          <w:noProof/>
          <w:sz w:val="24"/>
          <w:szCs w:val="24"/>
        </w:rPr>
        <w:t xml:space="preserve"> – od 745 000 (DE) do 6 wniosków (EL) rocznie. Wzrost całkowitej liczby wniosków jest spowodowany przez wzrost wniosków DE. </w:t>
      </w:r>
    </w:p>
    <w:p>
      <w:pPr>
        <w:numPr>
          <w:ilvl w:val="0"/>
          <w:numId w:val="27"/>
        </w:numPr>
        <w:ind w:left="714" w:hanging="357"/>
        <w:jc w:val="both"/>
        <w:rPr>
          <w:rFonts w:ascii="Times New Roman" w:hAnsi="Times New Roman" w:cs="Times New Roman"/>
          <w:b/>
          <w:noProof/>
          <w:sz w:val="24"/>
          <w:szCs w:val="24"/>
        </w:rPr>
      </w:pPr>
      <w:r>
        <w:rPr>
          <w:rFonts w:ascii="Times New Roman" w:hAnsi="Times New Roman"/>
          <w:b/>
          <w:noProof/>
          <w:sz w:val="24"/>
        </w:rPr>
        <w:t>ECRIS</w:t>
      </w:r>
      <w:r>
        <w:rPr>
          <w:rFonts w:ascii="Times New Roman" w:hAnsi="Times New Roman"/>
          <w:b/>
          <w:noProof/>
          <w:sz w:val="24"/>
          <w:szCs w:val="24"/>
        </w:rPr>
        <w:t xml:space="preserve"> wykorzystywany w celach innych niż postępowania karne równie często jak w celach postępowań karnych</w:t>
      </w:r>
    </w:p>
    <w:p>
      <w:pPr>
        <w:jc w:val="both"/>
        <w:rPr>
          <w:rFonts w:ascii="Times New Roman" w:hAnsi="Times New Roman" w:cs="Times New Roman"/>
          <w:bCs/>
          <w:noProof/>
          <w:sz w:val="24"/>
          <w:szCs w:val="24"/>
        </w:rPr>
      </w:pPr>
      <w:r>
        <w:rPr>
          <w:rFonts w:ascii="Times New Roman" w:hAnsi="Times New Roman"/>
          <w:noProof/>
          <w:sz w:val="24"/>
          <w:szCs w:val="24"/>
        </w:rPr>
        <w:t>Przez wiele lat odsetek wniosków złożonych w celach innych niż postępowanie karne znajdował się średnio na poziomie 20 %. Wraz z nowym podejściem państw członkowskich do korzystania z ECRIS, które odnotowuje się od 2018 r.,</w:t>
      </w:r>
      <w:r>
        <w:rPr>
          <w:rFonts w:ascii="Times New Roman" w:hAnsi="Times New Roman"/>
          <w:b/>
          <w:bCs/>
          <w:noProof/>
          <w:sz w:val="24"/>
          <w:szCs w:val="24"/>
        </w:rPr>
        <w:t xml:space="preserve"> z systemu tego zaczęto korzystać równie często zarówno w celach postępowań karnych, jak i w innych celach (50/50 %).</w:t>
      </w:r>
      <w:r>
        <w:rPr>
          <w:rFonts w:ascii="Times New Roman" w:hAnsi="Times New Roman"/>
          <w:noProof/>
          <w:sz w:val="24"/>
          <w:szCs w:val="24"/>
        </w:rPr>
        <w:t xml:space="preserve"> W 2019 r. liczba </w:t>
      </w:r>
      <w:r>
        <w:rPr>
          <w:rFonts w:ascii="Times New Roman" w:hAnsi="Times New Roman"/>
          <w:b/>
          <w:noProof/>
          <w:sz w:val="24"/>
          <w:szCs w:val="24"/>
        </w:rPr>
        <w:t>wniosków</w:t>
      </w:r>
      <w:r>
        <w:rPr>
          <w:rFonts w:ascii="Times New Roman" w:hAnsi="Times New Roman"/>
          <w:noProof/>
          <w:sz w:val="24"/>
          <w:szCs w:val="24"/>
        </w:rPr>
        <w:t xml:space="preserve"> </w:t>
      </w:r>
      <w:r>
        <w:rPr>
          <w:rFonts w:ascii="Times New Roman" w:hAnsi="Times New Roman"/>
          <w:b/>
          <w:noProof/>
          <w:sz w:val="24"/>
          <w:szCs w:val="24"/>
        </w:rPr>
        <w:t xml:space="preserve">złożonych w innych celach </w:t>
      </w:r>
      <w:r>
        <w:rPr>
          <w:rFonts w:ascii="Times New Roman" w:hAnsi="Times New Roman"/>
          <w:b/>
          <w:bCs/>
          <w:noProof/>
          <w:sz w:val="24"/>
          <w:szCs w:val="24"/>
        </w:rPr>
        <w:t>przekroczyła</w:t>
      </w:r>
      <w:r>
        <w:rPr>
          <w:rFonts w:ascii="Times New Roman" w:hAnsi="Times New Roman"/>
          <w:b/>
          <w:noProof/>
          <w:sz w:val="24"/>
          <w:szCs w:val="24"/>
        </w:rPr>
        <w:t xml:space="preserve"> pół miliona, </w:t>
      </w:r>
      <w:r>
        <w:rPr>
          <w:rFonts w:ascii="Times New Roman" w:hAnsi="Times New Roman"/>
          <w:bCs/>
          <w:noProof/>
          <w:sz w:val="24"/>
          <w:szCs w:val="24"/>
        </w:rPr>
        <w:t xml:space="preserve">co stanowi ponad sześć razy więcej niż w 2016 r. </w:t>
      </w:r>
    </w:p>
    <w:p>
      <w:pPr>
        <w:jc w:val="both"/>
        <w:rPr>
          <w:rFonts w:ascii="Times New Roman" w:hAnsi="Times New Roman" w:cs="Times New Roman"/>
          <w:noProof/>
          <w:sz w:val="24"/>
          <w:szCs w:val="24"/>
        </w:rPr>
      </w:pPr>
      <w:r>
        <w:rPr>
          <w:rFonts w:ascii="Times New Roman" w:hAnsi="Times New Roman"/>
          <w:noProof/>
          <w:sz w:val="24"/>
          <w:szCs w:val="24"/>
        </w:rPr>
        <w:t xml:space="preserve">Ten wzrost liczby wniosków był spowodowany głównie przez </w:t>
      </w:r>
      <w:r>
        <w:rPr>
          <w:rFonts w:ascii="Times New Roman" w:hAnsi="Times New Roman"/>
          <w:b/>
          <w:bCs/>
          <w:noProof/>
          <w:sz w:val="24"/>
          <w:szCs w:val="24"/>
        </w:rPr>
        <w:t>znaczny</w:t>
      </w:r>
      <w:r>
        <w:rPr>
          <w:rFonts w:ascii="Times New Roman" w:hAnsi="Times New Roman"/>
          <w:noProof/>
          <w:sz w:val="24"/>
          <w:szCs w:val="24"/>
        </w:rPr>
        <w:t xml:space="preserve"> </w:t>
      </w:r>
      <w:r>
        <w:rPr>
          <w:rFonts w:ascii="Times New Roman" w:hAnsi="Times New Roman"/>
          <w:b/>
          <w:bCs/>
          <w:noProof/>
          <w:sz w:val="24"/>
          <w:szCs w:val="24"/>
        </w:rPr>
        <w:t>wzrost liczby wniosków złożonych przez osoby fizyczne, aby uzyskać informacje z rejestru karnego dotyczące nich samych (356 000</w:t>
      </w:r>
      <w:r>
        <w:rPr>
          <w:rFonts w:ascii="Times New Roman" w:hAnsi="Times New Roman"/>
          <w:noProof/>
          <w:sz w:val="24"/>
          <w:szCs w:val="24"/>
        </w:rPr>
        <w:t xml:space="preserve"> w 2019 r., co stanowiło </w:t>
      </w:r>
      <w:r>
        <w:rPr>
          <w:rFonts w:ascii="Times New Roman" w:hAnsi="Times New Roman"/>
          <w:b/>
          <w:bCs/>
          <w:noProof/>
          <w:sz w:val="24"/>
          <w:szCs w:val="24"/>
        </w:rPr>
        <w:t>70 % wniosków złożonych w innych celach)</w:t>
      </w:r>
      <w:r>
        <w:rPr>
          <w:rFonts w:ascii="Times New Roman" w:hAnsi="Times New Roman"/>
          <w:noProof/>
          <w:sz w:val="24"/>
          <w:szCs w:val="24"/>
        </w:rPr>
        <w:t xml:space="preserve">, a także </w:t>
      </w:r>
      <w:r>
        <w:rPr>
          <w:rFonts w:ascii="Times New Roman" w:hAnsi="Times New Roman"/>
          <w:b/>
          <w:bCs/>
          <w:noProof/>
          <w:sz w:val="24"/>
          <w:szCs w:val="24"/>
        </w:rPr>
        <w:t xml:space="preserve">wniosków związanych z rekrutacją </w:t>
      </w:r>
      <w:r>
        <w:rPr>
          <w:rFonts w:ascii="Times New Roman" w:hAnsi="Times New Roman"/>
          <w:noProof/>
          <w:sz w:val="24"/>
          <w:szCs w:val="24"/>
        </w:rPr>
        <w:t xml:space="preserve">do wykonywania </w:t>
      </w:r>
      <w:r>
        <w:rPr>
          <w:rFonts w:ascii="Times New Roman" w:hAnsi="Times New Roman"/>
          <w:b/>
          <w:bCs/>
          <w:noProof/>
          <w:sz w:val="24"/>
          <w:szCs w:val="24"/>
        </w:rPr>
        <w:t>działalności wiążących się z kontaktem z dziećmi</w:t>
      </w:r>
      <w:r>
        <w:rPr>
          <w:rFonts w:ascii="Times New Roman" w:hAnsi="Times New Roman"/>
          <w:noProof/>
          <w:sz w:val="24"/>
          <w:szCs w:val="24"/>
        </w:rPr>
        <w:t xml:space="preserve">, w związku z wykonaniem </w:t>
      </w:r>
      <w:r>
        <w:rPr>
          <w:rFonts w:ascii="Times New Roman" w:hAnsi="Times New Roman"/>
          <w:b/>
          <w:bCs/>
          <w:noProof/>
          <w:sz w:val="24"/>
          <w:szCs w:val="24"/>
        </w:rPr>
        <w:t xml:space="preserve">dyrektywy 2011/93/UE (115 000 </w:t>
      </w:r>
      <w:r>
        <w:rPr>
          <w:rFonts w:ascii="Times New Roman" w:hAnsi="Times New Roman"/>
          <w:noProof/>
          <w:sz w:val="24"/>
          <w:szCs w:val="24"/>
        </w:rPr>
        <w:t xml:space="preserve">wniosków – </w:t>
      </w:r>
      <w:r>
        <w:rPr>
          <w:rFonts w:ascii="Times New Roman" w:hAnsi="Times New Roman"/>
          <w:b/>
          <w:bCs/>
          <w:noProof/>
          <w:sz w:val="24"/>
          <w:szCs w:val="24"/>
        </w:rPr>
        <w:t xml:space="preserve">22 % </w:t>
      </w:r>
      <w:r>
        <w:rPr>
          <w:rFonts w:ascii="Times New Roman" w:hAnsi="Times New Roman"/>
          <w:noProof/>
          <w:sz w:val="24"/>
          <w:szCs w:val="24"/>
        </w:rPr>
        <w:t xml:space="preserve">wniosków w innych celach). </w:t>
      </w:r>
    </w:p>
    <w:p>
      <w:pPr>
        <w:numPr>
          <w:ilvl w:val="0"/>
          <w:numId w:val="27"/>
        </w:numPr>
        <w:ind w:left="714" w:hanging="357"/>
        <w:jc w:val="both"/>
        <w:rPr>
          <w:rFonts w:ascii="Times New Roman" w:hAnsi="Times New Roman" w:cs="Times New Roman"/>
          <w:b/>
          <w:noProof/>
          <w:sz w:val="24"/>
          <w:szCs w:val="24"/>
        </w:rPr>
      </w:pPr>
      <w:r>
        <w:rPr>
          <w:rFonts w:ascii="Times New Roman" w:hAnsi="Times New Roman"/>
          <w:b/>
          <w:noProof/>
          <w:sz w:val="24"/>
          <w:szCs w:val="24"/>
        </w:rPr>
        <w:t xml:space="preserve">W co czwartej odpowiedzi ujawniono istnienie wcześniejszych wyroków skazujących </w:t>
      </w:r>
    </w:p>
    <w:p>
      <w:pPr>
        <w:jc w:val="both"/>
        <w:rPr>
          <w:rFonts w:ascii="Times New Roman" w:hAnsi="Times New Roman" w:cs="Times New Roman"/>
          <w:noProof/>
          <w:sz w:val="24"/>
          <w:szCs w:val="24"/>
        </w:rPr>
      </w:pPr>
      <w:r>
        <w:rPr>
          <w:rFonts w:ascii="Times New Roman" w:hAnsi="Times New Roman"/>
          <w:noProof/>
          <w:sz w:val="24"/>
          <w:szCs w:val="24"/>
        </w:rPr>
        <w:t xml:space="preserve">Od pierwszego roku działania systemu ECRIS na średnio </w:t>
      </w:r>
      <w:r>
        <w:rPr>
          <w:rFonts w:ascii="Times New Roman" w:hAnsi="Times New Roman"/>
          <w:b/>
          <w:noProof/>
          <w:sz w:val="24"/>
          <w:szCs w:val="24"/>
        </w:rPr>
        <w:t>26 % wniosków o udzielenie informacji dotyczących wcześniejszych wyroków skazujących danej osoby odpowiedziano poprzez przekazanie informacji na temat wcześniejszych wyroków skazujących</w:t>
      </w:r>
      <w:r>
        <w:rPr>
          <w:rFonts w:ascii="Times New Roman" w:hAnsi="Times New Roman"/>
          <w:noProof/>
          <w:sz w:val="24"/>
          <w:szCs w:val="24"/>
        </w:rPr>
        <w:t xml:space="preserve">. Przez wiele lat odsetek ten utrzymywał się na stabilnym poziomie około 30 %, po czym nagle </w:t>
      </w:r>
      <w:r>
        <w:rPr>
          <w:rFonts w:ascii="Times New Roman" w:hAnsi="Times New Roman"/>
          <w:b/>
          <w:bCs/>
          <w:noProof/>
          <w:sz w:val="24"/>
          <w:szCs w:val="24"/>
        </w:rPr>
        <w:t>w</w:t>
      </w:r>
      <w:r>
        <w:rPr>
          <w:rFonts w:ascii="Times New Roman" w:hAnsi="Times New Roman"/>
          <w:noProof/>
          <w:sz w:val="24"/>
          <w:szCs w:val="24"/>
        </w:rPr>
        <w:t> </w:t>
      </w:r>
      <w:r>
        <w:rPr>
          <w:rFonts w:ascii="Times New Roman" w:hAnsi="Times New Roman"/>
          <w:b/>
          <w:bCs/>
          <w:noProof/>
          <w:sz w:val="24"/>
          <w:szCs w:val="24"/>
        </w:rPr>
        <w:t>2019 r. spadł do 19 %</w:t>
      </w:r>
      <w:r>
        <w:rPr>
          <w:rFonts w:ascii="Times New Roman" w:hAnsi="Times New Roman"/>
          <w:noProof/>
          <w:sz w:val="24"/>
          <w:szCs w:val="24"/>
        </w:rPr>
        <w:t xml:space="preserve"> równolegle z gwałtownym wzrostem liczby wniosków składanych w innych celach niż postępowania karne. Ponownie jednak w </w:t>
      </w:r>
      <w:r>
        <w:rPr>
          <w:rFonts w:ascii="Times New Roman" w:hAnsi="Times New Roman"/>
          <w:b/>
          <w:noProof/>
          <w:sz w:val="24"/>
          <w:szCs w:val="24"/>
        </w:rPr>
        <w:t>2019 r.</w:t>
      </w:r>
      <w:r>
        <w:rPr>
          <w:rFonts w:ascii="Times New Roman" w:hAnsi="Times New Roman"/>
          <w:noProof/>
          <w:sz w:val="24"/>
          <w:szCs w:val="24"/>
        </w:rPr>
        <w:t xml:space="preserve"> ponad </w:t>
      </w:r>
      <w:r>
        <w:rPr>
          <w:rFonts w:ascii="Times New Roman" w:hAnsi="Times New Roman"/>
          <w:b/>
          <w:noProof/>
          <w:sz w:val="24"/>
          <w:szCs w:val="24"/>
        </w:rPr>
        <w:t>188 000 odpowiedzi na wszystkie wnioski zawierało informacje dotyczące wcześniejszych wyroków skazujących</w:t>
      </w:r>
      <w:r>
        <w:rPr>
          <w:rFonts w:ascii="Times New Roman" w:hAnsi="Times New Roman"/>
          <w:noProof/>
          <w:sz w:val="24"/>
          <w:szCs w:val="24"/>
        </w:rPr>
        <w:t>.</w:t>
      </w:r>
    </w:p>
    <w:p>
      <w:pPr>
        <w:numPr>
          <w:ilvl w:val="0"/>
          <w:numId w:val="27"/>
        </w:numPr>
        <w:ind w:left="714" w:hanging="357"/>
        <w:jc w:val="both"/>
        <w:rPr>
          <w:rFonts w:ascii="Times New Roman" w:hAnsi="Times New Roman" w:cs="Times New Roman"/>
          <w:b/>
          <w:noProof/>
          <w:sz w:val="24"/>
          <w:szCs w:val="24"/>
        </w:rPr>
      </w:pPr>
      <w:r>
        <w:rPr>
          <w:rFonts w:ascii="Times New Roman" w:hAnsi="Times New Roman"/>
          <w:b/>
          <w:noProof/>
          <w:sz w:val="24"/>
          <w:szCs w:val="24"/>
        </w:rPr>
        <w:t>Pomimo ogólnego wzrostu liczby aktualizacji, o wielu aktualizacjach nadal się nie powiadamia</w:t>
      </w:r>
    </w:p>
    <w:p>
      <w:pPr>
        <w:jc w:val="both"/>
        <w:rPr>
          <w:rFonts w:ascii="Times New Roman" w:hAnsi="Times New Roman" w:cs="Times New Roman"/>
          <w:noProof/>
          <w:sz w:val="24"/>
          <w:szCs w:val="24"/>
        </w:rPr>
      </w:pPr>
      <w:r>
        <w:rPr>
          <w:rFonts w:ascii="Times New Roman" w:hAnsi="Times New Roman"/>
          <w:noProof/>
          <w:sz w:val="24"/>
          <w:szCs w:val="24"/>
        </w:rPr>
        <w:t xml:space="preserve">Odnotowano </w:t>
      </w:r>
      <w:r>
        <w:rPr>
          <w:rFonts w:ascii="Times New Roman" w:hAnsi="Times New Roman"/>
          <w:b/>
          <w:bCs/>
          <w:noProof/>
          <w:sz w:val="24"/>
          <w:szCs w:val="24"/>
        </w:rPr>
        <w:t>znaczy wzrost liczby powiadomień dotyczących aktualizacji</w:t>
      </w:r>
      <w:r>
        <w:rPr>
          <w:rFonts w:ascii="Times New Roman" w:hAnsi="Times New Roman"/>
          <w:noProof/>
          <w:sz w:val="24"/>
          <w:szCs w:val="24"/>
        </w:rPr>
        <w:t xml:space="preserve"> – z 25 % do </w:t>
      </w:r>
      <w:r>
        <w:rPr>
          <w:rFonts w:ascii="Times New Roman" w:hAnsi="Times New Roman"/>
          <w:b/>
          <w:bCs/>
          <w:noProof/>
          <w:sz w:val="24"/>
          <w:szCs w:val="24"/>
        </w:rPr>
        <w:t>42 % wszystkich powiadomień</w:t>
      </w:r>
      <w:r>
        <w:rPr>
          <w:rFonts w:ascii="Times New Roman" w:hAnsi="Times New Roman"/>
          <w:noProof/>
          <w:sz w:val="24"/>
          <w:szCs w:val="24"/>
        </w:rPr>
        <w:t xml:space="preserve">, co stanowi </w:t>
      </w:r>
      <w:r>
        <w:rPr>
          <w:rFonts w:ascii="Times New Roman" w:hAnsi="Times New Roman"/>
          <w:b/>
          <w:bCs/>
          <w:noProof/>
          <w:sz w:val="24"/>
          <w:szCs w:val="24"/>
        </w:rPr>
        <w:t>230 000</w:t>
      </w:r>
      <w:r>
        <w:rPr>
          <w:rFonts w:ascii="Times New Roman" w:hAnsi="Times New Roman"/>
          <w:noProof/>
          <w:sz w:val="24"/>
          <w:szCs w:val="24"/>
        </w:rPr>
        <w:t xml:space="preserve"> w 2019 r. Dotyczy to jednak tylko niektórych państw członkowskich.</w:t>
      </w:r>
    </w:p>
    <w:p>
      <w:pPr>
        <w:jc w:val="both"/>
        <w:rPr>
          <w:rFonts w:ascii="Times New Roman" w:hAnsi="Times New Roman" w:cs="Times New Roman"/>
          <w:noProof/>
          <w:sz w:val="24"/>
          <w:szCs w:val="24"/>
        </w:rPr>
      </w:pPr>
      <w:r>
        <w:rPr>
          <w:rFonts w:ascii="Times New Roman" w:hAnsi="Times New Roman"/>
          <w:noProof/>
          <w:sz w:val="24"/>
          <w:szCs w:val="24"/>
        </w:rPr>
        <w:t xml:space="preserve">Jednocześnie w niektórych latach </w:t>
      </w:r>
      <w:r>
        <w:rPr>
          <w:rFonts w:ascii="Times New Roman" w:hAnsi="Times New Roman"/>
          <w:b/>
          <w:bCs/>
          <w:noProof/>
          <w:sz w:val="24"/>
          <w:szCs w:val="24"/>
        </w:rPr>
        <w:t>wiele państw członkowskich</w:t>
      </w:r>
      <w:r>
        <w:rPr>
          <w:rFonts w:ascii="Times New Roman" w:hAnsi="Times New Roman"/>
          <w:noProof/>
          <w:sz w:val="24"/>
          <w:szCs w:val="24"/>
        </w:rPr>
        <w:t xml:space="preserve"> </w:t>
      </w:r>
      <w:r>
        <w:rPr>
          <w:rFonts w:ascii="Times New Roman" w:hAnsi="Times New Roman"/>
          <w:b/>
          <w:bCs/>
          <w:noProof/>
          <w:sz w:val="24"/>
          <w:szCs w:val="24"/>
        </w:rPr>
        <w:t>w</w:t>
      </w:r>
      <w:r>
        <w:rPr>
          <w:rFonts w:ascii="Times New Roman" w:hAnsi="Times New Roman"/>
          <w:noProof/>
          <w:sz w:val="24"/>
          <w:szCs w:val="24"/>
        </w:rPr>
        <w:t> </w:t>
      </w:r>
      <w:r>
        <w:rPr>
          <w:rFonts w:ascii="Times New Roman" w:hAnsi="Times New Roman"/>
          <w:b/>
          <w:bCs/>
          <w:noProof/>
          <w:sz w:val="24"/>
          <w:szCs w:val="24"/>
        </w:rPr>
        <w:t>ogóle nie wysłało</w:t>
      </w:r>
      <w:r>
        <w:rPr>
          <w:rFonts w:ascii="Times New Roman" w:hAnsi="Times New Roman"/>
          <w:bCs/>
          <w:noProof/>
          <w:sz w:val="24"/>
          <w:szCs w:val="24"/>
        </w:rPr>
        <w:t xml:space="preserve"> </w:t>
      </w:r>
      <w:r>
        <w:rPr>
          <w:rFonts w:ascii="Times New Roman" w:hAnsi="Times New Roman"/>
          <w:b/>
          <w:bCs/>
          <w:noProof/>
          <w:sz w:val="24"/>
          <w:szCs w:val="24"/>
        </w:rPr>
        <w:t>aktualizacji</w:t>
      </w:r>
      <w:r>
        <w:rPr>
          <w:rFonts w:ascii="Times New Roman" w:hAnsi="Times New Roman"/>
          <w:noProof/>
          <w:sz w:val="24"/>
          <w:szCs w:val="24"/>
        </w:rPr>
        <w:t xml:space="preserve"> dotyczących wysłanych przez nie wcześniej powiadomień (BG, DK, EE, EL, IE, LV, LU, MT, PT, SI) lub </w:t>
      </w:r>
      <w:r>
        <w:rPr>
          <w:rFonts w:ascii="Times New Roman" w:hAnsi="Times New Roman"/>
          <w:b/>
          <w:bCs/>
          <w:noProof/>
          <w:sz w:val="24"/>
          <w:szCs w:val="24"/>
        </w:rPr>
        <w:t>wysłało małą ich liczbę</w:t>
      </w:r>
      <w:r>
        <w:rPr>
          <w:rFonts w:ascii="Times New Roman" w:hAnsi="Times New Roman"/>
          <w:noProof/>
          <w:sz w:val="24"/>
          <w:szCs w:val="24"/>
        </w:rPr>
        <w:t xml:space="preserve"> (IE, RO, CY, SI, PT, MT). </w:t>
      </w:r>
    </w:p>
    <w:p>
      <w:pPr>
        <w:numPr>
          <w:ilvl w:val="0"/>
          <w:numId w:val="27"/>
        </w:numPr>
        <w:ind w:left="714" w:hanging="357"/>
        <w:jc w:val="both"/>
        <w:rPr>
          <w:rFonts w:ascii="Times New Roman" w:hAnsi="Times New Roman" w:cs="Times New Roman"/>
          <w:b/>
          <w:noProof/>
          <w:sz w:val="24"/>
          <w:szCs w:val="24"/>
        </w:rPr>
      </w:pPr>
      <w:r>
        <w:rPr>
          <w:rFonts w:ascii="Times New Roman" w:hAnsi="Times New Roman"/>
          <w:b/>
          <w:noProof/>
          <w:sz w:val="24"/>
        </w:rPr>
        <w:t>System ECRIS nie zawsze jest wykorzystywany do wnioskowania o udzielenie informacji o wcześniejszych wyrokach skazujących</w:t>
      </w:r>
    </w:p>
    <w:p>
      <w:pPr>
        <w:jc w:val="both"/>
        <w:rPr>
          <w:rFonts w:ascii="Times New Roman" w:hAnsi="Times New Roman" w:cs="Times New Roman"/>
          <w:noProof/>
          <w:sz w:val="24"/>
          <w:szCs w:val="24"/>
        </w:rPr>
      </w:pPr>
      <w:r>
        <w:rPr>
          <w:rFonts w:ascii="Times New Roman" w:hAnsi="Times New Roman"/>
          <w:b/>
          <w:bCs/>
          <w:noProof/>
          <w:sz w:val="24"/>
          <w:szCs w:val="24"/>
        </w:rPr>
        <w:t>Pomimo gwałtownego wzrostu liczby wniosków ogółem</w:t>
      </w:r>
      <w:r>
        <w:rPr>
          <w:rFonts w:ascii="Times New Roman" w:hAnsi="Times New Roman"/>
          <w:noProof/>
          <w:sz w:val="24"/>
          <w:szCs w:val="24"/>
        </w:rPr>
        <w:t xml:space="preserve"> dalej utrzymuje się zauważony w pierwszym sprawozdaniu statystycznym problem </w:t>
      </w:r>
      <w:r>
        <w:rPr>
          <w:rFonts w:ascii="Times New Roman" w:hAnsi="Times New Roman"/>
          <w:b/>
          <w:bCs/>
          <w:noProof/>
          <w:sz w:val="24"/>
          <w:szCs w:val="24"/>
        </w:rPr>
        <w:t>niektórych państw członkowskich, które prawie w ogóle nie wysyłają wniosków</w:t>
      </w:r>
      <w:r>
        <w:rPr>
          <w:rFonts w:ascii="Times New Roman" w:hAnsi="Times New Roman"/>
          <w:noProof/>
          <w:sz w:val="24"/>
          <w:szCs w:val="24"/>
        </w:rPr>
        <w:t xml:space="preserve"> (EL, CY, MT) lub </w:t>
      </w:r>
      <w:r>
        <w:rPr>
          <w:rFonts w:ascii="Times New Roman" w:hAnsi="Times New Roman"/>
          <w:b/>
          <w:bCs/>
          <w:noProof/>
          <w:sz w:val="24"/>
          <w:szCs w:val="24"/>
        </w:rPr>
        <w:t>wysyłają małą liczbę wniosków</w:t>
      </w:r>
      <w:r>
        <w:rPr>
          <w:rFonts w:ascii="Times New Roman" w:hAnsi="Times New Roman"/>
          <w:noProof/>
          <w:sz w:val="24"/>
          <w:szCs w:val="24"/>
        </w:rPr>
        <w:t xml:space="preserve"> w odniesieniu do przebywających na ich terenie obywateli innych państw członkowskich UE (BG, EE, HU, IT, LV, RO, SI).</w:t>
      </w:r>
    </w:p>
    <w:p>
      <w:pPr>
        <w:numPr>
          <w:ilvl w:val="0"/>
          <w:numId w:val="27"/>
        </w:numPr>
        <w:ind w:left="714" w:hanging="357"/>
        <w:jc w:val="both"/>
        <w:rPr>
          <w:rFonts w:ascii="Times New Roman" w:hAnsi="Times New Roman" w:cs="Times New Roman"/>
          <w:b/>
          <w:noProof/>
          <w:sz w:val="24"/>
          <w:szCs w:val="24"/>
        </w:rPr>
      </w:pPr>
      <w:r>
        <w:rPr>
          <w:rFonts w:ascii="Times New Roman" w:hAnsi="Times New Roman"/>
          <w:b/>
          <w:noProof/>
          <w:sz w:val="24"/>
          <w:szCs w:val="24"/>
        </w:rPr>
        <w:t>Wnioski, na które odpowiedziano po upływie przewidzianego prawem terminu</w:t>
      </w:r>
    </w:p>
    <w:p>
      <w:pPr>
        <w:jc w:val="both"/>
        <w:rPr>
          <w:rFonts w:ascii="Times New Roman" w:hAnsi="Times New Roman" w:cs="Times New Roman"/>
          <w:noProof/>
          <w:sz w:val="24"/>
          <w:szCs w:val="24"/>
        </w:rPr>
      </w:pPr>
      <w:r>
        <w:rPr>
          <w:rFonts w:ascii="Times New Roman" w:hAnsi="Times New Roman"/>
          <w:noProof/>
          <w:sz w:val="24"/>
          <w:szCs w:val="24"/>
        </w:rPr>
        <w:t>W 2019 r. na </w:t>
      </w:r>
      <w:r>
        <w:rPr>
          <w:rFonts w:ascii="Times New Roman" w:hAnsi="Times New Roman"/>
          <w:b/>
          <w:noProof/>
          <w:sz w:val="24"/>
          <w:szCs w:val="24"/>
        </w:rPr>
        <w:t xml:space="preserve">190 000 wniosków nie udzielono odpowiedzi w przewidzianym prawem terminie, </w:t>
      </w:r>
      <w:r>
        <w:rPr>
          <w:rFonts w:ascii="Times New Roman" w:hAnsi="Times New Roman"/>
          <w:bCs/>
          <w:noProof/>
          <w:sz w:val="24"/>
          <w:szCs w:val="24"/>
        </w:rPr>
        <w:t>co</w:t>
      </w:r>
      <w:r>
        <w:rPr>
          <w:rFonts w:ascii="Times New Roman" w:hAnsi="Times New Roman"/>
          <w:noProof/>
          <w:sz w:val="24"/>
          <w:szCs w:val="24"/>
        </w:rPr>
        <w:t xml:space="preserve"> stanowi </w:t>
      </w:r>
      <w:r>
        <w:rPr>
          <w:rFonts w:ascii="Times New Roman" w:hAnsi="Times New Roman"/>
          <w:b/>
          <w:noProof/>
          <w:sz w:val="24"/>
          <w:szCs w:val="24"/>
        </w:rPr>
        <w:t>18,4 %</w:t>
      </w:r>
      <w:r>
        <w:rPr>
          <w:rFonts w:ascii="Times New Roman" w:hAnsi="Times New Roman"/>
          <w:noProof/>
          <w:sz w:val="24"/>
          <w:szCs w:val="24"/>
        </w:rPr>
        <w:t xml:space="preserve"> </w:t>
      </w:r>
      <w:r>
        <w:rPr>
          <w:rFonts w:ascii="Times New Roman" w:hAnsi="Times New Roman"/>
          <w:b/>
          <w:noProof/>
          <w:sz w:val="24"/>
          <w:szCs w:val="24"/>
        </w:rPr>
        <w:t>całkowitej</w:t>
      </w:r>
      <w:r>
        <w:rPr>
          <w:rFonts w:ascii="Times New Roman" w:hAnsi="Times New Roman"/>
          <w:noProof/>
          <w:sz w:val="24"/>
          <w:szCs w:val="24"/>
        </w:rPr>
        <w:t xml:space="preserve"> liczby wniosków. Ta liczba spóźnionych odpowiedzi jest niepokojąca, ponieważ </w:t>
      </w:r>
      <w:r>
        <w:rPr>
          <w:rFonts w:ascii="Times New Roman" w:hAnsi="Times New Roman"/>
          <w:b/>
          <w:bCs/>
          <w:noProof/>
          <w:sz w:val="24"/>
          <w:szCs w:val="24"/>
        </w:rPr>
        <w:t>wzrosła</w:t>
      </w:r>
      <w:r>
        <w:rPr>
          <w:rFonts w:ascii="Times New Roman" w:hAnsi="Times New Roman"/>
          <w:noProof/>
          <w:sz w:val="24"/>
          <w:szCs w:val="24"/>
        </w:rPr>
        <w:t xml:space="preserve"> </w:t>
      </w:r>
      <w:r>
        <w:rPr>
          <w:rFonts w:ascii="Times New Roman" w:hAnsi="Times New Roman"/>
          <w:b/>
          <w:bCs/>
          <w:noProof/>
          <w:sz w:val="24"/>
          <w:szCs w:val="24"/>
        </w:rPr>
        <w:t>ona prawie czternastokrotnie</w:t>
      </w:r>
      <w:r>
        <w:rPr>
          <w:rFonts w:ascii="Times New Roman" w:hAnsi="Times New Roman"/>
          <w:noProof/>
          <w:sz w:val="24"/>
          <w:szCs w:val="24"/>
        </w:rPr>
        <w:t xml:space="preserve"> w porównaniu z 2016 r. </w:t>
      </w:r>
    </w:p>
    <w:p>
      <w:pPr>
        <w:jc w:val="both"/>
        <w:rPr>
          <w:rFonts w:ascii="Times New Roman" w:hAnsi="Times New Roman" w:cs="Times New Roman"/>
          <w:noProof/>
          <w:sz w:val="24"/>
          <w:szCs w:val="24"/>
        </w:rPr>
      </w:pPr>
      <w:r>
        <w:rPr>
          <w:rFonts w:ascii="Times New Roman" w:hAnsi="Times New Roman"/>
          <w:b/>
          <w:bCs/>
          <w:noProof/>
          <w:sz w:val="24"/>
          <w:szCs w:val="24"/>
        </w:rPr>
        <w:t xml:space="preserve">Problem ten dotyczy </w:t>
      </w:r>
      <w:r>
        <w:rPr>
          <w:rFonts w:ascii="Times New Roman" w:hAnsi="Times New Roman"/>
          <w:noProof/>
          <w:sz w:val="24"/>
          <w:szCs w:val="24"/>
        </w:rPr>
        <w:t>w</w:t>
      </w:r>
      <w:r>
        <w:rPr>
          <w:rFonts w:ascii="Times New Roman" w:hAnsi="Times New Roman"/>
          <w:b/>
          <w:bCs/>
          <w:noProof/>
          <w:sz w:val="24"/>
          <w:szCs w:val="24"/>
        </w:rPr>
        <w:t> </w:t>
      </w:r>
      <w:r>
        <w:rPr>
          <w:rFonts w:ascii="Times New Roman" w:hAnsi="Times New Roman"/>
          <w:noProof/>
          <w:sz w:val="24"/>
          <w:szCs w:val="24"/>
        </w:rPr>
        <w:t xml:space="preserve">szczególności </w:t>
      </w:r>
      <w:r>
        <w:rPr>
          <w:rFonts w:ascii="Times New Roman" w:hAnsi="Times New Roman"/>
          <w:b/>
          <w:bCs/>
          <w:noProof/>
          <w:sz w:val="24"/>
          <w:szCs w:val="24"/>
        </w:rPr>
        <w:t>państw członkowskich</w:t>
      </w:r>
      <w:r>
        <w:rPr>
          <w:rFonts w:ascii="Times New Roman" w:hAnsi="Times New Roman"/>
          <w:noProof/>
          <w:sz w:val="24"/>
          <w:szCs w:val="24"/>
        </w:rPr>
        <w:t xml:space="preserve">, które </w:t>
      </w:r>
      <w:r>
        <w:rPr>
          <w:rFonts w:ascii="Times New Roman" w:hAnsi="Times New Roman"/>
          <w:b/>
          <w:bCs/>
          <w:noProof/>
          <w:sz w:val="24"/>
          <w:szCs w:val="24"/>
        </w:rPr>
        <w:t xml:space="preserve">miały do czynienia z bardzo dużą liczbą wniosków </w:t>
      </w:r>
      <w:r>
        <w:rPr>
          <w:rFonts w:ascii="Times New Roman" w:hAnsi="Times New Roman"/>
          <w:noProof/>
          <w:sz w:val="24"/>
          <w:szCs w:val="24"/>
        </w:rPr>
        <w:t>o</w:t>
      </w:r>
      <w:r>
        <w:rPr>
          <w:rFonts w:ascii="Times New Roman" w:hAnsi="Times New Roman"/>
          <w:b/>
          <w:bCs/>
          <w:noProof/>
          <w:sz w:val="24"/>
          <w:szCs w:val="24"/>
        </w:rPr>
        <w:t> </w:t>
      </w:r>
      <w:r>
        <w:rPr>
          <w:rFonts w:ascii="Times New Roman" w:hAnsi="Times New Roman"/>
          <w:noProof/>
          <w:sz w:val="24"/>
          <w:szCs w:val="24"/>
        </w:rPr>
        <w:t>udzielenie informacji: PL, RO, HR, LV, BE i BG.</w:t>
      </w:r>
    </w:p>
    <w:p>
      <w:pPr>
        <w:numPr>
          <w:ilvl w:val="0"/>
          <w:numId w:val="27"/>
        </w:numPr>
        <w:ind w:left="714" w:hanging="357"/>
        <w:jc w:val="both"/>
        <w:rPr>
          <w:rFonts w:ascii="Times New Roman" w:hAnsi="Times New Roman"/>
          <w:b/>
          <w:noProof/>
          <w:sz w:val="24"/>
        </w:rPr>
      </w:pPr>
      <w:r>
        <w:rPr>
          <w:rFonts w:ascii="Times New Roman" w:hAnsi="Times New Roman"/>
          <w:b/>
          <w:noProof/>
          <w:sz w:val="24"/>
        </w:rPr>
        <w:t>Wnioski o udzielenie informacji, na które nie odpowiedziano</w:t>
      </w:r>
    </w:p>
    <w:p>
      <w:pPr>
        <w:pStyle w:val="ListParagraph"/>
        <w:spacing w:after="120"/>
        <w:ind w:left="0"/>
        <w:jc w:val="both"/>
        <w:rPr>
          <w:rFonts w:ascii="Times New Roman" w:hAnsi="Times New Roman" w:cs="Times New Roman"/>
          <w:noProof/>
          <w:sz w:val="24"/>
          <w:szCs w:val="24"/>
        </w:rPr>
      </w:pPr>
      <w:r>
        <w:rPr>
          <w:rFonts w:ascii="Times New Roman" w:hAnsi="Times New Roman"/>
          <w:noProof/>
          <w:sz w:val="24"/>
          <w:szCs w:val="24"/>
        </w:rPr>
        <w:t>Chociaż wszystkie państwa członkowskie zasadniczo</w:t>
      </w:r>
      <w:r>
        <w:rPr>
          <w:rFonts w:ascii="Times New Roman" w:hAnsi="Times New Roman"/>
          <w:b/>
          <w:noProof/>
          <w:sz w:val="24"/>
          <w:szCs w:val="24"/>
        </w:rPr>
        <w:t xml:space="preserve"> </w:t>
      </w:r>
      <w:r>
        <w:rPr>
          <w:rFonts w:ascii="Times New Roman" w:hAnsi="Times New Roman"/>
          <w:noProof/>
          <w:sz w:val="24"/>
          <w:szCs w:val="24"/>
        </w:rPr>
        <w:t xml:space="preserve">odpowiadają na wnioski, w 2019 r. nadal </w:t>
      </w:r>
      <w:r>
        <w:rPr>
          <w:rFonts w:ascii="Times New Roman" w:hAnsi="Times New Roman"/>
          <w:b/>
          <w:bCs/>
          <w:noProof/>
          <w:sz w:val="24"/>
          <w:szCs w:val="24"/>
        </w:rPr>
        <w:t xml:space="preserve">nie udzielono odpowiedzi na ponad 42 000 </w:t>
      </w:r>
      <w:r>
        <w:rPr>
          <w:rFonts w:ascii="Times New Roman" w:hAnsi="Times New Roman"/>
          <w:b/>
          <w:noProof/>
          <w:sz w:val="24"/>
          <w:szCs w:val="24"/>
        </w:rPr>
        <w:t>wniosków o udzielenie informacji</w:t>
      </w:r>
      <w:r>
        <w:rPr>
          <w:rFonts w:ascii="Times New Roman" w:hAnsi="Times New Roman"/>
          <w:noProof/>
          <w:sz w:val="24"/>
          <w:szCs w:val="24"/>
        </w:rPr>
        <w:t xml:space="preserve">. Liczba ta odpowiadała </w:t>
      </w:r>
      <w:r>
        <w:rPr>
          <w:rFonts w:ascii="Times New Roman" w:hAnsi="Times New Roman"/>
          <w:b/>
          <w:noProof/>
          <w:sz w:val="24"/>
          <w:szCs w:val="24"/>
        </w:rPr>
        <w:t xml:space="preserve">4,1 % wszystkich wniosków </w:t>
      </w:r>
      <w:r>
        <w:rPr>
          <w:rFonts w:ascii="Times New Roman" w:hAnsi="Times New Roman"/>
          <w:bCs/>
          <w:noProof/>
          <w:sz w:val="24"/>
          <w:szCs w:val="24"/>
        </w:rPr>
        <w:t>w</w:t>
      </w:r>
      <w:r>
        <w:rPr>
          <w:rFonts w:ascii="Times New Roman" w:hAnsi="Times New Roman"/>
          <w:b/>
          <w:noProof/>
          <w:sz w:val="24"/>
          <w:szCs w:val="24"/>
        </w:rPr>
        <w:t> </w:t>
      </w:r>
      <w:r>
        <w:rPr>
          <w:rFonts w:ascii="Times New Roman" w:hAnsi="Times New Roman"/>
          <w:bCs/>
          <w:noProof/>
          <w:sz w:val="24"/>
          <w:szCs w:val="24"/>
        </w:rPr>
        <w:t xml:space="preserve">porównaniu z 3,6 % w 2016 r. </w:t>
      </w:r>
      <w:r>
        <w:rPr>
          <w:rFonts w:ascii="Times New Roman" w:hAnsi="Times New Roman"/>
          <w:noProof/>
          <w:sz w:val="24"/>
          <w:szCs w:val="24"/>
        </w:rPr>
        <w:t>Państwami członkowskimi, które nie odpowiedziały na największy odsetek otrzymanych wniosków, były: MT, CY, BG i EL.</w:t>
      </w:r>
    </w:p>
    <w:p>
      <w:pPr>
        <w:pStyle w:val="ListParagraph"/>
        <w:numPr>
          <w:ilvl w:val="0"/>
          <w:numId w:val="43"/>
        </w:numPr>
        <w:spacing w:after="120"/>
        <w:ind w:left="714" w:hanging="357"/>
        <w:rPr>
          <w:rFonts w:ascii="Times New Roman" w:hAnsi="Times New Roman" w:cs="Times New Roman"/>
          <w:b/>
          <w:noProof/>
          <w:sz w:val="24"/>
          <w:szCs w:val="24"/>
        </w:rPr>
      </w:pPr>
      <w:r>
        <w:rPr>
          <w:rFonts w:ascii="Times New Roman" w:hAnsi="Times New Roman"/>
          <w:b/>
          <w:noProof/>
          <w:sz w:val="24"/>
          <w:szCs w:val="24"/>
        </w:rPr>
        <w:t>Istotne różnice pomiędzy państwami członkowskimi pod względem działań i obciążenia pracą w związku z systemem ECRIS</w:t>
      </w:r>
    </w:p>
    <w:p>
      <w:pPr>
        <w:jc w:val="both"/>
        <w:rPr>
          <w:rFonts w:ascii="Times New Roman" w:hAnsi="Times New Roman" w:cs="Times New Roman"/>
          <w:noProof/>
          <w:sz w:val="24"/>
          <w:szCs w:val="24"/>
        </w:rPr>
      </w:pPr>
      <w:r>
        <w:rPr>
          <w:rFonts w:ascii="Times New Roman" w:hAnsi="Times New Roman"/>
          <w:noProof/>
          <w:sz w:val="24"/>
          <w:szCs w:val="24"/>
        </w:rPr>
        <w:t xml:space="preserve">Niektóre państwa członkowskie wysyłają dużo więcej </w:t>
      </w:r>
      <w:r>
        <w:rPr>
          <w:rFonts w:ascii="Times New Roman" w:hAnsi="Times New Roman"/>
          <w:b/>
          <w:noProof/>
          <w:sz w:val="24"/>
          <w:szCs w:val="24"/>
        </w:rPr>
        <w:t>wniosków o udzielenie informacji niż otrzymują</w:t>
      </w:r>
      <w:r>
        <w:rPr>
          <w:rFonts w:ascii="Times New Roman" w:hAnsi="Times New Roman"/>
          <w:noProof/>
          <w:sz w:val="24"/>
          <w:szCs w:val="24"/>
        </w:rPr>
        <w:t xml:space="preserve"> (DE, UK i CZ), natomiast inne państwa członkowskie borykają się z </w:t>
      </w:r>
      <w:r>
        <w:rPr>
          <w:rFonts w:ascii="Times New Roman" w:hAnsi="Times New Roman"/>
          <w:b/>
          <w:noProof/>
          <w:sz w:val="24"/>
          <w:szCs w:val="24"/>
        </w:rPr>
        <w:t>istotnym obciążeniem pracą w związku z odpowiadaniem na te wnioski</w:t>
      </w:r>
      <w:r>
        <w:rPr>
          <w:rFonts w:ascii="Times New Roman" w:hAnsi="Times New Roman"/>
          <w:noProof/>
          <w:sz w:val="24"/>
          <w:szCs w:val="24"/>
        </w:rPr>
        <w:t xml:space="preserve"> (PL, RO, IT, HR, SK i HU). Obciążenie pracą niektórych innych państw członkowskich wynika przede wszystkim z wysyłania </w:t>
      </w:r>
      <w:r>
        <w:rPr>
          <w:rFonts w:ascii="Times New Roman" w:hAnsi="Times New Roman"/>
          <w:b/>
          <w:bCs/>
          <w:noProof/>
          <w:sz w:val="24"/>
          <w:szCs w:val="24"/>
        </w:rPr>
        <w:t xml:space="preserve">dużej liczby powiadomień </w:t>
      </w:r>
      <w:r>
        <w:rPr>
          <w:rFonts w:ascii="Times New Roman" w:hAnsi="Times New Roman"/>
          <w:noProof/>
          <w:sz w:val="24"/>
          <w:szCs w:val="24"/>
        </w:rPr>
        <w:t>o</w:t>
      </w:r>
      <w:r>
        <w:rPr>
          <w:rFonts w:ascii="Times New Roman" w:hAnsi="Times New Roman"/>
          <w:b/>
          <w:bCs/>
          <w:noProof/>
          <w:sz w:val="24"/>
          <w:szCs w:val="24"/>
        </w:rPr>
        <w:t> </w:t>
      </w:r>
      <w:r>
        <w:rPr>
          <w:rFonts w:ascii="Times New Roman" w:hAnsi="Times New Roman"/>
          <w:noProof/>
          <w:sz w:val="24"/>
          <w:szCs w:val="24"/>
        </w:rPr>
        <w:t>nowych wyrokach skazujących do państw członkowskich, których obywatelem jest przestępca (BE i IT).</w:t>
      </w:r>
    </w:p>
    <w:p>
      <w:pPr>
        <w:numPr>
          <w:ilvl w:val="0"/>
          <w:numId w:val="27"/>
        </w:numPr>
        <w:ind w:left="714" w:hanging="357"/>
        <w:jc w:val="both"/>
        <w:rPr>
          <w:rFonts w:ascii="Times New Roman" w:hAnsi="Times New Roman" w:cs="Times New Roman"/>
          <w:noProof/>
          <w:sz w:val="24"/>
          <w:szCs w:val="24"/>
        </w:rPr>
      </w:pPr>
      <w:r>
        <w:rPr>
          <w:rFonts w:ascii="Times New Roman" w:hAnsi="Times New Roman"/>
          <w:b/>
          <w:noProof/>
          <w:sz w:val="24"/>
        </w:rPr>
        <w:t>Obecny ECRIS nadal rzadko wykorzystywany w przypadku</w:t>
      </w:r>
      <w:r>
        <w:rPr>
          <w:rFonts w:ascii="Times New Roman" w:hAnsi="Times New Roman"/>
          <w:b/>
          <w:noProof/>
          <w:sz w:val="24"/>
          <w:szCs w:val="24"/>
        </w:rPr>
        <w:t xml:space="preserve"> TCN</w:t>
      </w:r>
    </w:p>
    <w:p>
      <w:pPr>
        <w:jc w:val="both"/>
        <w:rPr>
          <w:rFonts w:ascii="Times New Roman" w:hAnsi="Times New Roman" w:cs="Times New Roman"/>
          <w:noProof/>
          <w:sz w:val="24"/>
          <w:szCs w:val="24"/>
        </w:rPr>
      </w:pPr>
      <w:r>
        <w:rPr>
          <w:rFonts w:ascii="Times New Roman" w:hAnsi="Times New Roman"/>
          <w:noProof/>
          <w:sz w:val="24"/>
          <w:szCs w:val="24"/>
        </w:rPr>
        <w:t>Średnio</w:t>
      </w:r>
      <w:r>
        <w:rPr>
          <w:rFonts w:ascii="Times New Roman" w:hAnsi="Times New Roman"/>
          <w:b/>
          <w:noProof/>
          <w:sz w:val="24"/>
          <w:szCs w:val="24"/>
        </w:rPr>
        <w:t xml:space="preserve"> 92 %</w:t>
      </w:r>
      <w:r>
        <w:rPr>
          <w:rFonts w:ascii="Times New Roman" w:hAnsi="Times New Roman"/>
          <w:noProof/>
          <w:sz w:val="24"/>
          <w:szCs w:val="24"/>
        </w:rPr>
        <w:t xml:space="preserve"> wszystkich wniosków dotyczy </w:t>
      </w:r>
      <w:r>
        <w:rPr>
          <w:rFonts w:ascii="Times New Roman" w:hAnsi="Times New Roman"/>
          <w:b/>
          <w:noProof/>
          <w:sz w:val="24"/>
          <w:szCs w:val="24"/>
        </w:rPr>
        <w:t>obywateli UE</w:t>
      </w:r>
      <w:r>
        <w:rPr>
          <w:rFonts w:ascii="Times New Roman" w:hAnsi="Times New Roman"/>
          <w:noProof/>
          <w:sz w:val="24"/>
          <w:szCs w:val="24"/>
        </w:rPr>
        <w:t xml:space="preserve">, a około </w:t>
      </w:r>
      <w:r>
        <w:rPr>
          <w:rFonts w:ascii="Times New Roman" w:hAnsi="Times New Roman"/>
          <w:b/>
          <w:noProof/>
          <w:sz w:val="24"/>
          <w:szCs w:val="24"/>
        </w:rPr>
        <w:t>8 % – obywateli państw trzecich i bezpaństwowców</w:t>
      </w:r>
      <w:r>
        <w:rPr>
          <w:rFonts w:ascii="Times New Roman" w:hAnsi="Times New Roman"/>
          <w:noProof/>
          <w:sz w:val="24"/>
          <w:szCs w:val="24"/>
        </w:rPr>
        <w:t xml:space="preserve">. Liczba wniosków o udzielenie informacji w sprawie TCN </w:t>
      </w:r>
      <w:r>
        <w:rPr>
          <w:rFonts w:ascii="Times New Roman" w:hAnsi="Times New Roman"/>
          <w:bCs/>
          <w:noProof/>
          <w:sz w:val="24"/>
          <w:szCs w:val="24"/>
        </w:rPr>
        <w:t xml:space="preserve">stabilnie </w:t>
      </w:r>
      <w:r>
        <w:rPr>
          <w:rFonts w:ascii="Times New Roman" w:hAnsi="Times New Roman"/>
          <w:b/>
          <w:noProof/>
          <w:sz w:val="24"/>
          <w:szCs w:val="24"/>
        </w:rPr>
        <w:t>rośnie</w:t>
      </w:r>
      <w:r>
        <w:rPr>
          <w:rFonts w:ascii="Times New Roman" w:hAnsi="Times New Roman"/>
          <w:bCs/>
          <w:noProof/>
          <w:sz w:val="24"/>
          <w:szCs w:val="24"/>
        </w:rPr>
        <w:t xml:space="preserve"> od 2017 r., a </w:t>
      </w:r>
      <w:r>
        <w:rPr>
          <w:rFonts w:ascii="Times New Roman" w:hAnsi="Times New Roman"/>
          <w:b/>
          <w:noProof/>
          <w:sz w:val="24"/>
          <w:szCs w:val="24"/>
        </w:rPr>
        <w:t>w</w:t>
      </w:r>
      <w:r>
        <w:rPr>
          <w:rFonts w:ascii="Times New Roman" w:hAnsi="Times New Roman"/>
          <w:bCs/>
          <w:noProof/>
          <w:sz w:val="24"/>
          <w:szCs w:val="24"/>
        </w:rPr>
        <w:t> </w:t>
      </w:r>
      <w:r>
        <w:rPr>
          <w:rFonts w:ascii="Times New Roman" w:hAnsi="Times New Roman"/>
          <w:b/>
          <w:noProof/>
          <w:sz w:val="24"/>
          <w:szCs w:val="24"/>
        </w:rPr>
        <w:t>2019 r. przekroczyła 69 000</w:t>
      </w:r>
      <w:r>
        <w:rPr>
          <w:rFonts w:ascii="Times New Roman" w:hAnsi="Times New Roman"/>
          <w:noProof/>
          <w:sz w:val="24"/>
          <w:szCs w:val="24"/>
        </w:rPr>
        <w:t xml:space="preserve">. </w:t>
      </w:r>
    </w:p>
    <w:p>
      <w:pPr>
        <w:rPr>
          <w:rStyle w:val="Hyperlink"/>
          <w:rFonts w:ascii="Times New Roman" w:hAnsi="Times New Roman" w:cs="Times New Roman"/>
          <w:noProof/>
          <w:color w:val="auto"/>
          <w:sz w:val="24"/>
          <w:szCs w:val="24"/>
          <w:u w:val="none"/>
        </w:rPr>
      </w:pPr>
    </w:p>
    <w:sectPr>
      <w:headerReference w:type="even" r:id="rId32"/>
      <w:headerReference w:type="default" r:id="rId33"/>
      <w:footerReference w:type="even" r:id="rId34"/>
      <w:footerReference w:type="default" r:id="rId35"/>
      <w:headerReference w:type="first" r:id="rId36"/>
      <w:footerReference w:type="first" r:id="rId37"/>
      <w:pgSz w:w="11907" w:h="16840" w:code="9"/>
      <w:pgMar w:top="1418" w:right="1418" w:bottom="1418" w:left="1418" w:header="851" w:footer="255" w:gutter="0"/>
      <w:cols w:space="720"/>
      <w:titlePg/>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TimesNewRoman">
    <w:charset w:val="00"/>
    <w:family w:val="roman"/>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PL</w:t>
    </w:r>
    <w:r>
      <w:rPr>
        <w:rFonts w:ascii="Arial" w:hAnsi="Arial" w:cs="Arial"/>
        <w:b/>
        <w:sz w:val="48"/>
      </w:rPr>
      <w:tab/>
    </w:r>
    <w:r>
      <w:rPr>
        <w:rFonts w:ascii="Arial" w:hAnsi="Arial" w:cs="Arial"/>
        <w:b/>
        <w:sz w:val="48"/>
      </w:rPr>
      <w:tab/>
    </w:r>
    <w:r>
      <w:tab/>
    </w:r>
    <w:r>
      <w:rPr>
        <w:rFonts w:ascii="Arial" w:hAnsi="Arial" w:cs="Arial"/>
        <w:b/>
        <w:sz w:val="48"/>
      </w:rPr>
      <w:t>PL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1614629"/>
      <w:docPartObj>
        <w:docPartGallery w:val="Page Numbers (Bottom of Page)"/>
        <w:docPartUnique/>
      </w:docPartObj>
    </w:sdtPr>
    <w:sdtEndPr>
      <w:rPr>
        <w:noProof/>
      </w:rPr>
    </w:sdtEndPr>
    <w:sdtContent>
      <w:p>
        <w:pPr>
          <w:pStyle w:val="Footer"/>
        </w:pPr>
        <w:r>
          <w:fldChar w:fldCharType="begin"/>
        </w:r>
        <w:r>
          <w:instrText xml:space="preserve"> PAGE   \* MERGEFORMAT </w:instrText>
        </w:r>
        <w:r>
          <w:fldChar w:fldCharType="separate"/>
        </w:r>
        <w:r>
          <w:rPr>
            <w:noProof/>
          </w:rPr>
          <w:t>3</w:t>
        </w:r>
        <w: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1531446"/>
      <w:docPartObj>
        <w:docPartGallery w:val="Page Numbers (Bottom of Page)"/>
        <w:docPartUnique/>
      </w:docPartObj>
    </w:sdtPr>
    <w:sdtEndPr>
      <w:rPr>
        <w:noProof/>
      </w:rPr>
    </w:sdtEndPr>
    <w:sdtContent>
      <w:p>
        <w:pPr>
          <w:pStyle w:val="Footer"/>
        </w:pPr>
        <w:r>
          <w:fldChar w:fldCharType="begin"/>
        </w:r>
        <w:r>
          <w:instrText xml:space="preserve"> PAGE   \* MERGEFORMAT </w:instrText>
        </w:r>
        <w:r>
          <w:fldChar w:fldCharType="separate"/>
        </w:r>
        <w:r>
          <w:rPr>
            <w:noProof/>
          </w:rPr>
          <w:t>2</w:t>
        </w:r>
        <w:r>
          <w:fldChar w:fldCharType="end"/>
        </w:r>
      </w:p>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type="continuationNotice" w:id="1">
    <w:p>
      <w:pPr>
        <w:spacing w:after="0"/>
      </w:pPr>
    </w:p>
  </w:footnote>
  <w:footnote w:id="2">
    <w:p>
      <w:pPr>
        <w:pStyle w:val="FootnoteText"/>
        <w:spacing w:after="0"/>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t>
      </w:r>
      <w:r>
        <w:tab/>
      </w:r>
      <w:r>
        <w:rPr>
          <w:rFonts w:ascii="Times New Roman" w:hAnsi="Times New Roman"/>
          <w:sz w:val="20"/>
        </w:rPr>
        <w:t>Dz.U. L 93 z 7.4.2009, s. 23 – zmieniona dyrektywą (UE) 2019/884, Dz.U. L 151 z 7.6.2019, s. 143.</w:t>
      </w:r>
    </w:p>
  </w:footnote>
  <w:footnote w:id="3">
    <w:p>
      <w:pPr>
        <w:pStyle w:val="FootnoteText"/>
        <w:spacing w:after="0"/>
        <w:rPr>
          <w:rFonts w:ascii="Times New Roman" w:hAnsi="Times New Roman" w:cs="Times New Roman"/>
        </w:rPr>
      </w:pPr>
      <w:r>
        <w:rPr>
          <w:rStyle w:val="FootnoteReference"/>
          <w:rFonts w:ascii="Times New Roman" w:hAnsi="Times New Roman" w:cs="Times New Roman"/>
          <w:sz w:val="20"/>
        </w:rPr>
        <w:footnoteRef/>
      </w:r>
      <w:r>
        <w:rPr>
          <w:rFonts w:ascii="Times New Roman" w:hAnsi="Times New Roman"/>
          <w:sz w:val="20"/>
        </w:rPr>
        <w:t xml:space="preserve"> </w:t>
      </w:r>
      <w:r>
        <w:tab/>
      </w:r>
      <w:r>
        <w:rPr>
          <w:rFonts w:ascii="Times New Roman" w:hAnsi="Times New Roman"/>
          <w:sz w:val="20"/>
        </w:rPr>
        <w:t xml:space="preserve">Dz.U. L 93 z 7.4.2009, s. 33. Decyzja ta zostanie zastąpiona dyrektywą (UE) 2019/884 w odniesieniu do </w:t>
      </w:r>
      <w:r>
        <w:tab/>
      </w:r>
      <w:r>
        <w:rPr>
          <w:rFonts w:ascii="Times New Roman" w:hAnsi="Times New Roman"/>
          <w:sz w:val="20"/>
        </w:rPr>
        <w:t>państw członkowskich związanych tą dyrektywą – od dnia 28 czerwca 2022 r.</w:t>
      </w:r>
    </w:p>
  </w:footnote>
  <w:footnote w:id="4">
    <w:p>
      <w:pPr>
        <w:spacing w:after="0"/>
        <w:ind w:left="709" w:hanging="709"/>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COM/2017/341 final; SWD/2017/242 final.</w:t>
      </w:r>
    </w:p>
  </w:footnote>
  <w:footnote w:id="5">
    <w:p>
      <w:pPr>
        <w:pStyle w:val="FootnoteText"/>
        <w:jc w:val="both"/>
        <w:rPr>
          <w:sz w:val="20"/>
        </w:rPr>
      </w:pPr>
      <w:r>
        <w:rPr>
          <w:rStyle w:val="FootnoteReference"/>
          <w:rFonts w:ascii="Times New Roman" w:hAnsi="Times New Roman" w:cs="Times New Roman"/>
          <w:sz w:val="20"/>
        </w:rPr>
        <w:footnoteRef/>
      </w:r>
      <w:r>
        <w:rPr>
          <w:rFonts w:ascii="Times New Roman" w:hAnsi="Times New Roman"/>
          <w:sz w:val="20"/>
        </w:rPr>
        <w:t xml:space="preserve"> </w:t>
      </w:r>
      <w:r>
        <w:tab/>
      </w:r>
      <w:r>
        <w:rPr>
          <w:rFonts w:ascii="Times New Roman" w:hAnsi="Times New Roman"/>
          <w:sz w:val="20"/>
        </w:rPr>
        <w:t>Komisja nie otrzymała danych od Cypru, Grecji, Danii, Litwy i Słowenii.</w:t>
      </w:r>
    </w:p>
  </w:footnote>
  <w:footnote w:id="6">
    <w:p>
      <w:pPr>
        <w:pStyle w:val="FootnoteText"/>
        <w:spacing w:after="0"/>
        <w:ind w:left="709" w:hanging="709"/>
        <w:rPr>
          <w:rFonts w:ascii="Times New Roman" w:hAnsi="Times New Roman" w:cs="Times New Roman"/>
          <w:sz w:val="20"/>
        </w:rPr>
      </w:pPr>
      <w:r>
        <w:rPr>
          <w:rStyle w:val="FootnoteReference"/>
        </w:rPr>
        <w:footnoteRef/>
      </w:r>
      <w:r>
        <w:t xml:space="preserve"> </w:t>
      </w:r>
      <w:r>
        <w:tab/>
      </w:r>
      <w:r>
        <w:rPr>
          <w:rFonts w:ascii="Times New Roman" w:hAnsi="Times New Roman"/>
          <w:sz w:val="20"/>
        </w:rPr>
        <w:t>Szczegółowy opis ogólnych zasad wymiany informacji za pośrednictwem ECRIS przedstawiono w sekcji 1 dokumentu roboczego służb Komisji.</w:t>
      </w:r>
    </w:p>
  </w:footnote>
  <w:footnote w:id="7">
    <w:p>
      <w:pPr>
        <w:pStyle w:val="FootnoteText"/>
      </w:pPr>
      <w:r>
        <w:rPr>
          <w:rStyle w:val="FootnoteReference"/>
        </w:rPr>
        <w:footnoteRef/>
      </w:r>
      <w:r>
        <w:t xml:space="preserve"> </w:t>
      </w:r>
      <w:r>
        <w:tab/>
      </w:r>
      <w:r>
        <w:rPr>
          <w:rFonts w:ascii="Times New Roman" w:hAnsi="Times New Roman"/>
          <w:sz w:val="20"/>
        </w:rPr>
        <w:t>Historię podłączeń do sieci ECRIS przedstawiono w sekcji 2.1 dokumentu roboczego służb Komisji.</w:t>
      </w:r>
    </w:p>
  </w:footnote>
  <w:footnote w:id="8">
    <w:p>
      <w:pPr>
        <w:pStyle w:val="FootnoteText"/>
        <w:spacing w:after="0"/>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t>
      </w:r>
      <w:r>
        <w:tab/>
      </w:r>
      <w:r>
        <w:rPr>
          <w:rFonts w:ascii="Times New Roman" w:hAnsi="Times New Roman"/>
          <w:sz w:val="20"/>
        </w:rPr>
        <w:t>Liczba ta uwzględnia 28 państw członkowskich.</w:t>
      </w:r>
    </w:p>
  </w:footnote>
  <w:footnote w:id="9">
    <w:p>
      <w:pPr>
        <w:pStyle w:val="FootnoteText"/>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t>
      </w:r>
      <w:r>
        <w:tab/>
      </w:r>
      <w:r>
        <w:rPr>
          <w:rFonts w:ascii="Times New Roman" w:hAnsi="Times New Roman"/>
          <w:sz w:val="20"/>
        </w:rPr>
        <w:t>Dynamikę zmian liczby wzajemnych połączeń w poszczególnych latach przedstawiono w sekcji 2.1 dokumentu roboczego służb Komisji.</w:t>
      </w:r>
    </w:p>
  </w:footnote>
  <w:footnote w:id="10">
    <w:p>
      <w:pPr>
        <w:pStyle w:val="FootnoteText"/>
        <w:ind w:left="709" w:hanging="709"/>
        <w:rPr>
          <w:rFonts w:ascii="Times New Roman" w:hAnsi="Times New Roman" w:cs="Times New Roman"/>
          <w:sz w:val="20"/>
        </w:rPr>
      </w:pPr>
      <w:r>
        <w:rPr>
          <w:rStyle w:val="FootnoteReference"/>
          <w:rFonts w:ascii="Times New Roman" w:hAnsi="Times New Roman" w:cs="Times New Roman"/>
          <w:sz w:val="20"/>
        </w:rPr>
        <w:footnoteRef/>
      </w:r>
      <w:r>
        <w:t xml:space="preserve"> </w:t>
      </w:r>
      <w:r>
        <w:tab/>
      </w:r>
      <w:r>
        <w:rPr>
          <w:rFonts w:ascii="Times New Roman" w:hAnsi="Times New Roman"/>
          <w:sz w:val="20"/>
        </w:rPr>
        <w:t>Do innych odpowiedzi należą na przykład odpowiedzi zawierające informacje o znalezionych kilku różnych osobach, o osobie niebędącej obywatelem państwa członkowskiego, do którego jest skierowany wniosek itp.</w:t>
      </w:r>
    </w:p>
  </w:footnote>
  <w:footnote w:id="11">
    <w:p>
      <w:pPr>
        <w:pStyle w:val="FootnoteText"/>
        <w:spacing w:after="0"/>
        <w:ind w:left="709" w:hanging="709"/>
        <w:rPr>
          <w:rFonts w:ascii="Times New Roman" w:hAnsi="Times New Roman" w:cs="Times New Roman"/>
          <w:sz w:val="20"/>
        </w:rPr>
      </w:pPr>
      <w:r>
        <w:rPr>
          <w:rStyle w:val="FootnoteReference"/>
        </w:rPr>
        <w:footnoteRef/>
      </w:r>
      <w:r>
        <w:t xml:space="preserve"> </w:t>
      </w:r>
      <w:r>
        <w:tab/>
      </w:r>
      <w:r>
        <w:rPr>
          <w:rFonts w:ascii="Times New Roman" w:hAnsi="Times New Roman"/>
          <w:sz w:val="20"/>
        </w:rPr>
        <w:t>Dz.U. L 220 z 15.8.2008, s. 32.</w:t>
      </w:r>
    </w:p>
  </w:footnote>
  <w:footnote w:id="12">
    <w:p>
      <w:pPr>
        <w:pStyle w:val="FootnoteText"/>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t>
      </w:r>
      <w:r>
        <w:tab/>
      </w:r>
      <w:r>
        <w:rPr>
          <w:rFonts w:ascii="Times New Roman" w:hAnsi="Times New Roman"/>
          <w:sz w:val="20"/>
        </w:rPr>
        <w:t>Dane dotyczące lat 2017 i 2018 podano w sekcji 2.2 dokumentu roboczego służb Komisji.</w:t>
      </w:r>
    </w:p>
  </w:footnote>
  <w:footnote w:id="13">
    <w:p>
      <w:pPr>
        <w:pStyle w:val="FootnoteText"/>
        <w:spacing w:after="0"/>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t>
      </w:r>
      <w:r>
        <w:tab/>
      </w:r>
      <w:r>
        <w:rPr>
          <w:rFonts w:ascii="Times New Roman" w:hAnsi="Times New Roman"/>
          <w:sz w:val="20"/>
        </w:rPr>
        <w:t>Dane dotyczące lat 2017 i 2018 podano w sekcji 2.3 dokumentu roboczego służb Komisji.</w:t>
      </w:r>
    </w:p>
  </w:footnote>
  <w:footnote w:id="14">
    <w:p>
      <w:pPr>
        <w:pStyle w:val="FootnoteText"/>
        <w:spacing w:after="0"/>
        <w:ind w:left="709" w:hanging="709"/>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t>
      </w:r>
      <w:r>
        <w:tab/>
      </w:r>
      <w:r>
        <w:rPr>
          <w:rFonts w:ascii="Times New Roman" w:hAnsi="Times New Roman"/>
          <w:sz w:val="20"/>
        </w:rPr>
        <w:t>Pokazują to dane statystyczne Eurostatu: https://ec.europa.eu/eurostat/statistics-explained/index.php?title=File:Non-national_population_by_group_of_citizenship,_1_January_2019.png</w:t>
      </w:r>
    </w:p>
    <w:p>
      <w:pPr>
        <w:pStyle w:val="FootnoteText"/>
      </w:pPr>
    </w:p>
  </w:footnote>
  <w:footnote w:id="15">
    <w:p>
      <w:pPr>
        <w:pStyle w:val="FootnoteText"/>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t>
      </w:r>
      <w:r>
        <w:tab/>
      </w:r>
      <w:r>
        <w:rPr>
          <w:rFonts w:ascii="Times New Roman" w:hAnsi="Times New Roman"/>
          <w:sz w:val="20"/>
        </w:rPr>
        <w:t>Aby uzyskać więcej szczegółowych informacji, zob. dokument roboczy służb Komisji, sekcja 2.3.</w:t>
      </w:r>
    </w:p>
  </w:footnote>
  <w:footnote w:id="16">
    <w:p>
      <w:pPr>
        <w:spacing w:after="0"/>
        <w:ind w:left="709" w:hanging="709"/>
        <w:jc w:val="both"/>
        <w:rPr>
          <w:rFonts w:ascii="Times New Roman" w:hAnsi="Times New Roman" w:cs="Times New Roman"/>
          <w:b/>
        </w:rPr>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Aby zapoznać się ze szczegółową analizą danych statystycznych poszczególnych państw członkowskich w zakresie wyroków skazujących i powiadomień, zob. dokument roboczy służb Komisji, sekcja 3.</w:t>
      </w:r>
    </w:p>
  </w:footnote>
  <w:footnote w:id="17">
    <w:p>
      <w:pPr>
        <w:pStyle w:val="FootnoteText"/>
        <w:spacing w:after="0"/>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t>
      </w:r>
      <w:r>
        <w:tab/>
      </w:r>
      <w:r>
        <w:rPr>
          <w:rFonts w:ascii="Times New Roman" w:hAnsi="Times New Roman"/>
          <w:sz w:val="20"/>
        </w:rPr>
        <w:t>Dane dotyczące lat 2017 i 2018 podano w sekcji 2.4 dokumentu roboczego służb Komisji.</w:t>
      </w:r>
    </w:p>
  </w:footnote>
  <w:footnote w:id="18">
    <w:p>
      <w:pPr>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Dane dotyczące lat 2017 i 2018 podano w sekcji 2.5 dokumentu roboczego służb Komisji.</w:t>
      </w:r>
    </w:p>
    <w:p>
      <w:pPr>
        <w:pStyle w:val="FootnoteText"/>
      </w:pPr>
    </w:p>
  </w:footnote>
  <w:footnote w:id="19">
    <w:p>
      <w:pPr>
        <w:pStyle w:val="FootnoteText"/>
        <w:rPr>
          <w:rFonts w:ascii="Times New Roman" w:hAnsi="Times New Roman" w:cs="Times New Roman"/>
          <w:sz w:val="20"/>
        </w:rPr>
      </w:pPr>
      <w:r>
        <w:rPr>
          <w:rStyle w:val="FootnoteReference"/>
          <w:rFonts w:ascii="Times New Roman" w:hAnsi="Times New Roman" w:cs="Times New Roman"/>
          <w:sz w:val="20"/>
        </w:rPr>
        <w:footnoteRef/>
      </w:r>
      <w:r>
        <w:tab/>
      </w:r>
      <w:r>
        <w:rPr>
          <w:rFonts w:ascii="Times New Roman" w:hAnsi="Times New Roman"/>
          <w:sz w:val="20"/>
        </w:rPr>
        <w:t xml:space="preserve"> Zob. sekcja 1.2 powyżej.</w:t>
      </w:r>
    </w:p>
  </w:footnote>
  <w:footnote w:id="20">
    <w:p>
      <w:pPr>
        <w:pStyle w:val="FootnoteText"/>
        <w:ind w:left="851" w:hanging="851"/>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t>
      </w:r>
      <w:r>
        <w:tab/>
      </w:r>
      <w:r>
        <w:rPr>
          <w:rFonts w:ascii="Times New Roman" w:hAnsi="Times New Roman"/>
          <w:sz w:val="20"/>
        </w:rPr>
        <w:t>Więcej szczegółowych informacji można znaleźć w dokumencie roboczym służb Komisji: tabela w sekcji 2.6 i dane statystyczne dotyczące spóźnionych odpowiedzi poszczególnych państw członkowskich w sekcji 3.</w:t>
      </w:r>
    </w:p>
  </w:footnote>
  <w:footnote w:id="21">
    <w:p>
      <w:pPr>
        <w:pStyle w:val="FootnoteText"/>
        <w:spacing w:after="0"/>
        <w:rPr>
          <w:sz w:val="20"/>
        </w:rPr>
      </w:pPr>
      <w:r>
        <w:rPr>
          <w:rStyle w:val="FootnoteReference"/>
          <w:sz w:val="20"/>
        </w:rPr>
        <w:footnoteRef/>
      </w:r>
      <w:r>
        <w:rPr>
          <w:sz w:val="20"/>
        </w:rPr>
        <w:t xml:space="preserve"> </w:t>
      </w:r>
      <w:r>
        <w:tab/>
      </w:r>
      <w:r>
        <w:rPr>
          <w:rFonts w:ascii="Times New Roman" w:hAnsi="Times New Roman"/>
          <w:sz w:val="20"/>
        </w:rPr>
        <w:t>Dyrektywa 2011/93/UE w sprawie zwalczania niegodziwego traktowania w celach seksualnych i wykorzystywania seksualnego dzieci oraz pornografii dziecięcej,</w:t>
      </w:r>
      <w:r>
        <w:tab/>
      </w:r>
      <w:r>
        <w:rPr>
          <w:rFonts w:ascii="Times New Roman" w:hAnsi="Times New Roman"/>
          <w:sz w:val="20"/>
        </w:rPr>
        <w:t>Dz.U. L 335 z 17.12.2011, s. 1.</w:t>
      </w:r>
    </w:p>
  </w:footnote>
  <w:footnote w:id="22">
    <w:p>
      <w:pPr>
        <w:spacing w:after="0"/>
        <w:ind w:left="709" w:hanging="709"/>
        <w:jc w:val="both"/>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Dokładniejsze dane na temat liczby wniosków dotyczących różnych kategorii celów w latach 2017-2019 podano w sekcji 2.7 dokumentu roboczego służb Komisji.</w:t>
      </w:r>
    </w:p>
  </w:footnote>
  <w:footnote w:id="23">
    <w:p>
      <w:pPr>
        <w:pStyle w:val="FootnoteText"/>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t>
      </w:r>
      <w:r>
        <w:tab/>
      </w:r>
      <w:r>
        <w:rPr>
          <w:rFonts w:ascii="Times New Roman" w:hAnsi="Times New Roman"/>
          <w:sz w:val="20"/>
        </w:rPr>
        <w:t>Zob. również tabela w dokumencie roboczym służb Komisji, sekcja 2.8.</w:t>
      </w:r>
    </w:p>
  </w:footnote>
  <w:footnote w:id="24">
    <w:p>
      <w:pPr>
        <w:pStyle w:val="FootnoteText"/>
        <w:spacing w:after="0"/>
        <w:ind w:left="680" w:hanging="680"/>
        <w:jc w:val="both"/>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t>
      </w:r>
      <w:r>
        <w:tab/>
      </w:r>
      <w:r>
        <w:rPr>
          <w:rFonts w:ascii="Times New Roman" w:hAnsi="Times New Roman"/>
          <w:sz w:val="20"/>
        </w:rPr>
        <w:t>Rozporządzenie 2019/816/UE ustanawiające ECRIS-TCN, Dz.U. L 135 z 22.5.2019, s. 1; dyrektywa 2019/884/UE zmieniająca decyzję ramową Rady 2009/315/WSiSW, Dz.U. L 151 z 7.6.2019, s. 143.</w:t>
      </w:r>
    </w:p>
  </w:footnote>
  <w:footnote w:id="25">
    <w:p>
      <w:pPr>
        <w:pStyle w:val="FootnoteText"/>
        <w:ind w:left="709" w:hanging="709"/>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t>
      </w:r>
      <w:r>
        <w:tab/>
      </w:r>
      <w:r>
        <w:rPr>
          <w:rFonts w:ascii="Times New Roman" w:hAnsi="Times New Roman"/>
          <w:sz w:val="20"/>
        </w:rPr>
        <w:t>Zob. przypis 9. Zob. również tabela w dokumencie roboczym służb Komisji, sekcja 2.9.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527B5"/>
    <w:multiLevelType w:val="hybridMultilevel"/>
    <w:tmpl w:val="587E3CAE"/>
    <w:lvl w:ilvl="0" w:tplc="147079E8">
      <w:start w:val="1"/>
      <w:numFmt w:val="bullet"/>
      <w:pStyle w:val="Listbullet2cm"/>
      <w:lvlText w:val=""/>
      <w:lvlJc w:val="left"/>
      <w:pPr>
        <w:tabs>
          <w:tab w:val="num" w:pos="1494"/>
        </w:tabs>
        <w:ind w:left="1474" w:hanging="340"/>
      </w:pPr>
      <w:rPr>
        <w:rFonts w:ascii="Symbol" w:hAnsi="Symbol" w:hint="default"/>
        <w:sz w:val="20"/>
      </w:rPr>
    </w:lvl>
    <w:lvl w:ilvl="1" w:tplc="2752F458">
      <w:start w:val="1"/>
      <w:numFmt w:val="bullet"/>
      <w:pStyle w:val="Listbullet2cm"/>
      <w:lvlText w:val=""/>
      <w:lvlJc w:val="left"/>
      <w:pPr>
        <w:tabs>
          <w:tab w:val="num" w:pos="1440"/>
        </w:tabs>
        <w:ind w:left="1420" w:hanging="340"/>
      </w:pPr>
      <w:rPr>
        <w:rFonts w:ascii="Symbol" w:hAnsi="Symbol" w:hint="default"/>
      </w:rPr>
    </w:lvl>
    <w:lvl w:ilvl="2" w:tplc="53A40F5C" w:tentative="1">
      <w:start w:val="1"/>
      <w:numFmt w:val="bullet"/>
      <w:lvlText w:val=""/>
      <w:lvlJc w:val="left"/>
      <w:pPr>
        <w:tabs>
          <w:tab w:val="num" w:pos="2160"/>
        </w:tabs>
        <w:ind w:left="2160" w:hanging="360"/>
      </w:pPr>
      <w:rPr>
        <w:rFonts w:ascii="Wingdings" w:hAnsi="Wingdings" w:hint="default"/>
      </w:rPr>
    </w:lvl>
    <w:lvl w:ilvl="3" w:tplc="7A2C8FDE" w:tentative="1">
      <w:start w:val="1"/>
      <w:numFmt w:val="bullet"/>
      <w:lvlText w:val=""/>
      <w:lvlJc w:val="left"/>
      <w:pPr>
        <w:tabs>
          <w:tab w:val="num" w:pos="2880"/>
        </w:tabs>
        <w:ind w:left="2880" w:hanging="360"/>
      </w:pPr>
      <w:rPr>
        <w:rFonts w:ascii="Symbol" w:hAnsi="Symbol" w:hint="default"/>
      </w:rPr>
    </w:lvl>
    <w:lvl w:ilvl="4" w:tplc="B874C7CC" w:tentative="1">
      <w:start w:val="1"/>
      <w:numFmt w:val="bullet"/>
      <w:lvlText w:val="o"/>
      <w:lvlJc w:val="left"/>
      <w:pPr>
        <w:tabs>
          <w:tab w:val="num" w:pos="3600"/>
        </w:tabs>
        <w:ind w:left="3600" w:hanging="360"/>
      </w:pPr>
      <w:rPr>
        <w:rFonts w:ascii="Courier New" w:hAnsi="Courier New" w:hint="default"/>
      </w:rPr>
    </w:lvl>
    <w:lvl w:ilvl="5" w:tplc="63D690E6" w:tentative="1">
      <w:start w:val="1"/>
      <w:numFmt w:val="bullet"/>
      <w:lvlText w:val=""/>
      <w:lvlJc w:val="left"/>
      <w:pPr>
        <w:tabs>
          <w:tab w:val="num" w:pos="4320"/>
        </w:tabs>
        <w:ind w:left="4320" w:hanging="360"/>
      </w:pPr>
      <w:rPr>
        <w:rFonts w:ascii="Wingdings" w:hAnsi="Wingdings" w:hint="default"/>
      </w:rPr>
    </w:lvl>
    <w:lvl w:ilvl="6" w:tplc="2D3E0C88" w:tentative="1">
      <w:start w:val="1"/>
      <w:numFmt w:val="bullet"/>
      <w:lvlText w:val=""/>
      <w:lvlJc w:val="left"/>
      <w:pPr>
        <w:tabs>
          <w:tab w:val="num" w:pos="5040"/>
        </w:tabs>
        <w:ind w:left="5040" w:hanging="360"/>
      </w:pPr>
      <w:rPr>
        <w:rFonts w:ascii="Symbol" w:hAnsi="Symbol" w:hint="default"/>
      </w:rPr>
    </w:lvl>
    <w:lvl w:ilvl="7" w:tplc="0AEC5C3E" w:tentative="1">
      <w:start w:val="1"/>
      <w:numFmt w:val="bullet"/>
      <w:lvlText w:val="o"/>
      <w:lvlJc w:val="left"/>
      <w:pPr>
        <w:tabs>
          <w:tab w:val="num" w:pos="5760"/>
        </w:tabs>
        <w:ind w:left="5760" w:hanging="360"/>
      </w:pPr>
      <w:rPr>
        <w:rFonts w:ascii="Courier New" w:hAnsi="Courier New" w:hint="default"/>
      </w:rPr>
    </w:lvl>
    <w:lvl w:ilvl="8" w:tplc="180A8BE6" w:tentative="1">
      <w:start w:val="1"/>
      <w:numFmt w:val="bullet"/>
      <w:lvlText w:val=""/>
      <w:lvlJc w:val="left"/>
      <w:pPr>
        <w:tabs>
          <w:tab w:val="num" w:pos="6480"/>
        </w:tabs>
        <w:ind w:left="6480" w:hanging="360"/>
      </w:pPr>
      <w:rPr>
        <w:rFonts w:ascii="Wingdings" w:hAnsi="Wingdings" w:hint="default"/>
      </w:rPr>
    </w:lvl>
  </w:abstractNum>
  <w:abstractNum w:abstractNumId="1">
    <w:nsid w:val="01A431A5"/>
    <w:multiLevelType w:val="singleLevel"/>
    <w:tmpl w:val="FCDAD016"/>
    <w:lvl w:ilvl="0">
      <w:start w:val="1"/>
      <w:numFmt w:val="bullet"/>
      <w:pStyle w:val="ListBullet1"/>
      <w:lvlText w:val=""/>
      <w:lvlJc w:val="left"/>
      <w:pPr>
        <w:tabs>
          <w:tab w:val="num" w:pos="360"/>
        </w:tabs>
        <w:ind w:left="360" w:hanging="360"/>
      </w:pPr>
      <w:rPr>
        <w:rFonts w:ascii="Wingdings" w:hAnsi="Wingdings" w:hint="default"/>
      </w:rPr>
    </w:lvl>
  </w:abstractNum>
  <w:abstractNum w:abstractNumId="2">
    <w:nsid w:val="061C00CF"/>
    <w:multiLevelType w:val="hybridMultilevel"/>
    <w:tmpl w:val="ABCAFF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BF20208"/>
    <w:multiLevelType w:val="singleLevel"/>
    <w:tmpl w:val="B5AC3962"/>
    <w:lvl w:ilvl="0">
      <w:start w:val="1"/>
      <w:numFmt w:val="bullet"/>
      <w:pStyle w:val="Bullet"/>
      <w:lvlText w:val=""/>
      <w:lvlJc w:val="left"/>
      <w:pPr>
        <w:tabs>
          <w:tab w:val="num" w:pos="360"/>
        </w:tabs>
        <w:ind w:left="360" w:hanging="360"/>
      </w:pPr>
      <w:rPr>
        <w:rFonts w:ascii="Symbol" w:hAnsi="Symbol" w:hint="default"/>
      </w:rPr>
    </w:lvl>
  </w:abstractNum>
  <w:abstractNum w:abstractNumId="4">
    <w:nsid w:val="0CD14F8D"/>
    <w:multiLevelType w:val="hybridMultilevel"/>
    <w:tmpl w:val="21ECA3CA"/>
    <w:lvl w:ilvl="0" w:tplc="08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0EA86DCF"/>
    <w:multiLevelType w:val="hybridMultilevel"/>
    <w:tmpl w:val="023E7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D3773A"/>
    <w:multiLevelType w:val="singleLevel"/>
    <w:tmpl w:val="18CA76E8"/>
    <w:lvl w:ilvl="0">
      <w:start w:val="1"/>
      <w:numFmt w:val="bullet"/>
      <w:pStyle w:val="TaBult1"/>
      <w:lvlText w:val=""/>
      <w:lvlJc w:val="left"/>
      <w:pPr>
        <w:tabs>
          <w:tab w:val="num" w:pos="360"/>
        </w:tabs>
        <w:ind w:left="360" w:hanging="360"/>
      </w:pPr>
      <w:rPr>
        <w:rFonts w:ascii="Wingdings" w:hAnsi="Wingdings" w:hint="default"/>
      </w:rPr>
    </w:lvl>
  </w:abstractNum>
  <w:abstractNum w:abstractNumId="7">
    <w:nsid w:val="20231E57"/>
    <w:multiLevelType w:val="singleLevel"/>
    <w:tmpl w:val="B5E20F18"/>
    <w:lvl w:ilvl="0">
      <w:start w:val="1"/>
      <w:numFmt w:val="bullet"/>
      <w:pStyle w:val="Bullet1"/>
      <w:lvlText w:val=""/>
      <w:lvlJc w:val="left"/>
      <w:pPr>
        <w:tabs>
          <w:tab w:val="num" w:pos="360"/>
        </w:tabs>
        <w:ind w:left="360" w:hanging="360"/>
      </w:pPr>
      <w:rPr>
        <w:rFonts w:ascii="Symbol" w:hAnsi="Symbol" w:hint="default"/>
      </w:rPr>
    </w:lvl>
  </w:abstractNum>
  <w:abstractNum w:abstractNumId="8">
    <w:nsid w:val="22E44180"/>
    <w:multiLevelType w:val="multilevel"/>
    <w:tmpl w:val="6C90453A"/>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3CF01AE"/>
    <w:multiLevelType w:val="multilevel"/>
    <w:tmpl w:val="1E66B5CC"/>
    <w:lvl w:ilvl="0">
      <w:start w:val="1"/>
      <w:numFmt w:val="bullet"/>
      <w:pStyle w:val="List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2B75631B"/>
    <w:multiLevelType w:val="singleLevel"/>
    <w:tmpl w:val="D1F2C4D8"/>
    <w:lvl w:ilvl="0">
      <w:start w:val="1"/>
      <w:numFmt w:val="bullet"/>
      <w:pStyle w:val="ListNumber"/>
      <w:lvlText w:val=""/>
      <w:lvlJc w:val="left"/>
      <w:pPr>
        <w:tabs>
          <w:tab w:val="num" w:pos="765"/>
        </w:tabs>
        <w:ind w:left="765" w:hanging="283"/>
      </w:pPr>
      <w:rPr>
        <w:rFonts w:ascii="Symbol" w:hAnsi="Symbol"/>
      </w:rPr>
    </w:lvl>
  </w:abstractNum>
  <w:abstractNum w:abstractNumId="11">
    <w:nsid w:val="2CD40552"/>
    <w:multiLevelType w:val="hybridMultilevel"/>
    <w:tmpl w:val="726CF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EED044C"/>
    <w:multiLevelType w:val="hybridMultilevel"/>
    <w:tmpl w:val="279E5052"/>
    <w:lvl w:ilvl="0" w:tplc="0809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F144D28"/>
    <w:multiLevelType w:val="singleLevel"/>
    <w:tmpl w:val="6DC45E2C"/>
    <w:lvl w:ilvl="0">
      <w:start w:val="1"/>
      <w:numFmt w:val="bullet"/>
      <w:pStyle w:val="Bullet10"/>
      <w:lvlText w:val=""/>
      <w:lvlJc w:val="left"/>
      <w:pPr>
        <w:tabs>
          <w:tab w:val="num" w:pos="360"/>
        </w:tabs>
        <w:ind w:left="360" w:hanging="360"/>
      </w:pPr>
      <w:rPr>
        <w:rFonts w:ascii="Symbol" w:hAnsi="Symbol" w:hint="default"/>
      </w:rPr>
    </w:lvl>
  </w:abstractNum>
  <w:abstractNum w:abstractNumId="14">
    <w:nsid w:val="3C914D61"/>
    <w:multiLevelType w:val="singleLevel"/>
    <w:tmpl w:val="C2F6FA2A"/>
    <w:lvl w:ilvl="0">
      <w:start w:val="1"/>
      <w:numFmt w:val="decimal"/>
      <w:pStyle w:val="Listnumber2cm"/>
      <w:lvlText w:val="%1"/>
      <w:lvlJc w:val="left"/>
      <w:pPr>
        <w:tabs>
          <w:tab w:val="num" w:pos="1701"/>
        </w:tabs>
        <w:ind w:left="1701" w:hanging="567"/>
      </w:pPr>
      <w:rPr>
        <w:rFonts w:hint="default"/>
      </w:rPr>
    </w:lvl>
  </w:abstractNum>
  <w:abstractNum w:abstractNumId="15">
    <w:nsid w:val="3E503334"/>
    <w:multiLevelType w:val="hybridMultilevel"/>
    <w:tmpl w:val="8744AD0A"/>
    <w:lvl w:ilvl="0" w:tplc="080C0001">
      <w:start w:val="1"/>
      <w:numFmt w:val="bullet"/>
      <w:lvlText w:val=""/>
      <w:lvlJc w:val="left"/>
      <w:pPr>
        <w:ind w:left="643" w:hanging="360"/>
      </w:pPr>
      <w:rPr>
        <w:rFonts w:ascii="Symbol" w:hAnsi="Symbol" w:hint="default"/>
        <w:b w:val="0"/>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6">
    <w:nsid w:val="40A83CEA"/>
    <w:multiLevelType w:val="hybridMultilevel"/>
    <w:tmpl w:val="541C3B0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86" w:hanging="360"/>
      </w:pPr>
      <w:rPr>
        <w:rFonts w:ascii="Symbol" w:hAnsi="Symbol"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41260B5C"/>
    <w:multiLevelType w:val="hybridMultilevel"/>
    <w:tmpl w:val="46301692"/>
    <w:lvl w:ilvl="0" w:tplc="08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42544AE5"/>
    <w:multiLevelType w:val="hybridMultilevel"/>
    <w:tmpl w:val="072697CC"/>
    <w:lvl w:ilvl="0" w:tplc="0809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9">
    <w:nsid w:val="44AA7DEB"/>
    <w:multiLevelType w:val="singleLevel"/>
    <w:tmpl w:val="5798E670"/>
    <w:lvl w:ilvl="0">
      <w:start w:val="1"/>
      <w:numFmt w:val="bullet"/>
      <w:pStyle w:val="Puce2"/>
      <w:lvlText w:val=""/>
      <w:lvlJc w:val="left"/>
      <w:pPr>
        <w:tabs>
          <w:tab w:val="num" w:pos="927"/>
        </w:tabs>
        <w:ind w:left="907" w:hanging="340"/>
      </w:pPr>
      <w:rPr>
        <w:rFonts w:ascii="Wingdings" w:hAnsi="Wingdings" w:hint="default"/>
      </w:rPr>
    </w:lvl>
  </w:abstractNum>
  <w:abstractNum w:abstractNumId="20">
    <w:nsid w:val="465D172F"/>
    <w:multiLevelType w:val="multilevel"/>
    <w:tmpl w:val="9CBAF6BE"/>
    <w:lvl w:ilvl="0">
      <w:start w:val="1"/>
      <w:numFmt w:val="decimal"/>
      <w:pStyle w:val="ListNumber1"/>
      <w:lvlText w:val="(%1)"/>
      <w:lvlJc w:val="left"/>
      <w:pPr>
        <w:tabs>
          <w:tab w:val="num" w:pos="1191"/>
        </w:tabs>
        <w:ind w:left="1191" w:hanging="709"/>
      </w:pPr>
      <w:rPr>
        <w:rFonts w:hint="default"/>
      </w:rPr>
    </w:lvl>
    <w:lvl w:ilvl="1">
      <w:start w:val="1"/>
      <w:numFmt w:val="lowerLetter"/>
      <w:pStyle w:val="ListNumber1Level2"/>
      <w:lvlText w:val="(%2)"/>
      <w:lvlJc w:val="left"/>
      <w:pPr>
        <w:tabs>
          <w:tab w:val="num" w:pos="1899"/>
        </w:tabs>
        <w:ind w:left="1899" w:hanging="708"/>
      </w:pPr>
      <w:rPr>
        <w:rFonts w:hint="default"/>
      </w:rPr>
    </w:lvl>
    <w:lvl w:ilvl="2">
      <w:start w:val="1"/>
      <w:numFmt w:val="bullet"/>
      <w:pStyle w:val="ListNumber1Level3"/>
      <w:lvlText w:val="–"/>
      <w:lvlJc w:val="left"/>
      <w:pPr>
        <w:tabs>
          <w:tab w:val="num" w:pos="2608"/>
        </w:tabs>
        <w:ind w:left="2608" w:hanging="709"/>
      </w:pPr>
      <w:rPr>
        <w:rFonts w:ascii="Times New Roman" w:hAnsi="Times New Roman" w:hint="default"/>
      </w:rPr>
    </w:lvl>
    <w:lvl w:ilvl="3">
      <w:start w:val="1"/>
      <w:numFmt w:val="bullet"/>
      <w:pStyle w:val="ListNumber1Level4"/>
      <w:lvlText w:val=""/>
      <w:lvlJc w:val="left"/>
      <w:pPr>
        <w:tabs>
          <w:tab w:val="num" w:pos="3317"/>
        </w:tabs>
        <w:ind w:left="3317"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4C3B30B9"/>
    <w:multiLevelType w:val="hybridMultilevel"/>
    <w:tmpl w:val="AD448F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EF12FAC"/>
    <w:multiLevelType w:val="hybridMultilevel"/>
    <w:tmpl w:val="DA3CDF7E"/>
    <w:lvl w:ilvl="0" w:tplc="E06C52E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2195C26"/>
    <w:multiLevelType w:val="singleLevel"/>
    <w:tmpl w:val="2A2099E6"/>
    <w:lvl w:ilvl="0">
      <w:start w:val="1"/>
      <w:numFmt w:val="bullet"/>
      <w:pStyle w:val="Lista"/>
      <w:lvlText w:val=""/>
      <w:lvlJc w:val="left"/>
      <w:pPr>
        <w:tabs>
          <w:tab w:val="num" w:pos="360"/>
        </w:tabs>
        <w:ind w:left="360" w:hanging="360"/>
      </w:pPr>
      <w:rPr>
        <w:rFonts w:ascii="Symbol" w:hAnsi="Symbol" w:hint="default"/>
      </w:rPr>
    </w:lvl>
  </w:abstractNum>
  <w:abstractNum w:abstractNumId="24">
    <w:nsid w:val="5687478B"/>
    <w:multiLevelType w:val="hybridMultilevel"/>
    <w:tmpl w:val="DF9CF0A4"/>
    <w:lvl w:ilvl="0" w:tplc="0809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5">
    <w:nsid w:val="5BB02CEE"/>
    <w:multiLevelType w:val="hybridMultilevel"/>
    <w:tmpl w:val="A478F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5EA11F0"/>
    <w:multiLevelType w:val="hybridMultilevel"/>
    <w:tmpl w:val="16D07B52"/>
    <w:lvl w:ilvl="0" w:tplc="E898B9B8">
      <w:start w:val="1"/>
      <w:numFmt w:val="bullet"/>
      <w:pStyle w:val="Listbullet1cm"/>
      <w:lvlText w:val=""/>
      <w:lvlJc w:val="left"/>
      <w:pPr>
        <w:tabs>
          <w:tab w:val="num" w:pos="1647"/>
        </w:tabs>
        <w:ind w:left="1627" w:hanging="340"/>
      </w:pPr>
      <w:rPr>
        <w:rFonts w:ascii="Symbol" w:hAnsi="Symbol" w:hint="default"/>
        <w:sz w:val="20"/>
      </w:rPr>
    </w:lvl>
    <w:lvl w:ilvl="1" w:tplc="387C74FA" w:tentative="1">
      <w:start w:val="1"/>
      <w:numFmt w:val="bullet"/>
      <w:lvlText w:val="o"/>
      <w:lvlJc w:val="left"/>
      <w:pPr>
        <w:tabs>
          <w:tab w:val="num" w:pos="1440"/>
        </w:tabs>
        <w:ind w:left="1440" w:hanging="360"/>
      </w:pPr>
      <w:rPr>
        <w:rFonts w:ascii="Courier New" w:hAnsi="Courier New" w:hint="default"/>
      </w:rPr>
    </w:lvl>
    <w:lvl w:ilvl="2" w:tplc="3B7E9B3E" w:tentative="1">
      <w:start w:val="1"/>
      <w:numFmt w:val="bullet"/>
      <w:lvlText w:val=""/>
      <w:lvlJc w:val="left"/>
      <w:pPr>
        <w:tabs>
          <w:tab w:val="num" w:pos="2160"/>
        </w:tabs>
        <w:ind w:left="2160" w:hanging="360"/>
      </w:pPr>
      <w:rPr>
        <w:rFonts w:ascii="Wingdings" w:hAnsi="Wingdings" w:hint="default"/>
      </w:rPr>
    </w:lvl>
    <w:lvl w:ilvl="3" w:tplc="24345B38" w:tentative="1">
      <w:start w:val="1"/>
      <w:numFmt w:val="bullet"/>
      <w:lvlText w:val=""/>
      <w:lvlJc w:val="left"/>
      <w:pPr>
        <w:tabs>
          <w:tab w:val="num" w:pos="2880"/>
        </w:tabs>
        <w:ind w:left="2880" w:hanging="360"/>
      </w:pPr>
      <w:rPr>
        <w:rFonts w:ascii="Symbol" w:hAnsi="Symbol" w:hint="default"/>
      </w:rPr>
    </w:lvl>
    <w:lvl w:ilvl="4" w:tplc="C8B8E8CC" w:tentative="1">
      <w:start w:val="1"/>
      <w:numFmt w:val="bullet"/>
      <w:lvlText w:val="o"/>
      <w:lvlJc w:val="left"/>
      <w:pPr>
        <w:tabs>
          <w:tab w:val="num" w:pos="3600"/>
        </w:tabs>
        <w:ind w:left="3600" w:hanging="360"/>
      </w:pPr>
      <w:rPr>
        <w:rFonts w:ascii="Courier New" w:hAnsi="Courier New" w:hint="default"/>
      </w:rPr>
    </w:lvl>
    <w:lvl w:ilvl="5" w:tplc="83DABCBE" w:tentative="1">
      <w:start w:val="1"/>
      <w:numFmt w:val="bullet"/>
      <w:lvlText w:val=""/>
      <w:lvlJc w:val="left"/>
      <w:pPr>
        <w:tabs>
          <w:tab w:val="num" w:pos="4320"/>
        </w:tabs>
        <w:ind w:left="4320" w:hanging="360"/>
      </w:pPr>
      <w:rPr>
        <w:rFonts w:ascii="Wingdings" w:hAnsi="Wingdings" w:hint="default"/>
      </w:rPr>
    </w:lvl>
    <w:lvl w:ilvl="6" w:tplc="65D04D92" w:tentative="1">
      <w:start w:val="1"/>
      <w:numFmt w:val="bullet"/>
      <w:lvlText w:val=""/>
      <w:lvlJc w:val="left"/>
      <w:pPr>
        <w:tabs>
          <w:tab w:val="num" w:pos="5040"/>
        </w:tabs>
        <w:ind w:left="5040" w:hanging="360"/>
      </w:pPr>
      <w:rPr>
        <w:rFonts w:ascii="Symbol" w:hAnsi="Symbol" w:hint="default"/>
      </w:rPr>
    </w:lvl>
    <w:lvl w:ilvl="7" w:tplc="476C85D6" w:tentative="1">
      <w:start w:val="1"/>
      <w:numFmt w:val="bullet"/>
      <w:lvlText w:val="o"/>
      <w:lvlJc w:val="left"/>
      <w:pPr>
        <w:tabs>
          <w:tab w:val="num" w:pos="5760"/>
        </w:tabs>
        <w:ind w:left="5760" w:hanging="360"/>
      </w:pPr>
      <w:rPr>
        <w:rFonts w:ascii="Courier New" w:hAnsi="Courier New" w:hint="default"/>
      </w:rPr>
    </w:lvl>
    <w:lvl w:ilvl="8" w:tplc="DF8A4592" w:tentative="1">
      <w:start w:val="1"/>
      <w:numFmt w:val="bullet"/>
      <w:lvlText w:val=""/>
      <w:lvlJc w:val="left"/>
      <w:pPr>
        <w:tabs>
          <w:tab w:val="num" w:pos="6480"/>
        </w:tabs>
        <w:ind w:left="6480" w:hanging="360"/>
      </w:pPr>
      <w:rPr>
        <w:rFonts w:ascii="Wingdings" w:hAnsi="Wingdings" w:hint="default"/>
      </w:rPr>
    </w:lvl>
  </w:abstractNum>
  <w:abstractNum w:abstractNumId="27">
    <w:nsid w:val="662B5C67"/>
    <w:multiLevelType w:val="singleLevel"/>
    <w:tmpl w:val="8F10F890"/>
    <w:lvl w:ilvl="0">
      <w:start w:val="1"/>
      <w:numFmt w:val="bullet"/>
      <w:pStyle w:val="BodyTextIndent"/>
      <w:lvlText w:val="–"/>
      <w:lvlJc w:val="left"/>
      <w:pPr>
        <w:tabs>
          <w:tab w:val="num" w:pos="283"/>
        </w:tabs>
        <w:ind w:left="283" w:hanging="283"/>
      </w:pPr>
      <w:rPr>
        <w:rFonts w:ascii="Times New Roman" w:hAnsi="Times New Roman"/>
      </w:rPr>
    </w:lvl>
  </w:abstractNum>
  <w:abstractNum w:abstractNumId="28">
    <w:nsid w:val="66C02E3F"/>
    <w:multiLevelType w:val="hybridMultilevel"/>
    <w:tmpl w:val="91B0992A"/>
    <w:lvl w:ilvl="0" w:tplc="BE84792A">
      <w:start w:val="1"/>
      <w:numFmt w:val="decimal"/>
      <w:lvlText w:val="%1."/>
      <w:lvlJc w:val="left"/>
      <w:pPr>
        <w:tabs>
          <w:tab w:val="num" w:pos="720"/>
        </w:tabs>
        <w:ind w:left="720" w:hanging="360"/>
      </w:pPr>
    </w:lvl>
    <w:lvl w:ilvl="1" w:tplc="AB4ADF3A">
      <w:start w:val="1"/>
      <w:numFmt w:val="bullet"/>
      <w:pStyle w:val="TableBullet"/>
      <w:lvlText w:val=""/>
      <w:lvlJc w:val="left"/>
      <w:pPr>
        <w:tabs>
          <w:tab w:val="num" w:pos="1440"/>
        </w:tabs>
        <w:ind w:left="1420" w:hanging="340"/>
      </w:pPr>
      <w:rPr>
        <w:rFonts w:ascii="Symbol" w:hAnsi="Symbol" w:hint="default"/>
      </w:rPr>
    </w:lvl>
    <w:lvl w:ilvl="2" w:tplc="728012D0">
      <w:start w:val="1"/>
      <w:numFmt w:val="lowerRoman"/>
      <w:lvlText w:val="%3."/>
      <w:lvlJc w:val="right"/>
      <w:pPr>
        <w:tabs>
          <w:tab w:val="num" w:pos="2160"/>
        </w:tabs>
        <w:ind w:left="2160" w:hanging="180"/>
      </w:pPr>
    </w:lvl>
    <w:lvl w:ilvl="3" w:tplc="188E441A" w:tentative="1">
      <w:start w:val="1"/>
      <w:numFmt w:val="decimal"/>
      <w:lvlText w:val="%4."/>
      <w:lvlJc w:val="left"/>
      <w:pPr>
        <w:tabs>
          <w:tab w:val="num" w:pos="2880"/>
        </w:tabs>
        <w:ind w:left="2880" w:hanging="360"/>
      </w:pPr>
    </w:lvl>
    <w:lvl w:ilvl="4" w:tplc="FD262742" w:tentative="1">
      <w:start w:val="1"/>
      <w:numFmt w:val="lowerLetter"/>
      <w:lvlText w:val="%5."/>
      <w:lvlJc w:val="left"/>
      <w:pPr>
        <w:tabs>
          <w:tab w:val="num" w:pos="3600"/>
        </w:tabs>
        <w:ind w:left="3600" w:hanging="360"/>
      </w:pPr>
    </w:lvl>
    <w:lvl w:ilvl="5" w:tplc="77C2C0B4" w:tentative="1">
      <w:start w:val="1"/>
      <w:numFmt w:val="lowerRoman"/>
      <w:lvlText w:val="%6."/>
      <w:lvlJc w:val="right"/>
      <w:pPr>
        <w:tabs>
          <w:tab w:val="num" w:pos="4320"/>
        </w:tabs>
        <w:ind w:left="4320" w:hanging="180"/>
      </w:pPr>
    </w:lvl>
    <w:lvl w:ilvl="6" w:tplc="38D81E78" w:tentative="1">
      <w:start w:val="1"/>
      <w:numFmt w:val="decimal"/>
      <w:lvlText w:val="%7."/>
      <w:lvlJc w:val="left"/>
      <w:pPr>
        <w:tabs>
          <w:tab w:val="num" w:pos="5040"/>
        </w:tabs>
        <w:ind w:left="5040" w:hanging="360"/>
      </w:pPr>
    </w:lvl>
    <w:lvl w:ilvl="7" w:tplc="20EC8814" w:tentative="1">
      <w:start w:val="1"/>
      <w:numFmt w:val="lowerLetter"/>
      <w:lvlText w:val="%8."/>
      <w:lvlJc w:val="left"/>
      <w:pPr>
        <w:tabs>
          <w:tab w:val="num" w:pos="5760"/>
        </w:tabs>
        <w:ind w:left="5760" w:hanging="360"/>
      </w:pPr>
    </w:lvl>
    <w:lvl w:ilvl="8" w:tplc="EF3C8C46" w:tentative="1">
      <w:start w:val="1"/>
      <w:numFmt w:val="lowerRoman"/>
      <w:lvlText w:val="%9."/>
      <w:lvlJc w:val="right"/>
      <w:pPr>
        <w:tabs>
          <w:tab w:val="num" w:pos="6480"/>
        </w:tabs>
        <w:ind w:left="6480" w:hanging="180"/>
      </w:pPr>
    </w:lvl>
  </w:abstractNum>
  <w:abstractNum w:abstractNumId="29">
    <w:nsid w:val="67381CEE"/>
    <w:multiLevelType w:val="hybridMultilevel"/>
    <w:tmpl w:val="BAF01B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858419E"/>
    <w:multiLevelType w:val="multilevel"/>
    <w:tmpl w:val="DDD0F768"/>
    <w:lvl w:ilvl="0">
      <w:start w:val="1"/>
      <w:numFmt w:val="bullet"/>
      <w:pStyle w:val="SteriaBullet"/>
      <w:lvlText w:val=""/>
      <w:lvlJc w:val="left"/>
      <w:pPr>
        <w:tabs>
          <w:tab w:val="num" w:pos="4235"/>
        </w:tabs>
        <w:ind w:left="4235" w:hanging="360"/>
      </w:pPr>
      <w:rPr>
        <w:rFonts w:ascii="Wingdings" w:hAnsi="Wingdings" w:hint="default"/>
        <w:color w:val="FF5900"/>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nsid w:val="6AE4708B"/>
    <w:multiLevelType w:val="hybridMultilevel"/>
    <w:tmpl w:val="9654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D6764EE"/>
    <w:multiLevelType w:val="multilevel"/>
    <w:tmpl w:val="590CAE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3130"/>
        </w:tabs>
        <w:ind w:left="3130" w:hanging="720"/>
      </w:pPr>
    </w:lvl>
    <w:lvl w:ilvl="3">
      <w:start w:val="1"/>
      <w:numFmt w:val="decimal"/>
      <w:pStyle w:val="Heading4"/>
      <w:lvlText w:val="%1.%2.%3.%4"/>
      <w:lvlJc w:val="left"/>
      <w:pPr>
        <w:tabs>
          <w:tab w:val="num" w:pos="3842"/>
        </w:tabs>
        <w:ind w:left="3842" w:hanging="864"/>
      </w:pPr>
    </w:lvl>
    <w:lvl w:ilvl="4">
      <w:start w:val="1"/>
      <w:numFmt w:val="decimal"/>
      <w:pStyle w:val="Heading5"/>
      <w:lvlText w:val="%1.%2.%3.%4.%5"/>
      <w:lvlJc w:val="left"/>
      <w:pPr>
        <w:tabs>
          <w:tab w:val="num" w:pos="4269"/>
        </w:tabs>
        <w:ind w:left="4269"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3">
    <w:nsid w:val="74A06403"/>
    <w:multiLevelType w:val="hybridMultilevel"/>
    <w:tmpl w:val="9F4A8AF2"/>
    <w:lvl w:ilvl="0" w:tplc="DC7AC5D2">
      <w:start w:val="1"/>
      <w:numFmt w:val="decimal"/>
      <w:pStyle w:val="Listnumber1cm"/>
      <w:lvlText w:val="%1"/>
      <w:lvlJc w:val="left"/>
      <w:pPr>
        <w:tabs>
          <w:tab w:val="num" w:pos="927"/>
        </w:tabs>
        <w:ind w:left="851" w:hanging="284"/>
      </w:pPr>
      <w:rPr>
        <w:rFonts w:hint="default"/>
      </w:rPr>
    </w:lvl>
    <w:lvl w:ilvl="1" w:tplc="AFFCEF48" w:tentative="1">
      <w:start w:val="1"/>
      <w:numFmt w:val="lowerLetter"/>
      <w:lvlText w:val="%2."/>
      <w:lvlJc w:val="left"/>
      <w:pPr>
        <w:tabs>
          <w:tab w:val="num" w:pos="1440"/>
        </w:tabs>
        <w:ind w:left="1440" w:hanging="360"/>
      </w:pPr>
    </w:lvl>
    <w:lvl w:ilvl="2" w:tplc="279CE068" w:tentative="1">
      <w:start w:val="1"/>
      <w:numFmt w:val="lowerRoman"/>
      <w:lvlText w:val="%3."/>
      <w:lvlJc w:val="right"/>
      <w:pPr>
        <w:tabs>
          <w:tab w:val="num" w:pos="2160"/>
        </w:tabs>
        <w:ind w:left="2160" w:hanging="180"/>
      </w:pPr>
    </w:lvl>
    <w:lvl w:ilvl="3" w:tplc="BA000492" w:tentative="1">
      <w:start w:val="1"/>
      <w:numFmt w:val="decimal"/>
      <w:lvlText w:val="%4."/>
      <w:lvlJc w:val="left"/>
      <w:pPr>
        <w:tabs>
          <w:tab w:val="num" w:pos="2880"/>
        </w:tabs>
        <w:ind w:left="2880" w:hanging="360"/>
      </w:pPr>
    </w:lvl>
    <w:lvl w:ilvl="4" w:tplc="A1E8A902" w:tentative="1">
      <w:start w:val="1"/>
      <w:numFmt w:val="lowerLetter"/>
      <w:lvlText w:val="%5."/>
      <w:lvlJc w:val="left"/>
      <w:pPr>
        <w:tabs>
          <w:tab w:val="num" w:pos="3600"/>
        </w:tabs>
        <w:ind w:left="3600" w:hanging="360"/>
      </w:pPr>
    </w:lvl>
    <w:lvl w:ilvl="5" w:tplc="4D2E328A" w:tentative="1">
      <w:start w:val="1"/>
      <w:numFmt w:val="lowerRoman"/>
      <w:lvlText w:val="%6."/>
      <w:lvlJc w:val="right"/>
      <w:pPr>
        <w:tabs>
          <w:tab w:val="num" w:pos="4320"/>
        </w:tabs>
        <w:ind w:left="4320" w:hanging="180"/>
      </w:pPr>
    </w:lvl>
    <w:lvl w:ilvl="6" w:tplc="27E29162" w:tentative="1">
      <w:start w:val="1"/>
      <w:numFmt w:val="decimal"/>
      <w:lvlText w:val="%7."/>
      <w:lvlJc w:val="left"/>
      <w:pPr>
        <w:tabs>
          <w:tab w:val="num" w:pos="5040"/>
        </w:tabs>
        <w:ind w:left="5040" w:hanging="360"/>
      </w:pPr>
    </w:lvl>
    <w:lvl w:ilvl="7" w:tplc="D1B82ED0" w:tentative="1">
      <w:start w:val="1"/>
      <w:numFmt w:val="lowerLetter"/>
      <w:lvlText w:val="%8."/>
      <w:lvlJc w:val="left"/>
      <w:pPr>
        <w:tabs>
          <w:tab w:val="num" w:pos="5760"/>
        </w:tabs>
        <w:ind w:left="5760" w:hanging="360"/>
      </w:pPr>
    </w:lvl>
    <w:lvl w:ilvl="8" w:tplc="2C0A0A6A" w:tentative="1">
      <w:start w:val="1"/>
      <w:numFmt w:val="lowerRoman"/>
      <w:lvlText w:val="%9."/>
      <w:lvlJc w:val="right"/>
      <w:pPr>
        <w:tabs>
          <w:tab w:val="num" w:pos="6480"/>
        </w:tabs>
        <w:ind w:left="6480" w:hanging="180"/>
      </w:pPr>
    </w:lvl>
  </w:abstractNum>
  <w:abstractNum w:abstractNumId="34">
    <w:nsid w:val="7EE31169"/>
    <w:multiLevelType w:val="hybridMultilevel"/>
    <w:tmpl w:val="29BED7C2"/>
    <w:lvl w:ilvl="0" w:tplc="E06C52E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2"/>
  </w:num>
  <w:num w:numId="2">
    <w:abstractNumId w:val="28"/>
  </w:num>
  <w:num w:numId="3">
    <w:abstractNumId w:val="0"/>
  </w:num>
  <w:num w:numId="4">
    <w:abstractNumId w:val="14"/>
  </w:num>
  <w:num w:numId="5">
    <w:abstractNumId w:val="26"/>
  </w:num>
  <w:num w:numId="6">
    <w:abstractNumId w:val="33"/>
  </w:num>
  <w:num w:numId="7">
    <w:abstractNumId w:val="20"/>
  </w:num>
  <w:num w:numId="8">
    <w:abstractNumId w:val="3"/>
  </w:num>
  <w:num w:numId="9">
    <w:abstractNumId w:val="7"/>
  </w:num>
  <w:num w:numId="10">
    <w:abstractNumId w:val="13"/>
  </w:num>
  <w:num w:numId="11">
    <w:abstractNumId w:val="23"/>
  </w:num>
  <w:num w:numId="12">
    <w:abstractNumId w:val="9"/>
  </w:num>
  <w:num w:numId="13">
    <w:abstractNumId w:val="1"/>
  </w:num>
  <w:num w:numId="14">
    <w:abstractNumId w:val="10"/>
  </w:num>
  <w:num w:numId="15">
    <w:abstractNumId w:val="19"/>
  </w:num>
  <w:num w:numId="16">
    <w:abstractNumId w:val="30"/>
  </w:num>
  <w:num w:numId="17">
    <w:abstractNumId w:val="6"/>
  </w:num>
  <w:num w:numId="18">
    <w:abstractNumId w:val="27"/>
  </w:num>
  <w:num w:numId="19">
    <w:abstractNumId w:val="11"/>
  </w:num>
  <w:num w:numId="20">
    <w:abstractNumId w:val="31"/>
  </w:num>
  <w:num w:numId="21">
    <w:abstractNumId w:val="8"/>
  </w:num>
  <w:num w:numId="22">
    <w:abstractNumId w:val="21"/>
  </w:num>
  <w:num w:numId="23">
    <w:abstractNumId w:val="32"/>
  </w:num>
  <w:num w:numId="24">
    <w:abstractNumId w:val="32"/>
  </w:num>
  <w:num w:numId="25">
    <w:abstractNumId w:val="32"/>
  </w:num>
  <w:num w:numId="26">
    <w:abstractNumId w:val="32"/>
  </w:num>
  <w:num w:numId="27">
    <w:abstractNumId w:val="15"/>
  </w:num>
  <w:num w:numId="28">
    <w:abstractNumId w:val="22"/>
  </w:num>
  <w:num w:numId="29">
    <w:abstractNumId w:val="34"/>
  </w:num>
  <w:num w:numId="30">
    <w:abstractNumId w:val="32"/>
  </w:num>
  <w:num w:numId="31">
    <w:abstractNumId w:val="25"/>
  </w:num>
  <w:num w:numId="32">
    <w:abstractNumId w:val="5"/>
  </w:num>
  <w:num w:numId="33">
    <w:abstractNumId w:val="32"/>
  </w:num>
  <w:num w:numId="34">
    <w:abstractNumId w:val="32"/>
  </w:num>
  <w:num w:numId="35">
    <w:abstractNumId w:val="32"/>
  </w:num>
  <w:num w:numId="36">
    <w:abstractNumId w:val="32"/>
  </w:num>
  <w:num w:numId="37">
    <w:abstractNumId w:val="32"/>
  </w:num>
  <w:num w:numId="38">
    <w:abstractNumId w:val="32"/>
  </w:num>
  <w:num w:numId="39">
    <w:abstractNumId w:val="32"/>
  </w:num>
  <w:num w:numId="40">
    <w:abstractNumId w:val="32"/>
  </w:num>
  <w:num w:numId="41">
    <w:abstractNumId w:val="2"/>
  </w:num>
  <w:num w:numId="42">
    <w:abstractNumId w:val="29"/>
  </w:num>
  <w:num w:numId="43">
    <w:abstractNumId w:val="17"/>
  </w:num>
  <w:num w:numId="44">
    <w:abstractNumId w:val="4"/>
  </w:num>
  <w:num w:numId="45">
    <w:abstractNumId w:val="24"/>
  </w:num>
  <w:num w:numId="46">
    <w:abstractNumId w:val="12"/>
  </w:num>
  <w:num w:numId="47">
    <w:abstractNumId w:val="16"/>
  </w:num>
  <w:num w:numId="48">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593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31C08F68-CB10-45F5-91D9-E058D0F4C645"/>
    <w:docVar w:name="LW_COVERPAGE_TYPE" w:val="1"/>
    <w:docVar w:name="LW_CROSSREFERENCE" w:val="{SWD(2020) 378 final}"/>
    <w:docVar w:name="LW_DocType" w:val="NORMAL"/>
    <w:docVar w:name="LW_EMISSION" w:val="21.12.2020"/>
    <w:docVar w:name="LW_EMISSION_ISODATE" w:val="2020-12-21"/>
    <w:docVar w:name="LW_EMISSION_LOCATION" w:val="BRX"/>
    <w:docVar w:name="LW_EMISSION_PREFIX" w:val="Bruksela, dnia "/>
    <w:docVar w:name="LW_EMISSION_SUFFIX" w:val=" r."/>
    <w:docVar w:name="LW_ID_DOCTYPE_NONLW" w:val="CP-006"/>
    <w:docVar w:name="LW_LANGUE" w:val="PL"/>
    <w:docVar w:name="LW_LEVEL_OF_SENSITIVITY" w:val="Standard treatment"/>
    <w:docVar w:name="LW_NOM.INST" w:val="KOMISJA EUROPEJSKA"/>
    <w:docVar w:name="LW_NOM.INST_JOINTDOC" w:val="&lt;EMPTY&gt;"/>
    <w:docVar w:name="LW_PART_NBR" w:val="1"/>
    <w:docVar w:name="LW_PART_NBR_TOTAL" w:val="1"/>
    <w:docVar w:name="LW_REF.INST.NEW" w:val="COM"/>
    <w:docVar w:name="LW_REF.INST.NEW_ADOPTED" w:val="final"/>
    <w:docVar w:name="LW_REF.INST.NEW_TEXT" w:val="(2020) 77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dotycz\u261?ce wymiany informacji pochodz\u261?cych z rejestrów karnych mi\u281?dzy pa\u324?stwami cz\u322?onkowskimi za po\u347?rednictwem Europejskiego systemu przekazywania informacji z rejestrów karnych (ECRIS)"/>
    <w:docVar w:name="LW_TYPE.DOC.CP" w:val="SPRAWOZDANIE KOMISJI DLA PARLAMENTU EUROPEJSKIEGO I RADY"/>
  </w:docVar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lang w:val="pl-PL"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Default Paragraph Font" w:uiPriority="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pPr>
  </w:style>
  <w:style w:type="paragraph" w:styleId="Heading1">
    <w:name w:val="heading 1"/>
    <w:aliases w:val="t1,TITRE1,heading 1,Titre 11,t1.T1.Titre 1,Titre 1ed,t1.T1.Titre 1Annexe,H1,t1.T1,h1,l1,H,GSA1,Titre 1:,T1,Chapitre 1,1,Level 1,Heading 1 Colored,Chapter title,ch,MIGHeading 1,ch1,Bold 18,CMG H1,NCS-H1,überschrift1,überschrift11,überschrift12"/>
    <w:basedOn w:val="Normal"/>
    <w:next w:val="Normal"/>
    <w:uiPriority w:val="9"/>
    <w:qFormat/>
    <w:pPr>
      <w:keepNext/>
      <w:pageBreakBefore/>
      <w:numPr>
        <w:numId w:val="1"/>
      </w:numPr>
      <w:pBdr>
        <w:bottom w:val="single" w:sz="12" w:space="1" w:color="FF6600"/>
      </w:pBdr>
      <w:spacing w:before="120" w:after="240"/>
      <w:outlineLvl w:val="0"/>
    </w:pPr>
    <w:rPr>
      <w:b/>
      <w:smallCaps/>
      <w:color w:val="000080"/>
      <w:kern w:val="28"/>
      <w:sz w:val="36"/>
    </w:rPr>
  </w:style>
  <w:style w:type="paragraph" w:styleId="Heading2">
    <w:name w:val="heading 2"/>
    <w:aliases w:val="T2,h2,L2,H2,Punt 2,l2,2,Titre 21,t2.T2,t2,Contrat 2,Ctt,t2.T2.Titre 2,TITRE 2,Titre 2ed,Heading 2 Hidden,heading 2,Chapter Number/Appendix Letter,chn,Titre niveau 2,Level 2,Chapitre 2,paragraphe,Titre 2 - RAO,Specf Titre 2,Heading 2a,Header 2"/>
    <w:basedOn w:val="Normal"/>
    <w:next w:val="Normal"/>
    <w:link w:val="Heading2Char"/>
    <w:qFormat/>
    <w:pPr>
      <w:keepNext/>
      <w:numPr>
        <w:ilvl w:val="1"/>
        <w:numId w:val="1"/>
      </w:numPr>
      <w:pBdr>
        <w:bottom w:val="single" w:sz="12" w:space="1" w:color="000080"/>
      </w:pBdr>
      <w:spacing w:before="120"/>
      <w:outlineLvl w:val="1"/>
    </w:pPr>
    <w:rPr>
      <w:b/>
      <w:bCs/>
      <w:smallCaps/>
      <w:color w:val="000080"/>
      <w:sz w:val="32"/>
    </w:rPr>
  </w:style>
  <w:style w:type="paragraph" w:styleId="Heading3">
    <w:name w:val="heading 3"/>
    <w:aliases w:val="3,Titre 31,t3.T3,heading 3,Titre 3+,H3,Titre niveau 3,Titre3,t3,Contrat 3,Titre 3 SQ,Titre 3 SQ1,Titre 3 SQ2,Titre 3 SQ3,Titre 3 SQ4,Titre 3 SQ5,Titre 3 SQ6,Titre 3 SQ7,h3,3rd level,l3,CT,Heading 3 - old,Titre 3 .3,Titre 311,Titre 3 .31,1.2.3."/>
    <w:basedOn w:val="Normal"/>
    <w:next w:val="Normal"/>
    <w:qFormat/>
    <w:pPr>
      <w:keepNext/>
      <w:numPr>
        <w:ilvl w:val="2"/>
        <w:numId w:val="1"/>
      </w:numPr>
      <w:spacing w:before="240" w:after="60"/>
      <w:outlineLvl w:val="2"/>
    </w:pPr>
    <w:rPr>
      <w:b/>
      <w:bCs/>
      <w:smallCaps/>
      <w:color w:val="000080"/>
      <w:sz w:val="28"/>
    </w:rPr>
  </w:style>
  <w:style w:type="paragraph" w:styleId="Heading4">
    <w:name w:val="heading 4"/>
    <w:aliases w:val="4,H4,Titre 41,t4.T4,t4,Chapitre 1.1.1.,Alinéa,dash,h4,Ref Heading 1,rh1,First Subheading,T4,t4.T4.Titre 4,heading 4,l4,I4,(Shift Ctrl 4),Schedules,Heading 4 CFMU"/>
    <w:basedOn w:val="Normal"/>
    <w:next w:val="Normal"/>
    <w:link w:val="Heading4Char"/>
    <w:qFormat/>
    <w:pPr>
      <w:keepNext/>
      <w:numPr>
        <w:ilvl w:val="3"/>
        <w:numId w:val="1"/>
      </w:numPr>
      <w:spacing w:before="240" w:after="60"/>
      <w:outlineLvl w:val="3"/>
    </w:pPr>
    <w:rPr>
      <w:b/>
      <w:smallCaps/>
      <w:color w:val="000080"/>
      <w:sz w:val="24"/>
    </w:rPr>
  </w:style>
  <w:style w:type="paragraph" w:styleId="Heading5">
    <w:name w:val="heading 5"/>
    <w:aliases w:val="H5,Chapitre 1.1.1.1.,Ref Heading 2,rh2,h5,Second Subheading,heading 5,Heading 5 CFMU,Para 5,(Shift Ctrl 5),Appendix A to X,Heading 5   Appendix A to X"/>
    <w:basedOn w:val="Normal"/>
    <w:next w:val="Normal"/>
    <w:qFormat/>
    <w:pPr>
      <w:numPr>
        <w:ilvl w:val="4"/>
        <w:numId w:val="1"/>
      </w:numPr>
      <w:spacing w:before="240" w:after="60"/>
      <w:outlineLvl w:val="4"/>
    </w:pPr>
    <w:rPr>
      <w:b/>
      <w:bCs/>
      <w:smallCaps/>
      <w:color w:val="000080"/>
    </w:rPr>
  </w:style>
  <w:style w:type="paragraph" w:styleId="Heading6">
    <w:name w:val="heading 6"/>
    <w:aliases w:val="6,Heading 6  Appendix Y &amp; Z,h6,Heading 6 CFMU"/>
    <w:basedOn w:val="Normal"/>
    <w:next w:val="Normal"/>
    <w:qFormat/>
    <w:pPr>
      <w:numPr>
        <w:ilvl w:val="5"/>
        <w:numId w:val="1"/>
      </w:numPr>
      <w:spacing w:before="240" w:after="60"/>
      <w:outlineLvl w:val="5"/>
    </w:pPr>
    <w:rPr>
      <w:i/>
      <w:sz w:val="22"/>
    </w:rPr>
  </w:style>
  <w:style w:type="paragraph" w:styleId="Heading7">
    <w:name w:val="heading 7"/>
    <w:aliases w:val="H7,(Shift Ctrl 7),Heading 7 CFMU"/>
    <w:basedOn w:val="Normal"/>
    <w:next w:val="Normal"/>
    <w:qFormat/>
    <w:pPr>
      <w:numPr>
        <w:ilvl w:val="6"/>
        <w:numId w:val="1"/>
      </w:numPr>
      <w:spacing w:before="240" w:after="60"/>
      <w:outlineLvl w:val="6"/>
    </w:pPr>
  </w:style>
  <w:style w:type="paragraph" w:styleId="Heading8">
    <w:name w:val="heading 8"/>
    <w:aliases w:val="Heading 8 CFMU"/>
    <w:basedOn w:val="Normal"/>
    <w:next w:val="Normal"/>
    <w:qFormat/>
    <w:pPr>
      <w:numPr>
        <w:ilvl w:val="7"/>
        <w:numId w:val="1"/>
      </w:numPr>
      <w:spacing w:before="240" w:after="60"/>
      <w:outlineLvl w:val="7"/>
    </w:pPr>
    <w:rPr>
      <w:i/>
    </w:rPr>
  </w:style>
  <w:style w:type="paragraph" w:styleId="Heading9">
    <w:name w:val="heading 9"/>
    <w:aliases w:val="App Heading,Heading 9 CFMU"/>
    <w:basedOn w:val="Normal"/>
    <w:next w:val="Normal"/>
    <w:qFormat/>
    <w:pPr>
      <w:numPr>
        <w:ilvl w:val="8"/>
        <w:numId w:val="1"/>
      </w:numPr>
      <w:spacing w:before="240" w:after="60"/>
      <w:outlineLvl w:val="8"/>
    </w:pPr>
    <w:rPr>
      <w:b/>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5"/>
        <w:tab w:val="right" w:pos="9071"/>
      </w:tabs>
      <w:jc w:val="both"/>
    </w:pPr>
    <w:rPr>
      <w:rFonts w:ascii="Times New Roman" w:eastAsiaTheme="minorHAnsi" w:hAnsi="Times New Roman" w:cs="Times New Roman"/>
      <w:sz w:val="24"/>
      <w:szCs w:val="22"/>
      <w:lang w:eastAsia="en-US"/>
    </w:rPr>
  </w:style>
  <w:style w:type="paragraph" w:customStyle="1" w:styleId="Bullet1">
    <w:name w:val="Bullet 1"/>
    <w:basedOn w:val="Normal"/>
    <w:pPr>
      <w:numPr>
        <w:numId w:val="9"/>
      </w:numPr>
      <w:tabs>
        <w:tab w:val="clear" w:pos="360"/>
        <w:tab w:val="num" w:pos="900"/>
      </w:tabs>
      <w:spacing w:after="0"/>
      <w:ind w:left="900" w:firstLine="0"/>
      <w:jc w:val="both"/>
    </w:pPr>
    <w:rPr>
      <w:sz w:val="22"/>
    </w:rPr>
  </w:style>
  <w:style w:type="paragraph" w:customStyle="1" w:styleId="Listnumber1cm">
    <w:name w:val="List number 1cm"/>
    <w:basedOn w:val="Normal"/>
    <w:pPr>
      <w:numPr>
        <w:numId w:val="6"/>
      </w:numPr>
      <w:tabs>
        <w:tab w:val="clear" w:pos="927"/>
        <w:tab w:val="num" w:pos="360"/>
        <w:tab w:val="left" w:pos="851"/>
      </w:tabs>
      <w:ind w:left="0" w:firstLine="0"/>
    </w:pPr>
  </w:style>
  <w:style w:type="paragraph" w:customStyle="1" w:styleId="Tableheading">
    <w:name w:val="Table heading"/>
    <w:basedOn w:val="Normal"/>
    <w:pPr>
      <w:spacing w:before="120"/>
      <w:jc w:val="center"/>
    </w:pPr>
    <w:rPr>
      <w:b/>
      <w:color w:val="000080"/>
    </w:rPr>
  </w:style>
  <w:style w:type="paragraph" w:customStyle="1" w:styleId="Tabletext">
    <w:name w:val="Table text"/>
    <w:basedOn w:val="Normal"/>
    <w:pPr>
      <w:spacing w:before="60" w:after="60"/>
    </w:pPr>
  </w:style>
  <w:style w:type="paragraph" w:styleId="TOC1">
    <w:name w:val="toc 1"/>
    <w:basedOn w:val="Normal"/>
    <w:next w:val="Normal"/>
    <w:autoRedefine/>
    <w:uiPriority w:val="39"/>
    <w:pPr>
      <w:spacing w:before="120"/>
    </w:pPr>
    <w:rPr>
      <w:b/>
      <w:bCs/>
      <w:caps/>
      <w:szCs w:val="24"/>
    </w:rPr>
  </w:style>
  <w:style w:type="character" w:styleId="Hyperlink">
    <w:name w:val="Hyperlink"/>
    <w:uiPriority w:val="99"/>
    <w:rPr>
      <w:color w:val="0000FF"/>
      <w:u w:val="single"/>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rPr>
      <w:rFonts w:ascii="Times New Roman" w:eastAsiaTheme="minorHAnsi" w:hAnsi="Times New Roman" w:cs="Times New Roman"/>
      <w:sz w:val="24"/>
      <w:szCs w:val="22"/>
      <w:lang w:eastAsia="en-US"/>
    </w:rPr>
  </w:style>
  <w:style w:type="paragraph" w:styleId="Title">
    <w:name w:val="Title"/>
    <w:basedOn w:val="Normal"/>
    <w:next w:val="Normal"/>
    <w:link w:val="TitleChar"/>
    <w:qFormat/>
    <w:pPr>
      <w:keepLines/>
      <w:spacing w:before="480" w:after="480"/>
      <w:jc w:val="center"/>
    </w:pPr>
    <w:rPr>
      <w:b/>
      <w:caps/>
      <w:color w:val="000080"/>
      <w:sz w:val="32"/>
    </w:rPr>
  </w:style>
  <w:style w:type="paragraph" w:styleId="TOC2">
    <w:name w:val="toc 2"/>
    <w:basedOn w:val="Normal"/>
    <w:next w:val="Normal"/>
    <w:autoRedefine/>
    <w:uiPriority w:val="39"/>
    <w:pPr>
      <w:ind w:left="200"/>
    </w:pPr>
    <w:rPr>
      <w:smallCaps/>
      <w:szCs w:val="24"/>
    </w:rPr>
  </w:style>
  <w:style w:type="paragraph" w:styleId="TOC3">
    <w:name w:val="toc 3"/>
    <w:basedOn w:val="Normal"/>
    <w:next w:val="Normal"/>
    <w:autoRedefine/>
    <w:uiPriority w:val="39"/>
    <w:pPr>
      <w:ind w:left="400"/>
    </w:pPr>
    <w:rPr>
      <w:i/>
      <w:iCs/>
      <w:szCs w:val="24"/>
    </w:rPr>
  </w:style>
  <w:style w:type="paragraph" w:styleId="TOC4">
    <w:name w:val="toc 4"/>
    <w:basedOn w:val="Normal"/>
    <w:next w:val="Normal"/>
    <w:autoRedefine/>
    <w:uiPriority w:val="39"/>
    <w:pPr>
      <w:ind w:left="600"/>
    </w:pPr>
    <w:rPr>
      <w:szCs w:val="21"/>
    </w:rPr>
  </w:style>
  <w:style w:type="paragraph" w:styleId="TOC5">
    <w:name w:val="toc 5"/>
    <w:basedOn w:val="Normal"/>
    <w:next w:val="Normal"/>
    <w:autoRedefine/>
    <w:semiHidden/>
    <w:pPr>
      <w:ind w:left="800"/>
    </w:pPr>
    <w:rPr>
      <w:szCs w:val="21"/>
    </w:rPr>
  </w:style>
  <w:style w:type="paragraph" w:styleId="TOC6">
    <w:name w:val="toc 6"/>
    <w:basedOn w:val="Normal"/>
    <w:next w:val="Normal"/>
    <w:autoRedefine/>
    <w:semiHidden/>
    <w:pPr>
      <w:ind w:left="1000"/>
    </w:pPr>
    <w:rPr>
      <w:szCs w:val="21"/>
    </w:rPr>
  </w:style>
  <w:style w:type="paragraph" w:styleId="TOC7">
    <w:name w:val="toc 7"/>
    <w:basedOn w:val="Normal"/>
    <w:next w:val="Normal"/>
    <w:autoRedefine/>
    <w:semiHidden/>
    <w:pPr>
      <w:ind w:left="1200"/>
    </w:pPr>
    <w:rPr>
      <w:szCs w:val="21"/>
    </w:rPr>
  </w:style>
  <w:style w:type="paragraph" w:styleId="TOC8">
    <w:name w:val="toc 8"/>
    <w:basedOn w:val="Normal"/>
    <w:next w:val="Normal"/>
    <w:autoRedefine/>
    <w:semiHidden/>
    <w:pPr>
      <w:ind w:left="1400"/>
    </w:pPr>
    <w:rPr>
      <w:szCs w:val="21"/>
    </w:rPr>
  </w:style>
  <w:style w:type="paragraph" w:styleId="TOC9">
    <w:name w:val="toc 9"/>
    <w:basedOn w:val="Normal"/>
    <w:next w:val="Normal"/>
    <w:autoRedefine/>
    <w:semiHidden/>
    <w:pPr>
      <w:ind w:left="1600"/>
    </w:pPr>
    <w:rPr>
      <w:szCs w:val="21"/>
    </w:rPr>
  </w:style>
  <w:style w:type="paragraph" w:customStyle="1" w:styleId="TableBullet">
    <w:name w:val="Table Bullet"/>
    <w:basedOn w:val="Normal"/>
    <w:pPr>
      <w:numPr>
        <w:ilvl w:val="1"/>
        <w:numId w:val="2"/>
      </w:numPr>
      <w:tabs>
        <w:tab w:val="clear" w:pos="1440"/>
        <w:tab w:val="num" w:pos="128"/>
      </w:tabs>
      <w:ind w:left="128" w:hanging="128"/>
    </w:pPr>
  </w:style>
  <w:style w:type="character" w:styleId="FollowedHyperlink">
    <w:name w:val="FollowedHyperlink"/>
    <w:rPr>
      <w:color w:val="800080"/>
      <w:u w:val="single"/>
    </w:rPr>
  </w:style>
  <w:style w:type="paragraph" w:customStyle="1" w:styleId="Listbullet1cm">
    <w:name w:val="List bullet 1cm"/>
    <w:basedOn w:val="Normal"/>
    <w:pPr>
      <w:numPr>
        <w:numId w:val="5"/>
      </w:numPr>
      <w:tabs>
        <w:tab w:val="clear" w:pos="1647"/>
        <w:tab w:val="num" w:pos="851"/>
      </w:tabs>
      <w:ind w:left="851" w:hanging="284"/>
    </w:pPr>
    <w:rPr>
      <w:rFonts w:eastAsia="MS Mincho"/>
      <w:lang w:eastAsia="ja-JP"/>
    </w:rPr>
  </w:style>
  <w:style w:type="paragraph" w:customStyle="1" w:styleId="Listbullet2cm">
    <w:name w:val="List bullet 2cm"/>
    <w:basedOn w:val="Normal"/>
    <w:pPr>
      <w:numPr>
        <w:numId w:val="3"/>
      </w:numPr>
    </w:pPr>
  </w:style>
  <w:style w:type="paragraph" w:styleId="FootnoteText">
    <w:name w:val="footnote text"/>
    <w:basedOn w:val="Normal"/>
    <w:link w:val="FootnoteTextChar"/>
    <w:semiHidden/>
    <w:rPr>
      <w:sz w:val="16"/>
    </w:rPr>
  </w:style>
  <w:style w:type="character" w:styleId="FootnoteReference">
    <w:name w:val="footnote reference"/>
    <w:semiHidden/>
    <w:rPr>
      <w:vertAlign w:val="superscript"/>
    </w:rPr>
  </w:style>
  <w:style w:type="paragraph" w:customStyle="1" w:styleId="Listnumber2cm">
    <w:name w:val="List number 2cm"/>
    <w:basedOn w:val="Listbullet2cm"/>
    <w:pPr>
      <w:numPr>
        <w:numId w:val="4"/>
      </w:numPr>
      <w:tabs>
        <w:tab w:val="clear" w:pos="1701"/>
        <w:tab w:val="num" w:pos="1418"/>
      </w:tabs>
      <w:ind w:left="1418" w:hanging="284"/>
    </w:pPr>
  </w:style>
  <w:style w:type="paragraph" w:customStyle="1" w:styleId="ListNumber1">
    <w:name w:val="List Number 1"/>
    <w:basedOn w:val="Normal"/>
    <w:pPr>
      <w:numPr>
        <w:numId w:val="7"/>
      </w:numPr>
      <w:spacing w:before="240" w:after="240"/>
      <w:jc w:val="both"/>
    </w:pPr>
    <w:rPr>
      <w:sz w:val="22"/>
    </w:rPr>
  </w:style>
  <w:style w:type="paragraph" w:customStyle="1" w:styleId="ListNumber1Level2">
    <w:name w:val="List Number 1 (Level 2)"/>
    <w:basedOn w:val="Normal"/>
    <w:pPr>
      <w:numPr>
        <w:ilvl w:val="1"/>
        <w:numId w:val="7"/>
      </w:numPr>
      <w:spacing w:after="240"/>
      <w:jc w:val="both"/>
    </w:pPr>
    <w:rPr>
      <w:sz w:val="22"/>
    </w:rPr>
  </w:style>
  <w:style w:type="paragraph" w:customStyle="1" w:styleId="ListNumber1Level3">
    <w:name w:val="List Number 1 (Level 3)"/>
    <w:basedOn w:val="Normal"/>
    <w:pPr>
      <w:numPr>
        <w:ilvl w:val="2"/>
        <w:numId w:val="7"/>
      </w:numPr>
      <w:spacing w:after="240"/>
      <w:jc w:val="both"/>
    </w:pPr>
    <w:rPr>
      <w:sz w:val="22"/>
    </w:rPr>
  </w:style>
  <w:style w:type="paragraph" w:customStyle="1" w:styleId="ListNumber1Level4">
    <w:name w:val="List Number 1 (Level 4)"/>
    <w:basedOn w:val="Normal"/>
    <w:pPr>
      <w:numPr>
        <w:ilvl w:val="3"/>
        <w:numId w:val="7"/>
      </w:numPr>
      <w:spacing w:after="240"/>
      <w:jc w:val="both"/>
    </w:pPr>
    <w:rPr>
      <w:sz w:val="22"/>
    </w:rPr>
  </w:style>
  <w:style w:type="paragraph" w:customStyle="1" w:styleId="Bullet">
    <w:name w:val="Bullet"/>
    <w:basedOn w:val="Normal"/>
    <w:pPr>
      <w:numPr>
        <w:numId w:val="8"/>
      </w:numPr>
      <w:ind w:left="357" w:hanging="357"/>
      <w:jc w:val="both"/>
    </w:pPr>
    <w:rPr>
      <w:snapToGrid w:val="0"/>
      <w:color w:val="000000"/>
      <w:sz w:val="22"/>
    </w:rPr>
  </w:style>
  <w:style w:type="paragraph" w:customStyle="1" w:styleId="Bullet10">
    <w:name w:val="Bullet1"/>
    <w:basedOn w:val="Normal"/>
    <w:pPr>
      <w:numPr>
        <w:numId w:val="10"/>
      </w:numPr>
      <w:spacing w:before="40" w:after="0"/>
    </w:pPr>
    <w:rPr>
      <w:rFonts w:ascii="Times New Roman" w:hAnsi="Times New Roman"/>
      <w:snapToGrid w:val="0"/>
    </w:rPr>
  </w:style>
  <w:style w:type="paragraph" w:customStyle="1" w:styleId="Bullet2">
    <w:name w:val="Bullet2"/>
    <w:basedOn w:val="Bullet10"/>
    <w:pPr>
      <w:numPr>
        <w:numId w:val="0"/>
      </w:numPr>
      <w:tabs>
        <w:tab w:val="num" w:pos="720"/>
      </w:tabs>
      <w:ind w:left="720" w:hanging="360"/>
    </w:pPr>
  </w:style>
  <w:style w:type="paragraph" w:customStyle="1" w:styleId="Heading1t1TITRE1Titre11t1T1Titre1Titre1edt1T1Titre1AnnexeH1t1T1h1l1HGSA1Titre1T1Chapitre11Level1Heading1ColoredChaptertitlechMIGHeading1ch1Bold18CMGH1NCS-H1berschrift1berschrift11">
    <w:name w:val="Heading 1.t1.TITRE1.Titre 11.t1.T1.Titre 1.Titre 1ed.t1.T1.Titre 1Annexe.H1.t1.T1.h1.l1.H.GSA1.Titre 1:.T1.Chapitre 1.1.Level 1.Heading 1 Colored.Chapter title.ch.MIGHeading 1.ch1.Bold 18.CMG H1.NCS-H1.überschrift1.überschrift11"/>
    <w:basedOn w:val="Normal"/>
    <w:next w:val="Normal"/>
    <w:pPr>
      <w:keepNext/>
      <w:tabs>
        <w:tab w:val="num" w:pos="432"/>
      </w:tabs>
      <w:spacing w:before="240" w:after="60"/>
      <w:ind w:left="432" w:hanging="432"/>
      <w:outlineLvl w:val="0"/>
    </w:pPr>
    <w:rPr>
      <w:b/>
      <w:kern w:val="28"/>
      <w:sz w:val="28"/>
    </w:rPr>
  </w:style>
  <w:style w:type="paragraph" w:customStyle="1" w:styleId="Lista">
    <w:name w:val="List a)"/>
    <w:basedOn w:val="Normal"/>
    <w:pPr>
      <w:numPr>
        <w:numId w:val="11"/>
      </w:numPr>
      <w:spacing w:before="60" w:after="0"/>
      <w:jc w:val="both"/>
    </w:pPr>
    <w:rPr>
      <w:snapToGrid w:val="0"/>
      <w:color w:val="000000"/>
      <w:sz w:val="22"/>
    </w:rPr>
  </w:style>
  <w:style w:type="paragraph" w:styleId="ListBullet">
    <w:name w:val="List Bullet"/>
    <w:basedOn w:val="Normal"/>
    <w:autoRedefine/>
    <w:pPr>
      <w:numPr>
        <w:numId w:val="12"/>
      </w:numPr>
      <w:tabs>
        <w:tab w:val="clear" w:pos="720"/>
        <w:tab w:val="num" w:pos="1260"/>
      </w:tabs>
      <w:spacing w:after="0"/>
      <w:ind w:left="1260"/>
      <w:jc w:val="both"/>
    </w:pPr>
    <w:rPr>
      <w:noProof/>
      <w:snapToGrid w:val="0"/>
      <w:color w:val="000000"/>
      <w:sz w:val="22"/>
    </w:rPr>
  </w:style>
  <w:style w:type="paragraph" w:customStyle="1" w:styleId="ListBullet1">
    <w:name w:val="List Bullet 1"/>
    <w:basedOn w:val="Normal"/>
    <w:pPr>
      <w:numPr>
        <w:numId w:val="13"/>
      </w:numPr>
      <w:spacing w:before="120" w:after="0"/>
      <w:ind w:left="1276" w:hanging="284"/>
    </w:pPr>
    <w:rPr>
      <w:rFonts w:ascii="Times New Roman" w:hAnsi="Times New Roman"/>
      <w:sz w:val="22"/>
    </w:rPr>
  </w:style>
  <w:style w:type="paragraph" w:styleId="ListNumber">
    <w:name w:val="List Number"/>
    <w:basedOn w:val="Normal"/>
    <w:pPr>
      <w:numPr>
        <w:numId w:val="14"/>
      </w:numPr>
      <w:spacing w:after="240"/>
      <w:jc w:val="both"/>
    </w:pPr>
    <w:rPr>
      <w:sz w:val="22"/>
    </w:rPr>
  </w:style>
  <w:style w:type="paragraph" w:customStyle="1" w:styleId="perso1">
    <w:name w:val="perso1"/>
    <w:pPr>
      <w:tabs>
        <w:tab w:val="num" w:pos="432"/>
      </w:tabs>
      <w:ind w:left="432" w:hanging="432"/>
    </w:pPr>
    <w:rPr>
      <w:b/>
      <w:sz w:val="24"/>
      <w:u w:val="single"/>
      <w:lang w:eastAsia="en-US"/>
    </w:rPr>
  </w:style>
  <w:style w:type="paragraph" w:customStyle="1" w:styleId="Puce2">
    <w:name w:val="Puce2"/>
    <w:basedOn w:val="Normal"/>
    <w:pPr>
      <w:numPr>
        <w:numId w:val="15"/>
      </w:numPr>
      <w:spacing w:after="0"/>
      <w:jc w:val="both"/>
    </w:pPr>
    <w:rPr>
      <w:snapToGrid w:val="0"/>
      <w:color w:val="000000"/>
      <w:sz w:val="22"/>
    </w:rPr>
  </w:style>
  <w:style w:type="paragraph" w:customStyle="1" w:styleId="SteriaBullet">
    <w:name w:val="Steria Bullet"/>
    <w:basedOn w:val="SteriaResponse"/>
    <w:pPr>
      <w:numPr>
        <w:numId w:val="16"/>
      </w:numPr>
      <w:tabs>
        <w:tab w:val="clear" w:pos="4235"/>
      </w:tabs>
      <w:ind w:left="357" w:hanging="357"/>
    </w:pPr>
  </w:style>
  <w:style w:type="paragraph" w:customStyle="1" w:styleId="SteriaResponse">
    <w:name w:val="Steria Response"/>
    <w:pPr>
      <w:spacing w:after="240" w:line="260" w:lineRule="exact"/>
    </w:pPr>
    <w:rPr>
      <w:color w:val="000080"/>
      <w:sz w:val="22"/>
      <w:lang w:eastAsia="en-US"/>
    </w:rPr>
  </w:style>
  <w:style w:type="paragraph" w:customStyle="1" w:styleId="TaBult1">
    <w:name w:val="TaBult 1"/>
    <w:basedOn w:val="Normal"/>
    <w:pPr>
      <w:numPr>
        <w:numId w:val="17"/>
      </w:numPr>
      <w:spacing w:before="60" w:after="60"/>
      <w:ind w:left="426" w:hanging="284"/>
      <w:jc w:val="both"/>
    </w:pPr>
    <w:rPr>
      <w:rFonts w:ascii="Times New Roman" w:hAnsi="Times New Roman"/>
      <w:sz w:val="22"/>
    </w:rPr>
  </w:style>
  <w:style w:type="paragraph" w:customStyle="1" w:styleId="Bullet20">
    <w:name w:val="Bullet 2"/>
    <w:basedOn w:val="Normal"/>
    <w:pPr>
      <w:tabs>
        <w:tab w:val="num" w:pos="1260"/>
      </w:tabs>
      <w:spacing w:after="0"/>
      <w:ind w:left="1260" w:hanging="360"/>
      <w:jc w:val="both"/>
    </w:pPr>
    <w:rPr>
      <w:sz w:val="22"/>
    </w:rPr>
  </w:style>
  <w:style w:type="paragraph" w:customStyle="1" w:styleId="bp">
    <w:name w:val="bp"/>
    <w:basedOn w:val="Normal"/>
    <w:pPr>
      <w:spacing w:before="100" w:after="100"/>
    </w:pPr>
    <w:rPr>
      <w:rFonts w:ascii="Arial Unicode MS" w:eastAsia="Arial Unicode MS" w:hAnsi="Arial Unicode MS"/>
      <w:sz w:val="24"/>
    </w:rPr>
  </w:style>
  <w:style w:type="paragraph" w:styleId="List2">
    <w:name w:val="List 2"/>
    <w:basedOn w:val="Normal"/>
    <w:pPr>
      <w:tabs>
        <w:tab w:val="num" w:pos="360"/>
      </w:tabs>
      <w:spacing w:before="60" w:after="0"/>
      <w:ind w:left="360" w:hanging="360"/>
      <w:jc w:val="both"/>
    </w:pPr>
    <w:rPr>
      <w:snapToGrid w:val="0"/>
      <w:color w:val="000000"/>
      <w:sz w:val="22"/>
    </w:rPr>
  </w:style>
  <w:style w:type="paragraph" w:customStyle="1" w:styleId="BodySingle">
    <w:name w:val="*Body Single"/>
    <w:basedOn w:val="Normal"/>
    <w:pPr>
      <w:spacing w:after="0" w:line="220" w:lineRule="atLeast"/>
      <w:ind w:left="2304"/>
    </w:pPr>
    <w:rPr>
      <w:sz w:val="22"/>
      <w:szCs w:val="24"/>
    </w:rPr>
  </w:style>
  <w:style w:type="paragraph" w:customStyle="1" w:styleId="Text2">
    <w:name w:val="Text 2"/>
    <w:basedOn w:val="Default"/>
    <w:next w:val="Default"/>
    <w:link w:val="Text2Char"/>
    <w:pPr>
      <w:autoSpaceDE/>
      <w:autoSpaceDN/>
      <w:adjustRightInd/>
      <w:spacing w:before="120" w:after="120"/>
    </w:pPr>
  </w:style>
  <w:style w:type="paragraph" w:customStyle="1" w:styleId="Default">
    <w:name w:val="Default"/>
    <w:pPr>
      <w:autoSpaceDE w:val="0"/>
      <w:autoSpaceDN w:val="0"/>
      <w:adjustRightInd w:val="0"/>
    </w:pPr>
    <w:rPr>
      <w:rFonts w:ascii="TimesNewRoman" w:hAnsi="TimesNewRoman"/>
      <w:lang w:eastAsia="en-US"/>
    </w:rPr>
  </w:style>
  <w:style w:type="paragraph" w:styleId="BodyText">
    <w:name w:val="Body Text"/>
    <w:aliases w:val="EDS Question Text"/>
    <w:basedOn w:val="Normal"/>
    <w:pPr>
      <w:spacing w:after="0"/>
      <w:ind w:right="-1054"/>
    </w:pPr>
    <w:rPr>
      <w:noProof/>
    </w:rPr>
  </w:style>
  <w:style w:type="paragraph" w:styleId="BodyText2">
    <w:name w:val="Body Text 2"/>
    <w:basedOn w:val="Normal"/>
    <w:pPr>
      <w:spacing w:after="0"/>
    </w:pPr>
    <w:rPr>
      <w:color w:val="000000"/>
      <w:sz w:val="22"/>
    </w:rPr>
  </w:style>
  <w:style w:type="paragraph" w:styleId="BodyText3">
    <w:name w:val="Body Text 3"/>
    <w:basedOn w:val="Normal"/>
    <w:pPr>
      <w:spacing w:after="0"/>
      <w:jc w:val="both"/>
    </w:pPr>
    <w:rPr>
      <w:snapToGrid w:val="0"/>
      <w:color w:val="000000"/>
      <w:sz w:val="22"/>
    </w:rPr>
  </w:style>
  <w:style w:type="paragraph" w:styleId="BlockText">
    <w:name w:val="Block Text"/>
    <w:basedOn w:val="Normal"/>
    <w:pPr>
      <w:pBdr>
        <w:top w:val="single" w:sz="4" w:space="1" w:color="auto"/>
        <w:left w:val="single" w:sz="4" w:space="4" w:color="auto"/>
        <w:bottom w:val="single" w:sz="4" w:space="1" w:color="auto"/>
        <w:right w:val="single" w:sz="4" w:space="4" w:color="auto"/>
      </w:pBdr>
      <w:spacing w:after="0"/>
      <w:ind w:left="720" w:right="720"/>
    </w:pPr>
    <w:rPr>
      <w:rFonts w:ascii="Times New Roman" w:hAnsi="Times New Roman"/>
      <w:b/>
      <w:bCs/>
      <w:color w:val="FF0000"/>
      <w:sz w:val="24"/>
      <w:szCs w:val="24"/>
    </w:rPr>
  </w:style>
  <w:style w:type="paragraph" w:customStyle="1" w:styleId="cellheading">
    <w:name w:val="cellheading"/>
    <w:basedOn w:val="Normal"/>
    <w:pPr>
      <w:spacing w:after="144"/>
    </w:pPr>
    <w:rPr>
      <w:rFonts w:ascii="Verdana" w:eastAsia="Arial Unicode MS" w:hAnsi="Verdana"/>
      <w:b/>
      <w:color w:val="000000"/>
    </w:rPr>
  </w:style>
  <w:style w:type="paragraph" w:styleId="NormalWeb">
    <w:name w:val="Normal (Web)"/>
    <w:basedOn w:val="Normal"/>
    <w:uiPriority w:val="99"/>
    <w:pPr>
      <w:spacing w:before="100" w:beforeAutospacing="1" w:after="100" w:afterAutospacing="1"/>
    </w:pPr>
    <w:rPr>
      <w:rFonts w:ascii="Times New Roman" w:hAnsi="Times New Roman"/>
      <w:sz w:val="24"/>
      <w:szCs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rPr>
  </w:style>
  <w:style w:type="table" w:styleId="TableGrid">
    <w:name w:val="Table Grid"/>
    <w:basedOn w:val="TableNormal"/>
    <w:uiPriority w:val="59"/>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pPr>
      <w:shd w:val="clear" w:color="auto" w:fill="000080"/>
    </w:pPr>
    <w:rPr>
      <w:rFonts w:ascii="Tahoma" w:hAnsi="Tahoma" w:cs="Tahoma"/>
    </w:r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character" w:customStyle="1" w:styleId="Heading2Char">
    <w:name w:val="Heading 2 Char"/>
    <w:aliases w:val="T2 Char,h2 Char,L2 Char,H2 Char,Punt 2 Char,l2 Char,2 Char,Titre 21 Char,t2.T2 Char,t2 Char,Contrat 2 Char,Ctt Char,t2.T2.Titre 2 Char,TITRE 2 Char,Titre 2ed Char,Heading 2 Hidden Char,heading 2 Char,Chapter Number/Appendix Letter Char"/>
    <w:link w:val="Heading2"/>
    <w:rPr>
      <w:b/>
      <w:bCs/>
      <w:smallCaps/>
      <w:color w:val="000080"/>
      <w:sz w:val="32"/>
    </w:rPr>
  </w:style>
  <w:style w:type="character" w:customStyle="1" w:styleId="Heading4Char">
    <w:name w:val="Heading 4 Char"/>
    <w:aliases w:val="4 Char,H4 Char,Titre 41 Char,t4.T4 Char,t4 Char,Chapitre 1.1.1. Char,Alinéa Char,dash Char,h4 Char,Ref Heading 1 Char,rh1 Char,First Subheading Char,T4 Char,t4.T4.Titre 4 Char,heading 4 Char,l4 Char,I4 Char,(Shift Ctrl 4) Char"/>
    <w:link w:val="Heading4"/>
    <w:rPr>
      <w:b/>
      <w:smallCaps/>
      <w:color w:val="000080"/>
      <w:sz w:val="24"/>
    </w:rPr>
  </w:style>
  <w:style w:type="paragraph" w:styleId="BodyTextIndent">
    <w:name w:val="Body Text Indent"/>
    <w:basedOn w:val="Normal"/>
    <w:pPr>
      <w:numPr>
        <w:numId w:val="18"/>
      </w:numPr>
      <w:tabs>
        <w:tab w:val="clear" w:pos="283"/>
      </w:tabs>
      <w:ind w:firstLine="0"/>
      <w:jc w:val="both"/>
    </w:pPr>
    <w:rPr>
      <w:rFonts w:ascii="Times New Roman" w:hAnsi="Times New Roman"/>
      <w:sz w:val="22"/>
    </w:rPr>
  </w:style>
  <w:style w:type="character" w:customStyle="1" w:styleId="Text2Char">
    <w:name w:val="Text 2 Char"/>
    <w:link w:val="Text2"/>
    <w:rPr>
      <w:rFonts w:ascii="TimesNewRoman" w:hAnsi="TimesNewRoman"/>
      <w:lang w:val="pl-PL" w:eastAsia="en-US" w:bidi="ar-SA"/>
    </w:rPr>
  </w:style>
  <w:style w:type="character" w:styleId="HTMLCode">
    <w:name w:val="HTML Code"/>
    <w:semiHidden/>
    <w:unhideWhenUsed/>
    <w:rPr>
      <w:rFonts w:ascii="Courier New" w:eastAsia="Times New Roman" w:hAnsi="Courier New" w:cs="Courier New"/>
      <w:sz w:val="20"/>
      <w:szCs w:val="20"/>
    </w:rPr>
  </w:style>
  <w:style w:type="character" w:customStyle="1" w:styleId="Heading2Char2">
    <w:name w:val="Heading 2 Char2"/>
    <w:aliases w:val="Heading 2 Char1 Char,Heading 2 Char Char Char,Heading 2 Char Char1"/>
    <w:locked/>
    <w:rPr>
      <w:b/>
      <w:sz w:val="24"/>
      <w:lang w:val="pl-PL" w:eastAsia="en-US" w:bidi="ar-SA"/>
    </w:rPr>
  </w:style>
  <w:style w:type="paragraph" w:customStyle="1" w:styleId="NumPar1">
    <w:name w:val="NumPar 1"/>
    <w:basedOn w:val="Normal"/>
    <w:next w:val="Normal"/>
    <w:pPr>
      <w:numPr>
        <w:numId w:val="21"/>
      </w:numPr>
      <w:spacing w:before="120"/>
      <w:jc w:val="both"/>
    </w:pPr>
    <w:rPr>
      <w:rFonts w:ascii="Times New Roman" w:hAnsi="Times New Roman"/>
      <w:sz w:val="24"/>
      <w:szCs w:val="24"/>
    </w:rPr>
  </w:style>
  <w:style w:type="paragraph" w:customStyle="1" w:styleId="NumPar2">
    <w:name w:val="NumPar 2"/>
    <w:basedOn w:val="Normal"/>
    <w:next w:val="Normal"/>
    <w:pPr>
      <w:numPr>
        <w:ilvl w:val="1"/>
        <w:numId w:val="21"/>
      </w:numPr>
      <w:spacing w:before="120"/>
      <w:jc w:val="both"/>
    </w:pPr>
    <w:rPr>
      <w:rFonts w:ascii="Times New Roman" w:hAnsi="Times New Roman"/>
      <w:sz w:val="24"/>
      <w:szCs w:val="24"/>
    </w:rPr>
  </w:style>
  <w:style w:type="paragraph" w:customStyle="1" w:styleId="NumPar3">
    <w:name w:val="NumPar 3"/>
    <w:basedOn w:val="Normal"/>
    <w:next w:val="Normal"/>
    <w:pPr>
      <w:numPr>
        <w:ilvl w:val="2"/>
        <w:numId w:val="21"/>
      </w:numPr>
      <w:spacing w:before="120"/>
      <w:jc w:val="both"/>
    </w:pPr>
    <w:rPr>
      <w:rFonts w:ascii="Times New Roman" w:hAnsi="Times New Roman"/>
      <w:sz w:val="24"/>
      <w:szCs w:val="24"/>
    </w:rPr>
  </w:style>
  <w:style w:type="paragraph" w:customStyle="1" w:styleId="NumPar4">
    <w:name w:val="NumPar 4"/>
    <w:basedOn w:val="Normal"/>
    <w:next w:val="Normal"/>
    <w:pPr>
      <w:numPr>
        <w:ilvl w:val="3"/>
        <w:numId w:val="21"/>
      </w:numPr>
      <w:spacing w:before="120"/>
      <w:jc w:val="both"/>
    </w:pPr>
    <w:rPr>
      <w:rFonts w:ascii="Times New Roman" w:hAnsi="Times New Roman"/>
      <w:sz w:val="24"/>
      <w:szCs w:val="24"/>
    </w:rPr>
  </w:style>
  <w:style w:type="paragraph" w:styleId="ListParagraph">
    <w:name w:val="List Paragraph"/>
    <w:basedOn w:val="Normal"/>
    <w:uiPriority w:val="34"/>
    <w:qFormat/>
    <w:pPr>
      <w:spacing w:after="0"/>
      <w:ind w:left="720"/>
    </w:pPr>
    <w:rPr>
      <w:rFonts w:ascii="Calibri" w:hAnsi="Calibri"/>
      <w:sz w:val="22"/>
      <w:szCs w:val="22"/>
    </w:rPr>
  </w:style>
  <w:style w:type="character" w:customStyle="1" w:styleId="CommentTextChar">
    <w:name w:val="Comment Text Char"/>
    <w:basedOn w:val="DefaultParagraphFont"/>
    <w:link w:val="CommentText"/>
    <w:semiHidden/>
    <w:rPr>
      <w:rFonts w:ascii="Arial" w:hAnsi="Arial"/>
      <w:lang w:eastAsia="en-US"/>
    </w:rPr>
  </w:style>
  <w:style w:type="paragraph" w:styleId="Revision">
    <w:name w:val="Revision"/>
    <w:hidden/>
    <w:uiPriority w:val="99"/>
    <w:semiHidden/>
    <w:rPr>
      <w:sz w:val="18"/>
      <w:lang w:eastAsia="en-US"/>
    </w:rPr>
  </w:style>
  <w:style w:type="character" w:customStyle="1" w:styleId="FootnoteTextChar">
    <w:name w:val="Footnote Text Char"/>
    <w:basedOn w:val="DefaultParagraphFont"/>
    <w:link w:val="FootnoteText"/>
    <w:semiHidden/>
    <w:rPr>
      <w:rFonts w:ascii="Arial" w:hAnsi="Arial"/>
      <w:sz w:val="16"/>
      <w:lang w:eastAsia="en-US"/>
    </w:rPr>
  </w:style>
  <w:style w:type="paragraph" w:styleId="EndnoteText">
    <w:name w:val="endnote text"/>
    <w:basedOn w:val="Normal"/>
    <w:link w:val="EndnoteTextChar"/>
    <w:semiHidden/>
    <w:unhideWhenUsed/>
    <w:pPr>
      <w:spacing w:after="0"/>
    </w:pPr>
  </w:style>
  <w:style w:type="character" w:customStyle="1" w:styleId="EndnoteTextChar">
    <w:name w:val="Endnote Text Char"/>
    <w:basedOn w:val="DefaultParagraphFont"/>
    <w:link w:val="EndnoteText"/>
    <w:semiHidden/>
  </w:style>
  <w:style w:type="character" w:styleId="EndnoteReference">
    <w:name w:val="endnote reference"/>
    <w:basedOn w:val="DefaultParagraphFont"/>
    <w:semiHidden/>
    <w:unhideWhenUsed/>
    <w:rPr>
      <w:vertAlign w:val="superscript"/>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jc w:val="both"/>
    </w:pPr>
    <w:rPr>
      <w:rFonts w:ascii="Times New Roman" w:eastAsiaTheme="minorHAnsi" w:hAnsi="Times New Roman" w:cs="Times New Roman"/>
      <w:sz w:val="24"/>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pPr>
    <w:rPr>
      <w:rFonts w:ascii="Times New Roman" w:hAnsi="Times New Roman" w:cs="Times New Roman"/>
      <w:sz w:val="24"/>
    </w:rPr>
  </w:style>
  <w:style w:type="character" w:customStyle="1" w:styleId="TitleChar">
    <w:name w:val="Title Char"/>
    <w:basedOn w:val="DefaultParagraphFont"/>
    <w:link w:val="Title"/>
    <w:rPr>
      <w:b/>
      <w:caps/>
      <w:color w:val="000080"/>
      <w:sz w:val="32"/>
    </w:rPr>
  </w:style>
  <w:style w:type="character" w:customStyle="1" w:styleId="FooterCoverPageChar">
    <w:name w:val="Footer Cover Page Char"/>
    <w:basedOn w:val="TitleChar"/>
    <w:link w:val="FooterCoverPage"/>
    <w:rPr>
      <w:rFonts w:ascii="Times New Roman" w:hAnsi="Times New Roman" w:cs="Times New Roman"/>
      <w:b w:val="0"/>
      <w:caps w:val="0"/>
      <w:color w:val="000080"/>
      <w:sz w:val="24"/>
    </w:rPr>
  </w:style>
  <w:style w:type="paragraph" w:customStyle="1" w:styleId="HeaderCoverPage">
    <w:name w:val="Header Cover Page"/>
    <w:basedOn w:val="Normal"/>
    <w:link w:val="HeaderCoverPageChar"/>
    <w:pPr>
      <w:tabs>
        <w:tab w:val="center" w:pos="4535"/>
        <w:tab w:val="right" w:pos="9071"/>
      </w:tabs>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hAnsi="Times New Roman" w:cs="Times New Roman"/>
      <w:b w:val="0"/>
      <w:caps w:val="0"/>
      <w:color w:val="000080"/>
      <w:sz w:val="24"/>
    </w:rPr>
  </w:style>
  <w:style w:type="character" w:customStyle="1" w:styleId="FooterChar">
    <w:name w:val="Footer Char"/>
    <w:basedOn w:val="DefaultParagraphFont"/>
    <w:link w:val="Footer"/>
    <w:uiPriority w:val="99"/>
    <w:rPr>
      <w:rFonts w:ascii="Times New Roman" w:eastAsiaTheme="minorHAnsi" w:hAnsi="Times New Roman" w:cs="Times New Roman"/>
      <w:sz w:val="24"/>
      <w:szCs w:val="22"/>
      <w:lang w:eastAsia="en-US"/>
    </w:rPr>
  </w:style>
  <w:style w:type="paragraph" w:customStyle="1" w:styleId="Titreobjet">
    <w:name w:val="Titre objet"/>
    <w:basedOn w:val="Normal"/>
    <w:next w:val="Normal"/>
    <w:pPr>
      <w:spacing w:before="360" w:after="360"/>
      <w:jc w:val="center"/>
    </w:pPr>
    <w:rPr>
      <w:rFonts w:ascii="Times New Roman" w:eastAsiaTheme="minorHAnsi" w:hAnsi="Times New Roman" w:cs="Times New Roman"/>
      <w:b/>
      <w:sz w:val="24"/>
      <w:szCs w:val="22"/>
      <w:lang w:eastAsia="en-US"/>
    </w:rPr>
  </w:style>
  <w:style w:type="paragraph" w:customStyle="1" w:styleId="TitreobjetPagedecouverture">
    <w:name w:val="Titre objet (Page de couverture)"/>
    <w:basedOn w:val="Titreobjet"/>
    <w:next w:val="Normal"/>
  </w:style>
  <w:style w:type="paragraph" w:customStyle="1" w:styleId="Declassification">
    <w:name w:val="Declassification"/>
    <w:basedOn w:val="Normal"/>
    <w:next w:val="Normal"/>
    <w:pPr>
      <w:spacing w:after="0"/>
      <w:jc w:val="both"/>
    </w:pPr>
    <w:rPr>
      <w:rFonts w:ascii="Times New Roman" w:eastAsiaTheme="minorHAnsi" w:hAnsi="Times New Roman" w:cs="Times New Roman"/>
      <w:sz w:val="24"/>
      <w:szCs w:val="22"/>
      <w:lang w:eastAsia="en-US"/>
    </w:rPr>
  </w:style>
  <w:style w:type="character" w:customStyle="1" w:styleId="HeaderChar">
    <w:name w:val="Header Char"/>
    <w:basedOn w:val="DefaultParagraphFont"/>
    <w:link w:val="Header"/>
    <w:uiPriority w:val="99"/>
    <w:rPr>
      <w:rFonts w:ascii="Times New Roman" w:eastAsiaTheme="minorHAnsi" w:hAnsi="Times New Roman" w:cs="Times New Roman"/>
      <w:sz w:val="24"/>
      <w:szCs w:val="22"/>
      <w:lang w:eastAsia="en-US"/>
    </w:rPr>
  </w:style>
  <w:style w:type="paragraph" w:customStyle="1" w:styleId="HeaderLandscape">
    <w:name w:val="HeaderLandscape"/>
    <w:basedOn w:val="Normal"/>
    <w:pPr>
      <w:tabs>
        <w:tab w:val="center" w:pos="7285"/>
        <w:tab w:val="right" w:pos="14003"/>
      </w:tabs>
      <w:jc w:val="both"/>
    </w:pPr>
    <w:rPr>
      <w:rFonts w:ascii="Times New Roman" w:eastAsiaTheme="minorHAnsi" w:hAnsi="Times New Roman" w:cs="Times New Roman"/>
      <w:sz w:val="24"/>
      <w:szCs w:val="22"/>
      <w:lang w:eastAsia="en-US"/>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ind w:left="113" w:right="113"/>
      <w:jc w:val="center"/>
    </w:pPr>
    <w:rPr>
      <w:rFonts w:ascii="Times New Roman" w:hAnsi="Times New Roman" w:cs="Times New Roman"/>
      <w:b/>
      <w:sz w:val="32"/>
    </w:rPr>
  </w:style>
  <w:style w:type="paragraph" w:customStyle="1" w:styleId="HeaderSensitivityRight">
    <w:name w:val="Header Sensitivity Right"/>
    <w:basedOn w:val="Normal"/>
    <w:pPr>
      <w:jc w:val="right"/>
    </w:pPr>
    <w:rPr>
      <w:rFonts w:ascii="Times New Roman" w:hAnsi="Times New Roman" w:cs="Times New Roman"/>
      <w:sz w:val="28"/>
    </w:rPr>
  </w:style>
  <w:style w:type="paragraph" w:customStyle="1" w:styleId="FooterLandscape">
    <w:name w:val="FooterLandscape"/>
    <w:basedOn w:val="Normal"/>
    <w:pPr>
      <w:tabs>
        <w:tab w:val="center" w:pos="7285"/>
        <w:tab w:val="center" w:pos="10913"/>
        <w:tab w:val="right" w:pos="15137"/>
      </w:tabs>
      <w:spacing w:before="360" w:after="0"/>
      <w:ind w:left="-567" w:right="-567"/>
    </w:pPr>
    <w:rPr>
      <w:rFonts w:ascii="Times New Roman" w:eastAsiaTheme="minorHAnsi" w:hAnsi="Times New Roman" w:cs="Times New Roman"/>
      <w:sz w:val="24"/>
      <w:szCs w:val="22"/>
      <w:lang w:eastAsia="en-US"/>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rFonts w:ascii="Times New Roman" w:hAnsi="Times New Roman" w:cs="Times New Roman"/>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jc w:val="both"/>
    </w:pPr>
    <w:rPr>
      <w:rFonts w:ascii="Times New Roman" w:eastAsiaTheme="minorHAnsi" w:hAnsi="Times New Roman" w:cs="Times New Roman"/>
      <w:sz w:val="24"/>
      <w:szCs w:val="22"/>
      <w:lang w:eastAsia="en-US"/>
    </w:rPr>
  </w:style>
  <w:style w:type="paragraph" w:customStyle="1" w:styleId="SecurityMarking">
    <w:name w:val="SecurityMarking"/>
    <w:basedOn w:val="Normal"/>
    <w:pPr>
      <w:spacing w:after="0" w:line="276" w:lineRule="auto"/>
      <w:ind w:left="5103"/>
    </w:pPr>
    <w:rPr>
      <w:rFonts w:ascii="Times New Roman" w:eastAsiaTheme="minorHAnsi" w:hAnsi="Times New Roman" w:cs="Times New Roman"/>
      <w:sz w:val="28"/>
      <w:szCs w:val="22"/>
      <w:lang w:eastAsia="en-US"/>
    </w:rPr>
  </w:style>
  <w:style w:type="paragraph" w:customStyle="1" w:styleId="DateMarking">
    <w:name w:val="DateMarking"/>
    <w:basedOn w:val="Normal"/>
    <w:pPr>
      <w:spacing w:after="0" w:line="276" w:lineRule="auto"/>
      <w:ind w:left="5103"/>
    </w:pPr>
    <w:rPr>
      <w:rFonts w:ascii="Times New Roman" w:eastAsiaTheme="minorHAnsi" w:hAnsi="Times New Roman" w:cs="Times New Roman"/>
      <w:i/>
      <w:sz w:val="28"/>
      <w:szCs w:val="22"/>
      <w:lang w:eastAsia="en-US"/>
    </w:rPr>
  </w:style>
  <w:style w:type="paragraph" w:customStyle="1" w:styleId="ReleasableTo">
    <w:name w:val="ReleasableTo"/>
    <w:basedOn w:val="Normal"/>
    <w:pPr>
      <w:spacing w:after="0" w:line="276" w:lineRule="auto"/>
      <w:ind w:left="5103"/>
    </w:pPr>
    <w:rPr>
      <w:rFonts w:ascii="Times New Roman" w:eastAsiaTheme="minorHAnsi" w:hAnsi="Times New Roman" w:cs="Times New Roman"/>
      <w:i/>
      <w:sz w:val="28"/>
      <w:szCs w:val="22"/>
      <w:lang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UnresolvedMention2">
    <w:name w:val="Unresolved Mention2"/>
    <w:basedOn w:val="DefaultParagraphFont"/>
    <w:uiPriority w:val="99"/>
    <w:semiHidden/>
    <w:unhideWhenUse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lang w:val="pl-PL"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Default Paragraph Font" w:uiPriority="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pPr>
  </w:style>
  <w:style w:type="paragraph" w:styleId="Heading1">
    <w:name w:val="heading 1"/>
    <w:aliases w:val="t1,TITRE1,heading 1,Titre 11,t1.T1.Titre 1,Titre 1ed,t1.T1.Titre 1Annexe,H1,t1.T1,h1,l1,H,GSA1,Titre 1:,T1,Chapitre 1,1,Level 1,Heading 1 Colored,Chapter title,ch,MIGHeading 1,ch1,Bold 18,CMG H1,NCS-H1,überschrift1,überschrift11,überschrift12"/>
    <w:basedOn w:val="Normal"/>
    <w:next w:val="Normal"/>
    <w:uiPriority w:val="9"/>
    <w:qFormat/>
    <w:pPr>
      <w:keepNext/>
      <w:pageBreakBefore/>
      <w:numPr>
        <w:numId w:val="1"/>
      </w:numPr>
      <w:pBdr>
        <w:bottom w:val="single" w:sz="12" w:space="1" w:color="FF6600"/>
      </w:pBdr>
      <w:spacing w:before="120" w:after="240"/>
      <w:outlineLvl w:val="0"/>
    </w:pPr>
    <w:rPr>
      <w:b/>
      <w:smallCaps/>
      <w:color w:val="000080"/>
      <w:kern w:val="28"/>
      <w:sz w:val="36"/>
    </w:rPr>
  </w:style>
  <w:style w:type="paragraph" w:styleId="Heading2">
    <w:name w:val="heading 2"/>
    <w:aliases w:val="T2,h2,L2,H2,Punt 2,l2,2,Titre 21,t2.T2,t2,Contrat 2,Ctt,t2.T2.Titre 2,TITRE 2,Titre 2ed,Heading 2 Hidden,heading 2,Chapter Number/Appendix Letter,chn,Titre niveau 2,Level 2,Chapitre 2,paragraphe,Titre 2 - RAO,Specf Titre 2,Heading 2a,Header 2"/>
    <w:basedOn w:val="Normal"/>
    <w:next w:val="Normal"/>
    <w:link w:val="Heading2Char"/>
    <w:qFormat/>
    <w:pPr>
      <w:keepNext/>
      <w:numPr>
        <w:ilvl w:val="1"/>
        <w:numId w:val="1"/>
      </w:numPr>
      <w:pBdr>
        <w:bottom w:val="single" w:sz="12" w:space="1" w:color="000080"/>
      </w:pBdr>
      <w:spacing w:before="120"/>
      <w:outlineLvl w:val="1"/>
    </w:pPr>
    <w:rPr>
      <w:b/>
      <w:bCs/>
      <w:smallCaps/>
      <w:color w:val="000080"/>
      <w:sz w:val="32"/>
    </w:rPr>
  </w:style>
  <w:style w:type="paragraph" w:styleId="Heading3">
    <w:name w:val="heading 3"/>
    <w:aliases w:val="3,Titre 31,t3.T3,heading 3,Titre 3+,H3,Titre niveau 3,Titre3,t3,Contrat 3,Titre 3 SQ,Titre 3 SQ1,Titre 3 SQ2,Titre 3 SQ3,Titre 3 SQ4,Titre 3 SQ5,Titre 3 SQ6,Titre 3 SQ7,h3,3rd level,l3,CT,Heading 3 - old,Titre 3 .3,Titre 311,Titre 3 .31,1.2.3."/>
    <w:basedOn w:val="Normal"/>
    <w:next w:val="Normal"/>
    <w:qFormat/>
    <w:pPr>
      <w:keepNext/>
      <w:numPr>
        <w:ilvl w:val="2"/>
        <w:numId w:val="1"/>
      </w:numPr>
      <w:spacing w:before="240" w:after="60"/>
      <w:outlineLvl w:val="2"/>
    </w:pPr>
    <w:rPr>
      <w:b/>
      <w:bCs/>
      <w:smallCaps/>
      <w:color w:val="000080"/>
      <w:sz w:val="28"/>
    </w:rPr>
  </w:style>
  <w:style w:type="paragraph" w:styleId="Heading4">
    <w:name w:val="heading 4"/>
    <w:aliases w:val="4,H4,Titre 41,t4.T4,t4,Chapitre 1.1.1.,Alinéa,dash,h4,Ref Heading 1,rh1,First Subheading,T4,t4.T4.Titre 4,heading 4,l4,I4,(Shift Ctrl 4),Schedules,Heading 4 CFMU"/>
    <w:basedOn w:val="Normal"/>
    <w:next w:val="Normal"/>
    <w:link w:val="Heading4Char"/>
    <w:qFormat/>
    <w:pPr>
      <w:keepNext/>
      <w:numPr>
        <w:ilvl w:val="3"/>
        <w:numId w:val="1"/>
      </w:numPr>
      <w:spacing w:before="240" w:after="60"/>
      <w:outlineLvl w:val="3"/>
    </w:pPr>
    <w:rPr>
      <w:b/>
      <w:smallCaps/>
      <w:color w:val="000080"/>
      <w:sz w:val="24"/>
    </w:rPr>
  </w:style>
  <w:style w:type="paragraph" w:styleId="Heading5">
    <w:name w:val="heading 5"/>
    <w:aliases w:val="H5,Chapitre 1.1.1.1.,Ref Heading 2,rh2,h5,Second Subheading,heading 5,Heading 5 CFMU,Para 5,(Shift Ctrl 5),Appendix A to X,Heading 5   Appendix A to X"/>
    <w:basedOn w:val="Normal"/>
    <w:next w:val="Normal"/>
    <w:qFormat/>
    <w:pPr>
      <w:numPr>
        <w:ilvl w:val="4"/>
        <w:numId w:val="1"/>
      </w:numPr>
      <w:spacing w:before="240" w:after="60"/>
      <w:outlineLvl w:val="4"/>
    </w:pPr>
    <w:rPr>
      <w:b/>
      <w:bCs/>
      <w:smallCaps/>
      <w:color w:val="000080"/>
    </w:rPr>
  </w:style>
  <w:style w:type="paragraph" w:styleId="Heading6">
    <w:name w:val="heading 6"/>
    <w:aliases w:val="6,Heading 6  Appendix Y &amp; Z,h6,Heading 6 CFMU"/>
    <w:basedOn w:val="Normal"/>
    <w:next w:val="Normal"/>
    <w:qFormat/>
    <w:pPr>
      <w:numPr>
        <w:ilvl w:val="5"/>
        <w:numId w:val="1"/>
      </w:numPr>
      <w:spacing w:before="240" w:after="60"/>
      <w:outlineLvl w:val="5"/>
    </w:pPr>
    <w:rPr>
      <w:i/>
      <w:sz w:val="22"/>
    </w:rPr>
  </w:style>
  <w:style w:type="paragraph" w:styleId="Heading7">
    <w:name w:val="heading 7"/>
    <w:aliases w:val="H7,(Shift Ctrl 7),Heading 7 CFMU"/>
    <w:basedOn w:val="Normal"/>
    <w:next w:val="Normal"/>
    <w:qFormat/>
    <w:pPr>
      <w:numPr>
        <w:ilvl w:val="6"/>
        <w:numId w:val="1"/>
      </w:numPr>
      <w:spacing w:before="240" w:after="60"/>
      <w:outlineLvl w:val="6"/>
    </w:pPr>
  </w:style>
  <w:style w:type="paragraph" w:styleId="Heading8">
    <w:name w:val="heading 8"/>
    <w:aliases w:val="Heading 8 CFMU"/>
    <w:basedOn w:val="Normal"/>
    <w:next w:val="Normal"/>
    <w:qFormat/>
    <w:pPr>
      <w:numPr>
        <w:ilvl w:val="7"/>
        <w:numId w:val="1"/>
      </w:numPr>
      <w:spacing w:before="240" w:after="60"/>
      <w:outlineLvl w:val="7"/>
    </w:pPr>
    <w:rPr>
      <w:i/>
    </w:rPr>
  </w:style>
  <w:style w:type="paragraph" w:styleId="Heading9">
    <w:name w:val="heading 9"/>
    <w:aliases w:val="App Heading,Heading 9 CFMU"/>
    <w:basedOn w:val="Normal"/>
    <w:next w:val="Normal"/>
    <w:qFormat/>
    <w:pPr>
      <w:numPr>
        <w:ilvl w:val="8"/>
        <w:numId w:val="1"/>
      </w:numPr>
      <w:spacing w:before="240" w:after="60"/>
      <w:outlineLvl w:val="8"/>
    </w:pPr>
    <w:rPr>
      <w:b/>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5"/>
        <w:tab w:val="right" w:pos="9071"/>
      </w:tabs>
      <w:jc w:val="both"/>
    </w:pPr>
    <w:rPr>
      <w:rFonts w:ascii="Times New Roman" w:eastAsiaTheme="minorHAnsi" w:hAnsi="Times New Roman" w:cs="Times New Roman"/>
      <w:sz w:val="24"/>
      <w:szCs w:val="22"/>
      <w:lang w:eastAsia="en-US"/>
    </w:rPr>
  </w:style>
  <w:style w:type="paragraph" w:customStyle="1" w:styleId="Bullet1">
    <w:name w:val="Bullet 1"/>
    <w:basedOn w:val="Normal"/>
    <w:pPr>
      <w:numPr>
        <w:numId w:val="9"/>
      </w:numPr>
      <w:tabs>
        <w:tab w:val="clear" w:pos="360"/>
        <w:tab w:val="num" w:pos="900"/>
      </w:tabs>
      <w:spacing w:after="0"/>
      <w:ind w:left="900" w:firstLine="0"/>
      <w:jc w:val="both"/>
    </w:pPr>
    <w:rPr>
      <w:sz w:val="22"/>
    </w:rPr>
  </w:style>
  <w:style w:type="paragraph" w:customStyle="1" w:styleId="Listnumber1cm">
    <w:name w:val="List number 1cm"/>
    <w:basedOn w:val="Normal"/>
    <w:pPr>
      <w:numPr>
        <w:numId w:val="6"/>
      </w:numPr>
      <w:tabs>
        <w:tab w:val="clear" w:pos="927"/>
        <w:tab w:val="num" w:pos="360"/>
        <w:tab w:val="left" w:pos="851"/>
      </w:tabs>
      <w:ind w:left="0" w:firstLine="0"/>
    </w:pPr>
  </w:style>
  <w:style w:type="paragraph" w:customStyle="1" w:styleId="Tableheading">
    <w:name w:val="Table heading"/>
    <w:basedOn w:val="Normal"/>
    <w:pPr>
      <w:spacing w:before="120"/>
      <w:jc w:val="center"/>
    </w:pPr>
    <w:rPr>
      <w:b/>
      <w:color w:val="000080"/>
    </w:rPr>
  </w:style>
  <w:style w:type="paragraph" w:customStyle="1" w:styleId="Tabletext">
    <w:name w:val="Table text"/>
    <w:basedOn w:val="Normal"/>
    <w:pPr>
      <w:spacing w:before="60" w:after="60"/>
    </w:pPr>
  </w:style>
  <w:style w:type="paragraph" w:styleId="TOC1">
    <w:name w:val="toc 1"/>
    <w:basedOn w:val="Normal"/>
    <w:next w:val="Normal"/>
    <w:autoRedefine/>
    <w:uiPriority w:val="39"/>
    <w:pPr>
      <w:spacing w:before="120"/>
    </w:pPr>
    <w:rPr>
      <w:b/>
      <w:bCs/>
      <w:caps/>
      <w:szCs w:val="24"/>
    </w:rPr>
  </w:style>
  <w:style w:type="character" w:styleId="Hyperlink">
    <w:name w:val="Hyperlink"/>
    <w:uiPriority w:val="99"/>
    <w:rPr>
      <w:color w:val="0000FF"/>
      <w:u w:val="single"/>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rPr>
      <w:rFonts w:ascii="Times New Roman" w:eastAsiaTheme="minorHAnsi" w:hAnsi="Times New Roman" w:cs="Times New Roman"/>
      <w:sz w:val="24"/>
      <w:szCs w:val="22"/>
      <w:lang w:eastAsia="en-US"/>
    </w:rPr>
  </w:style>
  <w:style w:type="paragraph" w:styleId="Title">
    <w:name w:val="Title"/>
    <w:basedOn w:val="Normal"/>
    <w:next w:val="Normal"/>
    <w:link w:val="TitleChar"/>
    <w:qFormat/>
    <w:pPr>
      <w:keepLines/>
      <w:spacing w:before="480" w:after="480"/>
      <w:jc w:val="center"/>
    </w:pPr>
    <w:rPr>
      <w:b/>
      <w:caps/>
      <w:color w:val="000080"/>
      <w:sz w:val="32"/>
    </w:rPr>
  </w:style>
  <w:style w:type="paragraph" w:styleId="TOC2">
    <w:name w:val="toc 2"/>
    <w:basedOn w:val="Normal"/>
    <w:next w:val="Normal"/>
    <w:autoRedefine/>
    <w:uiPriority w:val="39"/>
    <w:pPr>
      <w:ind w:left="200"/>
    </w:pPr>
    <w:rPr>
      <w:smallCaps/>
      <w:szCs w:val="24"/>
    </w:rPr>
  </w:style>
  <w:style w:type="paragraph" w:styleId="TOC3">
    <w:name w:val="toc 3"/>
    <w:basedOn w:val="Normal"/>
    <w:next w:val="Normal"/>
    <w:autoRedefine/>
    <w:uiPriority w:val="39"/>
    <w:pPr>
      <w:ind w:left="400"/>
    </w:pPr>
    <w:rPr>
      <w:i/>
      <w:iCs/>
      <w:szCs w:val="24"/>
    </w:rPr>
  </w:style>
  <w:style w:type="paragraph" w:styleId="TOC4">
    <w:name w:val="toc 4"/>
    <w:basedOn w:val="Normal"/>
    <w:next w:val="Normal"/>
    <w:autoRedefine/>
    <w:uiPriority w:val="39"/>
    <w:pPr>
      <w:ind w:left="600"/>
    </w:pPr>
    <w:rPr>
      <w:szCs w:val="21"/>
    </w:rPr>
  </w:style>
  <w:style w:type="paragraph" w:styleId="TOC5">
    <w:name w:val="toc 5"/>
    <w:basedOn w:val="Normal"/>
    <w:next w:val="Normal"/>
    <w:autoRedefine/>
    <w:semiHidden/>
    <w:pPr>
      <w:ind w:left="800"/>
    </w:pPr>
    <w:rPr>
      <w:szCs w:val="21"/>
    </w:rPr>
  </w:style>
  <w:style w:type="paragraph" w:styleId="TOC6">
    <w:name w:val="toc 6"/>
    <w:basedOn w:val="Normal"/>
    <w:next w:val="Normal"/>
    <w:autoRedefine/>
    <w:semiHidden/>
    <w:pPr>
      <w:ind w:left="1000"/>
    </w:pPr>
    <w:rPr>
      <w:szCs w:val="21"/>
    </w:rPr>
  </w:style>
  <w:style w:type="paragraph" w:styleId="TOC7">
    <w:name w:val="toc 7"/>
    <w:basedOn w:val="Normal"/>
    <w:next w:val="Normal"/>
    <w:autoRedefine/>
    <w:semiHidden/>
    <w:pPr>
      <w:ind w:left="1200"/>
    </w:pPr>
    <w:rPr>
      <w:szCs w:val="21"/>
    </w:rPr>
  </w:style>
  <w:style w:type="paragraph" w:styleId="TOC8">
    <w:name w:val="toc 8"/>
    <w:basedOn w:val="Normal"/>
    <w:next w:val="Normal"/>
    <w:autoRedefine/>
    <w:semiHidden/>
    <w:pPr>
      <w:ind w:left="1400"/>
    </w:pPr>
    <w:rPr>
      <w:szCs w:val="21"/>
    </w:rPr>
  </w:style>
  <w:style w:type="paragraph" w:styleId="TOC9">
    <w:name w:val="toc 9"/>
    <w:basedOn w:val="Normal"/>
    <w:next w:val="Normal"/>
    <w:autoRedefine/>
    <w:semiHidden/>
    <w:pPr>
      <w:ind w:left="1600"/>
    </w:pPr>
    <w:rPr>
      <w:szCs w:val="21"/>
    </w:rPr>
  </w:style>
  <w:style w:type="paragraph" w:customStyle="1" w:styleId="TableBullet">
    <w:name w:val="Table Bullet"/>
    <w:basedOn w:val="Normal"/>
    <w:pPr>
      <w:numPr>
        <w:ilvl w:val="1"/>
        <w:numId w:val="2"/>
      </w:numPr>
      <w:tabs>
        <w:tab w:val="clear" w:pos="1440"/>
        <w:tab w:val="num" w:pos="128"/>
      </w:tabs>
      <w:ind w:left="128" w:hanging="128"/>
    </w:pPr>
  </w:style>
  <w:style w:type="character" w:styleId="FollowedHyperlink">
    <w:name w:val="FollowedHyperlink"/>
    <w:rPr>
      <w:color w:val="800080"/>
      <w:u w:val="single"/>
    </w:rPr>
  </w:style>
  <w:style w:type="paragraph" w:customStyle="1" w:styleId="Listbullet1cm">
    <w:name w:val="List bullet 1cm"/>
    <w:basedOn w:val="Normal"/>
    <w:pPr>
      <w:numPr>
        <w:numId w:val="5"/>
      </w:numPr>
      <w:tabs>
        <w:tab w:val="clear" w:pos="1647"/>
        <w:tab w:val="num" w:pos="851"/>
      </w:tabs>
      <w:ind w:left="851" w:hanging="284"/>
    </w:pPr>
    <w:rPr>
      <w:rFonts w:eastAsia="MS Mincho"/>
      <w:lang w:eastAsia="ja-JP"/>
    </w:rPr>
  </w:style>
  <w:style w:type="paragraph" w:customStyle="1" w:styleId="Listbullet2cm">
    <w:name w:val="List bullet 2cm"/>
    <w:basedOn w:val="Normal"/>
    <w:pPr>
      <w:numPr>
        <w:numId w:val="3"/>
      </w:numPr>
    </w:pPr>
  </w:style>
  <w:style w:type="paragraph" w:styleId="FootnoteText">
    <w:name w:val="footnote text"/>
    <w:basedOn w:val="Normal"/>
    <w:link w:val="FootnoteTextChar"/>
    <w:semiHidden/>
    <w:rPr>
      <w:sz w:val="16"/>
    </w:rPr>
  </w:style>
  <w:style w:type="character" w:styleId="FootnoteReference">
    <w:name w:val="footnote reference"/>
    <w:semiHidden/>
    <w:rPr>
      <w:vertAlign w:val="superscript"/>
    </w:rPr>
  </w:style>
  <w:style w:type="paragraph" w:customStyle="1" w:styleId="Listnumber2cm">
    <w:name w:val="List number 2cm"/>
    <w:basedOn w:val="Listbullet2cm"/>
    <w:pPr>
      <w:numPr>
        <w:numId w:val="4"/>
      </w:numPr>
      <w:tabs>
        <w:tab w:val="clear" w:pos="1701"/>
        <w:tab w:val="num" w:pos="1418"/>
      </w:tabs>
      <w:ind w:left="1418" w:hanging="284"/>
    </w:pPr>
  </w:style>
  <w:style w:type="paragraph" w:customStyle="1" w:styleId="ListNumber1">
    <w:name w:val="List Number 1"/>
    <w:basedOn w:val="Normal"/>
    <w:pPr>
      <w:numPr>
        <w:numId w:val="7"/>
      </w:numPr>
      <w:spacing w:before="240" w:after="240"/>
      <w:jc w:val="both"/>
    </w:pPr>
    <w:rPr>
      <w:sz w:val="22"/>
    </w:rPr>
  </w:style>
  <w:style w:type="paragraph" w:customStyle="1" w:styleId="ListNumber1Level2">
    <w:name w:val="List Number 1 (Level 2)"/>
    <w:basedOn w:val="Normal"/>
    <w:pPr>
      <w:numPr>
        <w:ilvl w:val="1"/>
        <w:numId w:val="7"/>
      </w:numPr>
      <w:spacing w:after="240"/>
      <w:jc w:val="both"/>
    </w:pPr>
    <w:rPr>
      <w:sz w:val="22"/>
    </w:rPr>
  </w:style>
  <w:style w:type="paragraph" w:customStyle="1" w:styleId="ListNumber1Level3">
    <w:name w:val="List Number 1 (Level 3)"/>
    <w:basedOn w:val="Normal"/>
    <w:pPr>
      <w:numPr>
        <w:ilvl w:val="2"/>
        <w:numId w:val="7"/>
      </w:numPr>
      <w:spacing w:after="240"/>
      <w:jc w:val="both"/>
    </w:pPr>
    <w:rPr>
      <w:sz w:val="22"/>
    </w:rPr>
  </w:style>
  <w:style w:type="paragraph" w:customStyle="1" w:styleId="ListNumber1Level4">
    <w:name w:val="List Number 1 (Level 4)"/>
    <w:basedOn w:val="Normal"/>
    <w:pPr>
      <w:numPr>
        <w:ilvl w:val="3"/>
        <w:numId w:val="7"/>
      </w:numPr>
      <w:spacing w:after="240"/>
      <w:jc w:val="both"/>
    </w:pPr>
    <w:rPr>
      <w:sz w:val="22"/>
    </w:rPr>
  </w:style>
  <w:style w:type="paragraph" w:customStyle="1" w:styleId="Bullet">
    <w:name w:val="Bullet"/>
    <w:basedOn w:val="Normal"/>
    <w:pPr>
      <w:numPr>
        <w:numId w:val="8"/>
      </w:numPr>
      <w:ind w:left="357" w:hanging="357"/>
      <w:jc w:val="both"/>
    </w:pPr>
    <w:rPr>
      <w:snapToGrid w:val="0"/>
      <w:color w:val="000000"/>
      <w:sz w:val="22"/>
    </w:rPr>
  </w:style>
  <w:style w:type="paragraph" w:customStyle="1" w:styleId="Bullet10">
    <w:name w:val="Bullet1"/>
    <w:basedOn w:val="Normal"/>
    <w:pPr>
      <w:numPr>
        <w:numId w:val="10"/>
      </w:numPr>
      <w:spacing w:before="40" w:after="0"/>
    </w:pPr>
    <w:rPr>
      <w:rFonts w:ascii="Times New Roman" w:hAnsi="Times New Roman"/>
      <w:snapToGrid w:val="0"/>
    </w:rPr>
  </w:style>
  <w:style w:type="paragraph" w:customStyle="1" w:styleId="Bullet2">
    <w:name w:val="Bullet2"/>
    <w:basedOn w:val="Bullet10"/>
    <w:pPr>
      <w:numPr>
        <w:numId w:val="0"/>
      </w:numPr>
      <w:tabs>
        <w:tab w:val="num" w:pos="720"/>
      </w:tabs>
      <w:ind w:left="720" w:hanging="360"/>
    </w:pPr>
  </w:style>
  <w:style w:type="paragraph" w:customStyle="1" w:styleId="Heading1t1TITRE1Titre11t1T1Titre1Titre1edt1T1Titre1AnnexeH1t1T1h1l1HGSA1Titre1T1Chapitre11Level1Heading1ColoredChaptertitlechMIGHeading1ch1Bold18CMGH1NCS-H1berschrift1berschrift11">
    <w:name w:val="Heading 1.t1.TITRE1.Titre 11.t1.T1.Titre 1.Titre 1ed.t1.T1.Titre 1Annexe.H1.t1.T1.h1.l1.H.GSA1.Titre 1:.T1.Chapitre 1.1.Level 1.Heading 1 Colored.Chapter title.ch.MIGHeading 1.ch1.Bold 18.CMG H1.NCS-H1.überschrift1.überschrift11"/>
    <w:basedOn w:val="Normal"/>
    <w:next w:val="Normal"/>
    <w:pPr>
      <w:keepNext/>
      <w:tabs>
        <w:tab w:val="num" w:pos="432"/>
      </w:tabs>
      <w:spacing w:before="240" w:after="60"/>
      <w:ind w:left="432" w:hanging="432"/>
      <w:outlineLvl w:val="0"/>
    </w:pPr>
    <w:rPr>
      <w:b/>
      <w:kern w:val="28"/>
      <w:sz w:val="28"/>
    </w:rPr>
  </w:style>
  <w:style w:type="paragraph" w:customStyle="1" w:styleId="Lista">
    <w:name w:val="List a)"/>
    <w:basedOn w:val="Normal"/>
    <w:pPr>
      <w:numPr>
        <w:numId w:val="11"/>
      </w:numPr>
      <w:spacing w:before="60" w:after="0"/>
      <w:jc w:val="both"/>
    </w:pPr>
    <w:rPr>
      <w:snapToGrid w:val="0"/>
      <w:color w:val="000000"/>
      <w:sz w:val="22"/>
    </w:rPr>
  </w:style>
  <w:style w:type="paragraph" w:styleId="ListBullet">
    <w:name w:val="List Bullet"/>
    <w:basedOn w:val="Normal"/>
    <w:autoRedefine/>
    <w:pPr>
      <w:numPr>
        <w:numId w:val="12"/>
      </w:numPr>
      <w:tabs>
        <w:tab w:val="clear" w:pos="720"/>
        <w:tab w:val="num" w:pos="1260"/>
      </w:tabs>
      <w:spacing w:after="0"/>
      <w:ind w:left="1260"/>
      <w:jc w:val="both"/>
    </w:pPr>
    <w:rPr>
      <w:noProof/>
      <w:snapToGrid w:val="0"/>
      <w:color w:val="000000"/>
      <w:sz w:val="22"/>
    </w:rPr>
  </w:style>
  <w:style w:type="paragraph" w:customStyle="1" w:styleId="ListBullet1">
    <w:name w:val="List Bullet 1"/>
    <w:basedOn w:val="Normal"/>
    <w:pPr>
      <w:numPr>
        <w:numId w:val="13"/>
      </w:numPr>
      <w:spacing w:before="120" w:after="0"/>
      <w:ind w:left="1276" w:hanging="284"/>
    </w:pPr>
    <w:rPr>
      <w:rFonts w:ascii="Times New Roman" w:hAnsi="Times New Roman"/>
      <w:sz w:val="22"/>
    </w:rPr>
  </w:style>
  <w:style w:type="paragraph" w:styleId="ListNumber">
    <w:name w:val="List Number"/>
    <w:basedOn w:val="Normal"/>
    <w:pPr>
      <w:numPr>
        <w:numId w:val="14"/>
      </w:numPr>
      <w:spacing w:after="240"/>
      <w:jc w:val="both"/>
    </w:pPr>
    <w:rPr>
      <w:sz w:val="22"/>
    </w:rPr>
  </w:style>
  <w:style w:type="paragraph" w:customStyle="1" w:styleId="perso1">
    <w:name w:val="perso1"/>
    <w:pPr>
      <w:tabs>
        <w:tab w:val="num" w:pos="432"/>
      </w:tabs>
      <w:ind w:left="432" w:hanging="432"/>
    </w:pPr>
    <w:rPr>
      <w:b/>
      <w:sz w:val="24"/>
      <w:u w:val="single"/>
      <w:lang w:eastAsia="en-US"/>
    </w:rPr>
  </w:style>
  <w:style w:type="paragraph" w:customStyle="1" w:styleId="Puce2">
    <w:name w:val="Puce2"/>
    <w:basedOn w:val="Normal"/>
    <w:pPr>
      <w:numPr>
        <w:numId w:val="15"/>
      </w:numPr>
      <w:spacing w:after="0"/>
      <w:jc w:val="both"/>
    </w:pPr>
    <w:rPr>
      <w:snapToGrid w:val="0"/>
      <w:color w:val="000000"/>
      <w:sz w:val="22"/>
    </w:rPr>
  </w:style>
  <w:style w:type="paragraph" w:customStyle="1" w:styleId="SteriaBullet">
    <w:name w:val="Steria Bullet"/>
    <w:basedOn w:val="SteriaResponse"/>
    <w:pPr>
      <w:numPr>
        <w:numId w:val="16"/>
      </w:numPr>
      <w:tabs>
        <w:tab w:val="clear" w:pos="4235"/>
      </w:tabs>
      <w:ind w:left="357" w:hanging="357"/>
    </w:pPr>
  </w:style>
  <w:style w:type="paragraph" w:customStyle="1" w:styleId="SteriaResponse">
    <w:name w:val="Steria Response"/>
    <w:pPr>
      <w:spacing w:after="240" w:line="260" w:lineRule="exact"/>
    </w:pPr>
    <w:rPr>
      <w:color w:val="000080"/>
      <w:sz w:val="22"/>
      <w:lang w:eastAsia="en-US"/>
    </w:rPr>
  </w:style>
  <w:style w:type="paragraph" w:customStyle="1" w:styleId="TaBult1">
    <w:name w:val="TaBult 1"/>
    <w:basedOn w:val="Normal"/>
    <w:pPr>
      <w:numPr>
        <w:numId w:val="17"/>
      </w:numPr>
      <w:spacing w:before="60" w:after="60"/>
      <w:ind w:left="426" w:hanging="284"/>
      <w:jc w:val="both"/>
    </w:pPr>
    <w:rPr>
      <w:rFonts w:ascii="Times New Roman" w:hAnsi="Times New Roman"/>
      <w:sz w:val="22"/>
    </w:rPr>
  </w:style>
  <w:style w:type="paragraph" w:customStyle="1" w:styleId="Bullet20">
    <w:name w:val="Bullet 2"/>
    <w:basedOn w:val="Normal"/>
    <w:pPr>
      <w:tabs>
        <w:tab w:val="num" w:pos="1260"/>
      </w:tabs>
      <w:spacing w:after="0"/>
      <w:ind w:left="1260" w:hanging="360"/>
      <w:jc w:val="both"/>
    </w:pPr>
    <w:rPr>
      <w:sz w:val="22"/>
    </w:rPr>
  </w:style>
  <w:style w:type="paragraph" w:customStyle="1" w:styleId="bp">
    <w:name w:val="bp"/>
    <w:basedOn w:val="Normal"/>
    <w:pPr>
      <w:spacing w:before="100" w:after="100"/>
    </w:pPr>
    <w:rPr>
      <w:rFonts w:ascii="Arial Unicode MS" w:eastAsia="Arial Unicode MS" w:hAnsi="Arial Unicode MS"/>
      <w:sz w:val="24"/>
    </w:rPr>
  </w:style>
  <w:style w:type="paragraph" w:styleId="List2">
    <w:name w:val="List 2"/>
    <w:basedOn w:val="Normal"/>
    <w:pPr>
      <w:tabs>
        <w:tab w:val="num" w:pos="360"/>
      </w:tabs>
      <w:spacing w:before="60" w:after="0"/>
      <w:ind w:left="360" w:hanging="360"/>
      <w:jc w:val="both"/>
    </w:pPr>
    <w:rPr>
      <w:snapToGrid w:val="0"/>
      <w:color w:val="000000"/>
      <w:sz w:val="22"/>
    </w:rPr>
  </w:style>
  <w:style w:type="paragraph" w:customStyle="1" w:styleId="BodySingle">
    <w:name w:val="*Body Single"/>
    <w:basedOn w:val="Normal"/>
    <w:pPr>
      <w:spacing w:after="0" w:line="220" w:lineRule="atLeast"/>
      <w:ind w:left="2304"/>
    </w:pPr>
    <w:rPr>
      <w:sz w:val="22"/>
      <w:szCs w:val="24"/>
    </w:rPr>
  </w:style>
  <w:style w:type="paragraph" w:customStyle="1" w:styleId="Text2">
    <w:name w:val="Text 2"/>
    <w:basedOn w:val="Default"/>
    <w:next w:val="Default"/>
    <w:link w:val="Text2Char"/>
    <w:pPr>
      <w:autoSpaceDE/>
      <w:autoSpaceDN/>
      <w:adjustRightInd/>
      <w:spacing w:before="120" w:after="120"/>
    </w:pPr>
  </w:style>
  <w:style w:type="paragraph" w:customStyle="1" w:styleId="Default">
    <w:name w:val="Default"/>
    <w:pPr>
      <w:autoSpaceDE w:val="0"/>
      <w:autoSpaceDN w:val="0"/>
      <w:adjustRightInd w:val="0"/>
    </w:pPr>
    <w:rPr>
      <w:rFonts w:ascii="TimesNewRoman" w:hAnsi="TimesNewRoman"/>
      <w:lang w:eastAsia="en-US"/>
    </w:rPr>
  </w:style>
  <w:style w:type="paragraph" w:styleId="BodyText">
    <w:name w:val="Body Text"/>
    <w:aliases w:val="EDS Question Text"/>
    <w:basedOn w:val="Normal"/>
    <w:pPr>
      <w:spacing w:after="0"/>
      <w:ind w:right="-1054"/>
    </w:pPr>
    <w:rPr>
      <w:noProof/>
    </w:rPr>
  </w:style>
  <w:style w:type="paragraph" w:styleId="BodyText2">
    <w:name w:val="Body Text 2"/>
    <w:basedOn w:val="Normal"/>
    <w:pPr>
      <w:spacing w:after="0"/>
    </w:pPr>
    <w:rPr>
      <w:color w:val="000000"/>
      <w:sz w:val="22"/>
    </w:rPr>
  </w:style>
  <w:style w:type="paragraph" w:styleId="BodyText3">
    <w:name w:val="Body Text 3"/>
    <w:basedOn w:val="Normal"/>
    <w:pPr>
      <w:spacing w:after="0"/>
      <w:jc w:val="both"/>
    </w:pPr>
    <w:rPr>
      <w:snapToGrid w:val="0"/>
      <w:color w:val="000000"/>
      <w:sz w:val="22"/>
    </w:rPr>
  </w:style>
  <w:style w:type="paragraph" w:styleId="BlockText">
    <w:name w:val="Block Text"/>
    <w:basedOn w:val="Normal"/>
    <w:pPr>
      <w:pBdr>
        <w:top w:val="single" w:sz="4" w:space="1" w:color="auto"/>
        <w:left w:val="single" w:sz="4" w:space="4" w:color="auto"/>
        <w:bottom w:val="single" w:sz="4" w:space="1" w:color="auto"/>
        <w:right w:val="single" w:sz="4" w:space="4" w:color="auto"/>
      </w:pBdr>
      <w:spacing w:after="0"/>
      <w:ind w:left="720" w:right="720"/>
    </w:pPr>
    <w:rPr>
      <w:rFonts w:ascii="Times New Roman" w:hAnsi="Times New Roman"/>
      <w:b/>
      <w:bCs/>
      <w:color w:val="FF0000"/>
      <w:sz w:val="24"/>
      <w:szCs w:val="24"/>
    </w:rPr>
  </w:style>
  <w:style w:type="paragraph" w:customStyle="1" w:styleId="cellheading">
    <w:name w:val="cellheading"/>
    <w:basedOn w:val="Normal"/>
    <w:pPr>
      <w:spacing w:after="144"/>
    </w:pPr>
    <w:rPr>
      <w:rFonts w:ascii="Verdana" w:eastAsia="Arial Unicode MS" w:hAnsi="Verdana"/>
      <w:b/>
      <w:color w:val="000000"/>
    </w:rPr>
  </w:style>
  <w:style w:type="paragraph" w:styleId="NormalWeb">
    <w:name w:val="Normal (Web)"/>
    <w:basedOn w:val="Normal"/>
    <w:uiPriority w:val="99"/>
    <w:pPr>
      <w:spacing w:before="100" w:beforeAutospacing="1" w:after="100" w:afterAutospacing="1"/>
    </w:pPr>
    <w:rPr>
      <w:rFonts w:ascii="Times New Roman" w:hAnsi="Times New Roman"/>
      <w:sz w:val="24"/>
      <w:szCs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rPr>
  </w:style>
  <w:style w:type="table" w:styleId="TableGrid">
    <w:name w:val="Table Grid"/>
    <w:basedOn w:val="TableNormal"/>
    <w:uiPriority w:val="59"/>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pPr>
      <w:shd w:val="clear" w:color="auto" w:fill="000080"/>
    </w:pPr>
    <w:rPr>
      <w:rFonts w:ascii="Tahoma" w:hAnsi="Tahoma" w:cs="Tahoma"/>
    </w:r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character" w:customStyle="1" w:styleId="Heading2Char">
    <w:name w:val="Heading 2 Char"/>
    <w:aliases w:val="T2 Char,h2 Char,L2 Char,H2 Char,Punt 2 Char,l2 Char,2 Char,Titre 21 Char,t2.T2 Char,t2 Char,Contrat 2 Char,Ctt Char,t2.T2.Titre 2 Char,TITRE 2 Char,Titre 2ed Char,Heading 2 Hidden Char,heading 2 Char,Chapter Number/Appendix Letter Char"/>
    <w:link w:val="Heading2"/>
    <w:rPr>
      <w:b/>
      <w:bCs/>
      <w:smallCaps/>
      <w:color w:val="000080"/>
      <w:sz w:val="32"/>
    </w:rPr>
  </w:style>
  <w:style w:type="character" w:customStyle="1" w:styleId="Heading4Char">
    <w:name w:val="Heading 4 Char"/>
    <w:aliases w:val="4 Char,H4 Char,Titre 41 Char,t4.T4 Char,t4 Char,Chapitre 1.1.1. Char,Alinéa Char,dash Char,h4 Char,Ref Heading 1 Char,rh1 Char,First Subheading Char,T4 Char,t4.T4.Titre 4 Char,heading 4 Char,l4 Char,I4 Char,(Shift Ctrl 4) Char"/>
    <w:link w:val="Heading4"/>
    <w:rPr>
      <w:b/>
      <w:smallCaps/>
      <w:color w:val="000080"/>
      <w:sz w:val="24"/>
    </w:rPr>
  </w:style>
  <w:style w:type="paragraph" w:styleId="BodyTextIndent">
    <w:name w:val="Body Text Indent"/>
    <w:basedOn w:val="Normal"/>
    <w:pPr>
      <w:numPr>
        <w:numId w:val="18"/>
      </w:numPr>
      <w:tabs>
        <w:tab w:val="clear" w:pos="283"/>
      </w:tabs>
      <w:ind w:firstLine="0"/>
      <w:jc w:val="both"/>
    </w:pPr>
    <w:rPr>
      <w:rFonts w:ascii="Times New Roman" w:hAnsi="Times New Roman"/>
      <w:sz w:val="22"/>
    </w:rPr>
  </w:style>
  <w:style w:type="character" w:customStyle="1" w:styleId="Text2Char">
    <w:name w:val="Text 2 Char"/>
    <w:link w:val="Text2"/>
    <w:rPr>
      <w:rFonts w:ascii="TimesNewRoman" w:hAnsi="TimesNewRoman"/>
      <w:lang w:val="pl-PL" w:eastAsia="en-US" w:bidi="ar-SA"/>
    </w:rPr>
  </w:style>
  <w:style w:type="character" w:styleId="HTMLCode">
    <w:name w:val="HTML Code"/>
    <w:semiHidden/>
    <w:unhideWhenUsed/>
    <w:rPr>
      <w:rFonts w:ascii="Courier New" w:eastAsia="Times New Roman" w:hAnsi="Courier New" w:cs="Courier New"/>
      <w:sz w:val="20"/>
      <w:szCs w:val="20"/>
    </w:rPr>
  </w:style>
  <w:style w:type="character" w:customStyle="1" w:styleId="Heading2Char2">
    <w:name w:val="Heading 2 Char2"/>
    <w:aliases w:val="Heading 2 Char1 Char,Heading 2 Char Char Char,Heading 2 Char Char1"/>
    <w:locked/>
    <w:rPr>
      <w:b/>
      <w:sz w:val="24"/>
      <w:lang w:val="pl-PL" w:eastAsia="en-US" w:bidi="ar-SA"/>
    </w:rPr>
  </w:style>
  <w:style w:type="paragraph" w:customStyle="1" w:styleId="NumPar1">
    <w:name w:val="NumPar 1"/>
    <w:basedOn w:val="Normal"/>
    <w:next w:val="Normal"/>
    <w:pPr>
      <w:numPr>
        <w:numId w:val="21"/>
      </w:numPr>
      <w:spacing w:before="120"/>
      <w:jc w:val="both"/>
    </w:pPr>
    <w:rPr>
      <w:rFonts w:ascii="Times New Roman" w:hAnsi="Times New Roman"/>
      <w:sz w:val="24"/>
      <w:szCs w:val="24"/>
    </w:rPr>
  </w:style>
  <w:style w:type="paragraph" w:customStyle="1" w:styleId="NumPar2">
    <w:name w:val="NumPar 2"/>
    <w:basedOn w:val="Normal"/>
    <w:next w:val="Normal"/>
    <w:pPr>
      <w:numPr>
        <w:ilvl w:val="1"/>
        <w:numId w:val="21"/>
      </w:numPr>
      <w:spacing w:before="120"/>
      <w:jc w:val="both"/>
    </w:pPr>
    <w:rPr>
      <w:rFonts w:ascii="Times New Roman" w:hAnsi="Times New Roman"/>
      <w:sz w:val="24"/>
      <w:szCs w:val="24"/>
    </w:rPr>
  </w:style>
  <w:style w:type="paragraph" w:customStyle="1" w:styleId="NumPar3">
    <w:name w:val="NumPar 3"/>
    <w:basedOn w:val="Normal"/>
    <w:next w:val="Normal"/>
    <w:pPr>
      <w:numPr>
        <w:ilvl w:val="2"/>
        <w:numId w:val="21"/>
      </w:numPr>
      <w:spacing w:before="120"/>
      <w:jc w:val="both"/>
    </w:pPr>
    <w:rPr>
      <w:rFonts w:ascii="Times New Roman" w:hAnsi="Times New Roman"/>
      <w:sz w:val="24"/>
      <w:szCs w:val="24"/>
    </w:rPr>
  </w:style>
  <w:style w:type="paragraph" w:customStyle="1" w:styleId="NumPar4">
    <w:name w:val="NumPar 4"/>
    <w:basedOn w:val="Normal"/>
    <w:next w:val="Normal"/>
    <w:pPr>
      <w:numPr>
        <w:ilvl w:val="3"/>
        <w:numId w:val="21"/>
      </w:numPr>
      <w:spacing w:before="120"/>
      <w:jc w:val="both"/>
    </w:pPr>
    <w:rPr>
      <w:rFonts w:ascii="Times New Roman" w:hAnsi="Times New Roman"/>
      <w:sz w:val="24"/>
      <w:szCs w:val="24"/>
    </w:rPr>
  </w:style>
  <w:style w:type="paragraph" w:styleId="ListParagraph">
    <w:name w:val="List Paragraph"/>
    <w:basedOn w:val="Normal"/>
    <w:uiPriority w:val="34"/>
    <w:qFormat/>
    <w:pPr>
      <w:spacing w:after="0"/>
      <w:ind w:left="720"/>
    </w:pPr>
    <w:rPr>
      <w:rFonts w:ascii="Calibri" w:hAnsi="Calibri"/>
      <w:sz w:val="22"/>
      <w:szCs w:val="22"/>
    </w:rPr>
  </w:style>
  <w:style w:type="character" w:customStyle="1" w:styleId="CommentTextChar">
    <w:name w:val="Comment Text Char"/>
    <w:basedOn w:val="DefaultParagraphFont"/>
    <w:link w:val="CommentText"/>
    <w:semiHidden/>
    <w:rPr>
      <w:rFonts w:ascii="Arial" w:hAnsi="Arial"/>
      <w:lang w:eastAsia="en-US"/>
    </w:rPr>
  </w:style>
  <w:style w:type="paragraph" w:styleId="Revision">
    <w:name w:val="Revision"/>
    <w:hidden/>
    <w:uiPriority w:val="99"/>
    <w:semiHidden/>
    <w:rPr>
      <w:sz w:val="18"/>
      <w:lang w:eastAsia="en-US"/>
    </w:rPr>
  </w:style>
  <w:style w:type="character" w:customStyle="1" w:styleId="FootnoteTextChar">
    <w:name w:val="Footnote Text Char"/>
    <w:basedOn w:val="DefaultParagraphFont"/>
    <w:link w:val="FootnoteText"/>
    <w:semiHidden/>
    <w:rPr>
      <w:rFonts w:ascii="Arial" w:hAnsi="Arial"/>
      <w:sz w:val="16"/>
      <w:lang w:eastAsia="en-US"/>
    </w:rPr>
  </w:style>
  <w:style w:type="paragraph" w:styleId="EndnoteText">
    <w:name w:val="endnote text"/>
    <w:basedOn w:val="Normal"/>
    <w:link w:val="EndnoteTextChar"/>
    <w:semiHidden/>
    <w:unhideWhenUsed/>
    <w:pPr>
      <w:spacing w:after="0"/>
    </w:pPr>
  </w:style>
  <w:style w:type="character" w:customStyle="1" w:styleId="EndnoteTextChar">
    <w:name w:val="Endnote Text Char"/>
    <w:basedOn w:val="DefaultParagraphFont"/>
    <w:link w:val="EndnoteText"/>
    <w:semiHidden/>
  </w:style>
  <w:style w:type="character" w:styleId="EndnoteReference">
    <w:name w:val="endnote reference"/>
    <w:basedOn w:val="DefaultParagraphFont"/>
    <w:semiHidden/>
    <w:unhideWhenUsed/>
    <w:rPr>
      <w:vertAlign w:val="superscript"/>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jc w:val="both"/>
    </w:pPr>
    <w:rPr>
      <w:rFonts w:ascii="Times New Roman" w:eastAsiaTheme="minorHAnsi" w:hAnsi="Times New Roman" w:cs="Times New Roman"/>
      <w:sz w:val="24"/>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pPr>
    <w:rPr>
      <w:rFonts w:ascii="Times New Roman" w:hAnsi="Times New Roman" w:cs="Times New Roman"/>
      <w:sz w:val="24"/>
    </w:rPr>
  </w:style>
  <w:style w:type="character" w:customStyle="1" w:styleId="TitleChar">
    <w:name w:val="Title Char"/>
    <w:basedOn w:val="DefaultParagraphFont"/>
    <w:link w:val="Title"/>
    <w:rPr>
      <w:b/>
      <w:caps/>
      <w:color w:val="000080"/>
      <w:sz w:val="32"/>
    </w:rPr>
  </w:style>
  <w:style w:type="character" w:customStyle="1" w:styleId="FooterCoverPageChar">
    <w:name w:val="Footer Cover Page Char"/>
    <w:basedOn w:val="TitleChar"/>
    <w:link w:val="FooterCoverPage"/>
    <w:rPr>
      <w:rFonts w:ascii="Times New Roman" w:hAnsi="Times New Roman" w:cs="Times New Roman"/>
      <w:b w:val="0"/>
      <w:caps w:val="0"/>
      <w:color w:val="000080"/>
      <w:sz w:val="24"/>
    </w:rPr>
  </w:style>
  <w:style w:type="paragraph" w:customStyle="1" w:styleId="HeaderCoverPage">
    <w:name w:val="Header Cover Page"/>
    <w:basedOn w:val="Normal"/>
    <w:link w:val="HeaderCoverPageChar"/>
    <w:pPr>
      <w:tabs>
        <w:tab w:val="center" w:pos="4535"/>
        <w:tab w:val="right" w:pos="9071"/>
      </w:tabs>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hAnsi="Times New Roman" w:cs="Times New Roman"/>
      <w:b w:val="0"/>
      <w:caps w:val="0"/>
      <w:color w:val="000080"/>
      <w:sz w:val="24"/>
    </w:rPr>
  </w:style>
  <w:style w:type="character" w:customStyle="1" w:styleId="FooterChar">
    <w:name w:val="Footer Char"/>
    <w:basedOn w:val="DefaultParagraphFont"/>
    <w:link w:val="Footer"/>
    <w:uiPriority w:val="99"/>
    <w:rPr>
      <w:rFonts w:ascii="Times New Roman" w:eastAsiaTheme="minorHAnsi" w:hAnsi="Times New Roman" w:cs="Times New Roman"/>
      <w:sz w:val="24"/>
      <w:szCs w:val="22"/>
      <w:lang w:eastAsia="en-US"/>
    </w:rPr>
  </w:style>
  <w:style w:type="paragraph" w:customStyle="1" w:styleId="Titreobjet">
    <w:name w:val="Titre objet"/>
    <w:basedOn w:val="Normal"/>
    <w:next w:val="Normal"/>
    <w:pPr>
      <w:spacing w:before="360" w:after="360"/>
      <w:jc w:val="center"/>
    </w:pPr>
    <w:rPr>
      <w:rFonts w:ascii="Times New Roman" w:eastAsiaTheme="minorHAnsi" w:hAnsi="Times New Roman" w:cs="Times New Roman"/>
      <w:b/>
      <w:sz w:val="24"/>
      <w:szCs w:val="22"/>
      <w:lang w:eastAsia="en-US"/>
    </w:rPr>
  </w:style>
  <w:style w:type="paragraph" w:customStyle="1" w:styleId="TitreobjetPagedecouverture">
    <w:name w:val="Titre objet (Page de couverture)"/>
    <w:basedOn w:val="Titreobjet"/>
    <w:next w:val="Normal"/>
  </w:style>
  <w:style w:type="paragraph" w:customStyle="1" w:styleId="Declassification">
    <w:name w:val="Declassification"/>
    <w:basedOn w:val="Normal"/>
    <w:next w:val="Normal"/>
    <w:pPr>
      <w:spacing w:after="0"/>
      <w:jc w:val="both"/>
    </w:pPr>
    <w:rPr>
      <w:rFonts w:ascii="Times New Roman" w:eastAsiaTheme="minorHAnsi" w:hAnsi="Times New Roman" w:cs="Times New Roman"/>
      <w:sz w:val="24"/>
      <w:szCs w:val="22"/>
      <w:lang w:eastAsia="en-US"/>
    </w:rPr>
  </w:style>
  <w:style w:type="character" w:customStyle="1" w:styleId="HeaderChar">
    <w:name w:val="Header Char"/>
    <w:basedOn w:val="DefaultParagraphFont"/>
    <w:link w:val="Header"/>
    <w:uiPriority w:val="99"/>
    <w:rPr>
      <w:rFonts w:ascii="Times New Roman" w:eastAsiaTheme="minorHAnsi" w:hAnsi="Times New Roman" w:cs="Times New Roman"/>
      <w:sz w:val="24"/>
      <w:szCs w:val="22"/>
      <w:lang w:eastAsia="en-US"/>
    </w:rPr>
  </w:style>
  <w:style w:type="paragraph" w:customStyle="1" w:styleId="HeaderLandscape">
    <w:name w:val="HeaderLandscape"/>
    <w:basedOn w:val="Normal"/>
    <w:pPr>
      <w:tabs>
        <w:tab w:val="center" w:pos="7285"/>
        <w:tab w:val="right" w:pos="14003"/>
      </w:tabs>
      <w:jc w:val="both"/>
    </w:pPr>
    <w:rPr>
      <w:rFonts w:ascii="Times New Roman" w:eastAsiaTheme="minorHAnsi" w:hAnsi="Times New Roman" w:cs="Times New Roman"/>
      <w:sz w:val="24"/>
      <w:szCs w:val="22"/>
      <w:lang w:eastAsia="en-US"/>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ind w:left="113" w:right="113"/>
      <w:jc w:val="center"/>
    </w:pPr>
    <w:rPr>
      <w:rFonts w:ascii="Times New Roman" w:hAnsi="Times New Roman" w:cs="Times New Roman"/>
      <w:b/>
      <w:sz w:val="32"/>
    </w:rPr>
  </w:style>
  <w:style w:type="paragraph" w:customStyle="1" w:styleId="HeaderSensitivityRight">
    <w:name w:val="Header Sensitivity Right"/>
    <w:basedOn w:val="Normal"/>
    <w:pPr>
      <w:jc w:val="right"/>
    </w:pPr>
    <w:rPr>
      <w:rFonts w:ascii="Times New Roman" w:hAnsi="Times New Roman" w:cs="Times New Roman"/>
      <w:sz w:val="28"/>
    </w:rPr>
  </w:style>
  <w:style w:type="paragraph" w:customStyle="1" w:styleId="FooterLandscape">
    <w:name w:val="FooterLandscape"/>
    <w:basedOn w:val="Normal"/>
    <w:pPr>
      <w:tabs>
        <w:tab w:val="center" w:pos="7285"/>
        <w:tab w:val="center" w:pos="10913"/>
        <w:tab w:val="right" w:pos="15137"/>
      </w:tabs>
      <w:spacing w:before="360" w:after="0"/>
      <w:ind w:left="-567" w:right="-567"/>
    </w:pPr>
    <w:rPr>
      <w:rFonts w:ascii="Times New Roman" w:eastAsiaTheme="minorHAnsi" w:hAnsi="Times New Roman" w:cs="Times New Roman"/>
      <w:sz w:val="24"/>
      <w:szCs w:val="22"/>
      <w:lang w:eastAsia="en-US"/>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rFonts w:ascii="Times New Roman" w:hAnsi="Times New Roman" w:cs="Times New Roman"/>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jc w:val="both"/>
    </w:pPr>
    <w:rPr>
      <w:rFonts w:ascii="Times New Roman" w:eastAsiaTheme="minorHAnsi" w:hAnsi="Times New Roman" w:cs="Times New Roman"/>
      <w:sz w:val="24"/>
      <w:szCs w:val="22"/>
      <w:lang w:eastAsia="en-US"/>
    </w:rPr>
  </w:style>
  <w:style w:type="paragraph" w:customStyle="1" w:styleId="SecurityMarking">
    <w:name w:val="SecurityMarking"/>
    <w:basedOn w:val="Normal"/>
    <w:pPr>
      <w:spacing w:after="0" w:line="276" w:lineRule="auto"/>
      <w:ind w:left="5103"/>
    </w:pPr>
    <w:rPr>
      <w:rFonts w:ascii="Times New Roman" w:eastAsiaTheme="minorHAnsi" w:hAnsi="Times New Roman" w:cs="Times New Roman"/>
      <w:sz w:val="28"/>
      <w:szCs w:val="22"/>
      <w:lang w:eastAsia="en-US"/>
    </w:rPr>
  </w:style>
  <w:style w:type="paragraph" w:customStyle="1" w:styleId="DateMarking">
    <w:name w:val="DateMarking"/>
    <w:basedOn w:val="Normal"/>
    <w:pPr>
      <w:spacing w:after="0" w:line="276" w:lineRule="auto"/>
      <w:ind w:left="5103"/>
    </w:pPr>
    <w:rPr>
      <w:rFonts w:ascii="Times New Roman" w:eastAsiaTheme="minorHAnsi" w:hAnsi="Times New Roman" w:cs="Times New Roman"/>
      <w:i/>
      <w:sz w:val="28"/>
      <w:szCs w:val="22"/>
      <w:lang w:eastAsia="en-US"/>
    </w:rPr>
  </w:style>
  <w:style w:type="paragraph" w:customStyle="1" w:styleId="ReleasableTo">
    <w:name w:val="ReleasableTo"/>
    <w:basedOn w:val="Normal"/>
    <w:pPr>
      <w:spacing w:after="0" w:line="276" w:lineRule="auto"/>
      <w:ind w:left="5103"/>
    </w:pPr>
    <w:rPr>
      <w:rFonts w:ascii="Times New Roman" w:eastAsiaTheme="minorHAnsi" w:hAnsi="Times New Roman" w:cs="Times New Roman"/>
      <w:i/>
      <w:sz w:val="28"/>
      <w:szCs w:val="22"/>
      <w:lang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UnresolvedMention2">
    <w:name w:val="Unresolved Mention2"/>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576491">
      <w:bodyDiv w:val="1"/>
      <w:marLeft w:val="0"/>
      <w:marRight w:val="0"/>
      <w:marTop w:val="0"/>
      <w:marBottom w:val="0"/>
      <w:divBdr>
        <w:top w:val="none" w:sz="0" w:space="0" w:color="auto"/>
        <w:left w:val="none" w:sz="0" w:space="0" w:color="auto"/>
        <w:bottom w:val="none" w:sz="0" w:space="0" w:color="auto"/>
        <w:right w:val="none" w:sz="0" w:space="0" w:color="auto"/>
      </w:divBdr>
    </w:div>
    <w:div w:id="436944370">
      <w:bodyDiv w:val="1"/>
      <w:marLeft w:val="0"/>
      <w:marRight w:val="0"/>
      <w:marTop w:val="0"/>
      <w:marBottom w:val="0"/>
      <w:divBdr>
        <w:top w:val="none" w:sz="0" w:space="0" w:color="auto"/>
        <w:left w:val="none" w:sz="0" w:space="0" w:color="auto"/>
        <w:bottom w:val="none" w:sz="0" w:space="0" w:color="auto"/>
        <w:right w:val="none" w:sz="0" w:space="0" w:color="auto"/>
      </w:divBdr>
    </w:div>
    <w:div w:id="605038106">
      <w:bodyDiv w:val="1"/>
      <w:marLeft w:val="0"/>
      <w:marRight w:val="0"/>
      <w:marTop w:val="0"/>
      <w:marBottom w:val="0"/>
      <w:divBdr>
        <w:top w:val="none" w:sz="0" w:space="0" w:color="auto"/>
        <w:left w:val="none" w:sz="0" w:space="0" w:color="auto"/>
        <w:bottom w:val="none" w:sz="0" w:space="0" w:color="auto"/>
        <w:right w:val="none" w:sz="0" w:space="0" w:color="auto"/>
      </w:divBdr>
    </w:div>
    <w:div w:id="640689684">
      <w:bodyDiv w:val="1"/>
      <w:marLeft w:val="0"/>
      <w:marRight w:val="0"/>
      <w:marTop w:val="0"/>
      <w:marBottom w:val="0"/>
      <w:divBdr>
        <w:top w:val="none" w:sz="0" w:space="0" w:color="auto"/>
        <w:left w:val="none" w:sz="0" w:space="0" w:color="auto"/>
        <w:bottom w:val="none" w:sz="0" w:space="0" w:color="auto"/>
        <w:right w:val="none" w:sz="0" w:space="0" w:color="auto"/>
      </w:divBdr>
    </w:div>
    <w:div w:id="662397485">
      <w:bodyDiv w:val="1"/>
      <w:marLeft w:val="0"/>
      <w:marRight w:val="0"/>
      <w:marTop w:val="0"/>
      <w:marBottom w:val="0"/>
      <w:divBdr>
        <w:top w:val="none" w:sz="0" w:space="0" w:color="auto"/>
        <w:left w:val="none" w:sz="0" w:space="0" w:color="auto"/>
        <w:bottom w:val="none" w:sz="0" w:space="0" w:color="auto"/>
        <w:right w:val="none" w:sz="0" w:space="0" w:color="auto"/>
      </w:divBdr>
    </w:div>
    <w:div w:id="814957810">
      <w:bodyDiv w:val="1"/>
      <w:marLeft w:val="0"/>
      <w:marRight w:val="0"/>
      <w:marTop w:val="0"/>
      <w:marBottom w:val="0"/>
      <w:divBdr>
        <w:top w:val="none" w:sz="0" w:space="0" w:color="auto"/>
        <w:left w:val="none" w:sz="0" w:space="0" w:color="auto"/>
        <w:bottom w:val="none" w:sz="0" w:space="0" w:color="auto"/>
        <w:right w:val="none" w:sz="0" w:space="0" w:color="auto"/>
      </w:divBdr>
    </w:div>
    <w:div w:id="852457057">
      <w:bodyDiv w:val="1"/>
      <w:marLeft w:val="0"/>
      <w:marRight w:val="0"/>
      <w:marTop w:val="0"/>
      <w:marBottom w:val="0"/>
      <w:divBdr>
        <w:top w:val="none" w:sz="0" w:space="0" w:color="auto"/>
        <w:left w:val="none" w:sz="0" w:space="0" w:color="auto"/>
        <w:bottom w:val="none" w:sz="0" w:space="0" w:color="auto"/>
        <w:right w:val="none" w:sz="0" w:space="0" w:color="auto"/>
      </w:divBdr>
    </w:div>
    <w:div w:id="937715902">
      <w:bodyDiv w:val="1"/>
      <w:marLeft w:val="0"/>
      <w:marRight w:val="0"/>
      <w:marTop w:val="0"/>
      <w:marBottom w:val="0"/>
      <w:divBdr>
        <w:top w:val="none" w:sz="0" w:space="0" w:color="auto"/>
        <w:left w:val="none" w:sz="0" w:space="0" w:color="auto"/>
        <w:bottom w:val="none" w:sz="0" w:space="0" w:color="auto"/>
        <w:right w:val="none" w:sz="0" w:space="0" w:color="auto"/>
      </w:divBdr>
    </w:div>
    <w:div w:id="976498224">
      <w:bodyDiv w:val="1"/>
      <w:marLeft w:val="0"/>
      <w:marRight w:val="0"/>
      <w:marTop w:val="0"/>
      <w:marBottom w:val="0"/>
      <w:divBdr>
        <w:top w:val="none" w:sz="0" w:space="0" w:color="auto"/>
        <w:left w:val="none" w:sz="0" w:space="0" w:color="auto"/>
        <w:bottom w:val="none" w:sz="0" w:space="0" w:color="auto"/>
        <w:right w:val="none" w:sz="0" w:space="0" w:color="auto"/>
      </w:divBdr>
    </w:div>
    <w:div w:id="1193766090">
      <w:bodyDiv w:val="1"/>
      <w:marLeft w:val="0"/>
      <w:marRight w:val="0"/>
      <w:marTop w:val="0"/>
      <w:marBottom w:val="0"/>
      <w:divBdr>
        <w:top w:val="none" w:sz="0" w:space="0" w:color="auto"/>
        <w:left w:val="none" w:sz="0" w:space="0" w:color="auto"/>
        <w:bottom w:val="none" w:sz="0" w:space="0" w:color="auto"/>
        <w:right w:val="none" w:sz="0" w:space="0" w:color="auto"/>
      </w:divBdr>
    </w:div>
    <w:div w:id="1221405828">
      <w:bodyDiv w:val="1"/>
      <w:marLeft w:val="0"/>
      <w:marRight w:val="0"/>
      <w:marTop w:val="0"/>
      <w:marBottom w:val="0"/>
      <w:divBdr>
        <w:top w:val="none" w:sz="0" w:space="0" w:color="auto"/>
        <w:left w:val="none" w:sz="0" w:space="0" w:color="auto"/>
        <w:bottom w:val="none" w:sz="0" w:space="0" w:color="auto"/>
        <w:right w:val="none" w:sz="0" w:space="0" w:color="auto"/>
      </w:divBdr>
    </w:div>
    <w:div w:id="1259944273">
      <w:bodyDiv w:val="1"/>
      <w:marLeft w:val="0"/>
      <w:marRight w:val="0"/>
      <w:marTop w:val="0"/>
      <w:marBottom w:val="0"/>
      <w:divBdr>
        <w:top w:val="none" w:sz="0" w:space="0" w:color="auto"/>
        <w:left w:val="none" w:sz="0" w:space="0" w:color="auto"/>
        <w:bottom w:val="none" w:sz="0" w:space="0" w:color="auto"/>
        <w:right w:val="none" w:sz="0" w:space="0" w:color="auto"/>
      </w:divBdr>
    </w:div>
    <w:div w:id="1512455331">
      <w:bodyDiv w:val="1"/>
      <w:marLeft w:val="0"/>
      <w:marRight w:val="0"/>
      <w:marTop w:val="0"/>
      <w:marBottom w:val="0"/>
      <w:divBdr>
        <w:top w:val="none" w:sz="0" w:space="0" w:color="auto"/>
        <w:left w:val="none" w:sz="0" w:space="0" w:color="auto"/>
        <w:bottom w:val="none" w:sz="0" w:space="0" w:color="auto"/>
        <w:right w:val="none" w:sz="0" w:space="0" w:color="auto"/>
      </w:divBdr>
    </w:div>
    <w:div w:id="1599176383">
      <w:bodyDiv w:val="1"/>
      <w:marLeft w:val="0"/>
      <w:marRight w:val="0"/>
      <w:marTop w:val="0"/>
      <w:marBottom w:val="0"/>
      <w:divBdr>
        <w:top w:val="none" w:sz="0" w:space="0" w:color="auto"/>
        <w:left w:val="none" w:sz="0" w:space="0" w:color="auto"/>
        <w:bottom w:val="none" w:sz="0" w:space="0" w:color="auto"/>
        <w:right w:val="none" w:sz="0" w:space="0" w:color="auto"/>
      </w:divBdr>
    </w:div>
    <w:div w:id="1737556785">
      <w:bodyDiv w:val="1"/>
      <w:marLeft w:val="0"/>
      <w:marRight w:val="0"/>
      <w:marTop w:val="0"/>
      <w:marBottom w:val="0"/>
      <w:divBdr>
        <w:top w:val="none" w:sz="0" w:space="0" w:color="auto"/>
        <w:left w:val="none" w:sz="0" w:space="0" w:color="auto"/>
        <w:bottom w:val="none" w:sz="0" w:space="0" w:color="auto"/>
        <w:right w:val="none" w:sz="0" w:space="0" w:color="auto"/>
      </w:divBdr>
    </w:div>
    <w:div w:id="1895656447">
      <w:bodyDiv w:val="1"/>
      <w:marLeft w:val="0"/>
      <w:marRight w:val="0"/>
      <w:marTop w:val="0"/>
      <w:marBottom w:val="0"/>
      <w:divBdr>
        <w:top w:val="none" w:sz="0" w:space="0" w:color="auto"/>
        <w:left w:val="none" w:sz="0" w:space="0" w:color="auto"/>
        <w:bottom w:val="none" w:sz="0" w:space="0" w:color="auto"/>
        <w:right w:val="none" w:sz="0" w:space="0" w:color="auto"/>
      </w:divBdr>
    </w:div>
    <w:div w:id="1955672307">
      <w:bodyDiv w:val="1"/>
      <w:marLeft w:val="0"/>
      <w:marRight w:val="0"/>
      <w:marTop w:val="0"/>
      <w:marBottom w:val="0"/>
      <w:divBdr>
        <w:top w:val="none" w:sz="0" w:space="0" w:color="auto"/>
        <w:left w:val="none" w:sz="0" w:space="0" w:color="auto"/>
        <w:bottom w:val="none" w:sz="0" w:space="0" w:color="auto"/>
        <w:right w:val="none" w:sz="0" w:space="0" w:color="auto"/>
      </w:divBdr>
    </w:div>
    <w:div w:id="2029091440">
      <w:bodyDiv w:val="1"/>
      <w:marLeft w:val="0"/>
      <w:marRight w:val="0"/>
      <w:marTop w:val="0"/>
      <w:marBottom w:val="0"/>
      <w:divBdr>
        <w:top w:val="none" w:sz="0" w:space="0" w:color="auto"/>
        <w:left w:val="none" w:sz="0" w:space="0" w:color="auto"/>
        <w:bottom w:val="none" w:sz="0" w:space="0" w:color="auto"/>
        <w:right w:val="none" w:sz="0" w:space="0" w:color="auto"/>
      </w:divBdr>
    </w:div>
    <w:div w:id="210580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image" Target="media/image17.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36763-228C-4A0D-92A0-6DD1B8DD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4707</Words>
  <Characters>28573</Characters>
  <Application>Microsoft Office Word</Application>
  <DocSecurity>0</DocSecurity>
  <Lines>529</Lines>
  <Paragraphs>160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33120</CharactersWithSpaces>
  <SharedDoc>false</SharedDoc>
  <HLinks>
    <vt:vector size="198" baseType="variant">
      <vt:variant>
        <vt:i4>3604575</vt:i4>
      </vt:variant>
      <vt:variant>
        <vt:i4>204</vt:i4>
      </vt:variant>
      <vt:variant>
        <vt:i4>0</vt:i4>
      </vt:variant>
      <vt:variant>
        <vt:i4>5</vt:i4>
      </vt:variant>
      <vt:variant>
        <vt:lpwstr>mailto:JUST-CRIMINAL-RECORD@ec.europa.eu</vt:lpwstr>
      </vt:variant>
      <vt:variant>
        <vt:lpwstr/>
      </vt:variant>
      <vt:variant>
        <vt:i4>786523</vt:i4>
      </vt:variant>
      <vt:variant>
        <vt:i4>201</vt:i4>
      </vt:variant>
      <vt:variant>
        <vt:i4>0</vt:i4>
      </vt:variant>
      <vt:variant>
        <vt:i4>5</vt:i4>
      </vt:variant>
      <vt:variant>
        <vt:lpwstr>http://www.statistics.be/</vt:lpwstr>
      </vt:variant>
      <vt:variant>
        <vt:lpwstr/>
      </vt:variant>
      <vt:variant>
        <vt:i4>1376314</vt:i4>
      </vt:variant>
      <vt:variant>
        <vt:i4>191</vt:i4>
      </vt:variant>
      <vt:variant>
        <vt:i4>0</vt:i4>
      </vt:variant>
      <vt:variant>
        <vt:i4>5</vt:i4>
      </vt:variant>
      <vt:variant>
        <vt:lpwstr/>
      </vt:variant>
      <vt:variant>
        <vt:lpwstr>_Toc366161943</vt:lpwstr>
      </vt:variant>
      <vt:variant>
        <vt:i4>1376314</vt:i4>
      </vt:variant>
      <vt:variant>
        <vt:i4>185</vt:i4>
      </vt:variant>
      <vt:variant>
        <vt:i4>0</vt:i4>
      </vt:variant>
      <vt:variant>
        <vt:i4>5</vt:i4>
      </vt:variant>
      <vt:variant>
        <vt:lpwstr/>
      </vt:variant>
      <vt:variant>
        <vt:lpwstr>_Toc366161943</vt:lpwstr>
      </vt:variant>
      <vt:variant>
        <vt:i4>1376314</vt:i4>
      </vt:variant>
      <vt:variant>
        <vt:i4>179</vt:i4>
      </vt:variant>
      <vt:variant>
        <vt:i4>0</vt:i4>
      </vt:variant>
      <vt:variant>
        <vt:i4>5</vt:i4>
      </vt:variant>
      <vt:variant>
        <vt:lpwstr/>
      </vt:variant>
      <vt:variant>
        <vt:lpwstr>_Toc366161942</vt:lpwstr>
      </vt:variant>
      <vt:variant>
        <vt:i4>1376314</vt:i4>
      </vt:variant>
      <vt:variant>
        <vt:i4>173</vt:i4>
      </vt:variant>
      <vt:variant>
        <vt:i4>0</vt:i4>
      </vt:variant>
      <vt:variant>
        <vt:i4>5</vt:i4>
      </vt:variant>
      <vt:variant>
        <vt:lpwstr/>
      </vt:variant>
      <vt:variant>
        <vt:lpwstr>_Toc366161941</vt:lpwstr>
      </vt:variant>
      <vt:variant>
        <vt:i4>1376314</vt:i4>
      </vt:variant>
      <vt:variant>
        <vt:i4>167</vt:i4>
      </vt:variant>
      <vt:variant>
        <vt:i4>0</vt:i4>
      </vt:variant>
      <vt:variant>
        <vt:i4>5</vt:i4>
      </vt:variant>
      <vt:variant>
        <vt:lpwstr/>
      </vt:variant>
      <vt:variant>
        <vt:lpwstr>_Toc366161940</vt:lpwstr>
      </vt:variant>
      <vt:variant>
        <vt:i4>1179706</vt:i4>
      </vt:variant>
      <vt:variant>
        <vt:i4>161</vt:i4>
      </vt:variant>
      <vt:variant>
        <vt:i4>0</vt:i4>
      </vt:variant>
      <vt:variant>
        <vt:i4>5</vt:i4>
      </vt:variant>
      <vt:variant>
        <vt:lpwstr/>
      </vt:variant>
      <vt:variant>
        <vt:lpwstr>_Toc366161939</vt:lpwstr>
      </vt:variant>
      <vt:variant>
        <vt:i4>1179706</vt:i4>
      </vt:variant>
      <vt:variant>
        <vt:i4>155</vt:i4>
      </vt:variant>
      <vt:variant>
        <vt:i4>0</vt:i4>
      </vt:variant>
      <vt:variant>
        <vt:i4>5</vt:i4>
      </vt:variant>
      <vt:variant>
        <vt:lpwstr/>
      </vt:variant>
      <vt:variant>
        <vt:lpwstr>_Toc366161938</vt:lpwstr>
      </vt:variant>
      <vt:variant>
        <vt:i4>1179706</vt:i4>
      </vt:variant>
      <vt:variant>
        <vt:i4>149</vt:i4>
      </vt:variant>
      <vt:variant>
        <vt:i4>0</vt:i4>
      </vt:variant>
      <vt:variant>
        <vt:i4>5</vt:i4>
      </vt:variant>
      <vt:variant>
        <vt:lpwstr/>
      </vt:variant>
      <vt:variant>
        <vt:lpwstr>_Toc366161937</vt:lpwstr>
      </vt:variant>
      <vt:variant>
        <vt:i4>1179706</vt:i4>
      </vt:variant>
      <vt:variant>
        <vt:i4>143</vt:i4>
      </vt:variant>
      <vt:variant>
        <vt:i4>0</vt:i4>
      </vt:variant>
      <vt:variant>
        <vt:i4>5</vt:i4>
      </vt:variant>
      <vt:variant>
        <vt:lpwstr/>
      </vt:variant>
      <vt:variant>
        <vt:lpwstr>_Toc366161936</vt:lpwstr>
      </vt:variant>
      <vt:variant>
        <vt:i4>1179706</vt:i4>
      </vt:variant>
      <vt:variant>
        <vt:i4>137</vt:i4>
      </vt:variant>
      <vt:variant>
        <vt:i4>0</vt:i4>
      </vt:variant>
      <vt:variant>
        <vt:i4>5</vt:i4>
      </vt:variant>
      <vt:variant>
        <vt:lpwstr/>
      </vt:variant>
      <vt:variant>
        <vt:lpwstr>_Toc366161935</vt:lpwstr>
      </vt:variant>
      <vt:variant>
        <vt:i4>1179706</vt:i4>
      </vt:variant>
      <vt:variant>
        <vt:i4>131</vt:i4>
      </vt:variant>
      <vt:variant>
        <vt:i4>0</vt:i4>
      </vt:variant>
      <vt:variant>
        <vt:i4>5</vt:i4>
      </vt:variant>
      <vt:variant>
        <vt:lpwstr/>
      </vt:variant>
      <vt:variant>
        <vt:lpwstr>_Toc366161934</vt:lpwstr>
      </vt:variant>
      <vt:variant>
        <vt:i4>1179706</vt:i4>
      </vt:variant>
      <vt:variant>
        <vt:i4>125</vt:i4>
      </vt:variant>
      <vt:variant>
        <vt:i4>0</vt:i4>
      </vt:variant>
      <vt:variant>
        <vt:i4>5</vt:i4>
      </vt:variant>
      <vt:variant>
        <vt:lpwstr/>
      </vt:variant>
      <vt:variant>
        <vt:lpwstr>_Toc366161933</vt:lpwstr>
      </vt:variant>
      <vt:variant>
        <vt:i4>1179706</vt:i4>
      </vt:variant>
      <vt:variant>
        <vt:i4>119</vt:i4>
      </vt:variant>
      <vt:variant>
        <vt:i4>0</vt:i4>
      </vt:variant>
      <vt:variant>
        <vt:i4>5</vt:i4>
      </vt:variant>
      <vt:variant>
        <vt:lpwstr/>
      </vt:variant>
      <vt:variant>
        <vt:lpwstr>_Toc366161932</vt:lpwstr>
      </vt:variant>
      <vt:variant>
        <vt:i4>1179706</vt:i4>
      </vt:variant>
      <vt:variant>
        <vt:i4>113</vt:i4>
      </vt:variant>
      <vt:variant>
        <vt:i4>0</vt:i4>
      </vt:variant>
      <vt:variant>
        <vt:i4>5</vt:i4>
      </vt:variant>
      <vt:variant>
        <vt:lpwstr/>
      </vt:variant>
      <vt:variant>
        <vt:lpwstr>_Toc366161931</vt:lpwstr>
      </vt:variant>
      <vt:variant>
        <vt:i4>1179706</vt:i4>
      </vt:variant>
      <vt:variant>
        <vt:i4>107</vt:i4>
      </vt:variant>
      <vt:variant>
        <vt:i4>0</vt:i4>
      </vt:variant>
      <vt:variant>
        <vt:i4>5</vt:i4>
      </vt:variant>
      <vt:variant>
        <vt:lpwstr/>
      </vt:variant>
      <vt:variant>
        <vt:lpwstr>_Toc366161930</vt:lpwstr>
      </vt:variant>
      <vt:variant>
        <vt:i4>1245242</vt:i4>
      </vt:variant>
      <vt:variant>
        <vt:i4>101</vt:i4>
      </vt:variant>
      <vt:variant>
        <vt:i4>0</vt:i4>
      </vt:variant>
      <vt:variant>
        <vt:i4>5</vt:i4>
      </vt:variant>
      <vt:variant>
        <vt:lpwstr/>
      </vt:variant>
      <vt:variant>
        <vt:lpwstr>_Toc366161929</vt:lpwstr>
      </vt:variant>
      <vt:variant>
        <vt:i4>1245242</vt:i4>
      </vt:variant>
      <vt:variant>
        <vt:i4>95</vt:i4>
      </vt:variant>
      <vt:variant>
        <vt:i4>0</vt:i4>
      </vt:variant>
      <vt:variant>
        <vt:i4>5</vt:i4>
      </vt:variant>
      <vt:variant>
        <vt:lpwstr/>
      </vt:variant>
      <vt:variant>
        <vt:lpwstr>_Toc366161928</vt:lpwstr>
      </vt:variant>
      <vt:variant>
        <vt:i4>1245242</vt:i4>
      </vt:variant>
      <vt:variant>
        <vt:i4>89</vt:i4>
      </vt:variant>
      <vt:variant>
        <vt:i4>0</vt:i4>
      </vt:variant>
      <vt:variant>
        <vt:i4>5</vt:i4>
      </vt:variant>
      <vt:variant>
        <vt:lpwstr/>
      </vt:variant>
      <vt:variant>
        <vt:lpwstr>_Toc366161927</vt:lpwstr>
      </vt:variant>
      <vt:variant>
        <vt:i4>1245242</vt:i4>
      </vt:variant>
      <vt:variant>
        <vt:i4>83</vt:i4>
      </vt:variant>
      <vt:variant>
        <vt:i4>0</vt:i4>
      </vt:variant>
      <vt:variant>
        <vt:i4>5</vt:i4>
      </vt:variant>
      <vt:variant>
        <vt:lpwstr/>
      </vt:variant>
      <vt:variant>
        <vt:lpwstr>_Toc366161926</vt:lpwstr>
      </vt:variant>
      <vt:variant>
        <vt:i4>1245242</vt:i4>
      </vt:variant>
      <vt:variant>
        <vt:i4>77</vt:i4>
      </vt:variant>
      <vt:variant>
        <vt:i4>0</vt:i4>
      </vt:variant>
      <vt:variant>
        <vt:i4>5</vt:i4>
      </vt:variant>
      <vt:variant>
        <vt:lpwstr/>
      </vt:variant>
      <vt:variant>
        <vt:lpwstr>_Toc366161925</vt:lpwstr>
      </vt:variant>
      <vt:variant>
        <vt:i4>1245242</vt:i4>
      </vt:variant>
      <vt:variant>
        <vt:i4>71</vt:i4>
      </vt:variant>
      <vt:variant>
        <vt:i4>0</vt:i4>
      </vt:variant>
      <vt:variant>
        <vt:i4>5</vt:i4>
      </vt:variant>
      <vt:variant>
        <vt:lpwstr/>
      </vt:variant>
      <vt:variant>
        <vt:lpwstr>_Toc366161924</vt:lpwstr>
      </vt:variant>
      <vt:variant>
        <vt:i4>1245242</vt:i4>
      </vt:variant>
      <vt:variant>
        <vt:i4>65</vt:i4>
      </vt:variant>
      <vt:variant>
        <vt:i4>0</vt:i4>
      </vt:variant>
      <vt:variant>
        <vt:i4>5</vt:i4>
      </vt:variant>
      <vt:variant>
        <vt:lpwstr/>
      </vt:variant>
      <vt:variant>
        <vt:lpwstr>_Toc366161923</vt:lpwstr>
      </vt:variant>
      <vt:variant>
        <vt:i4>1245242</vt:i4>
      </vt:variant>
      <vt:variant>
        <vt:i4>59</vt:i4>
      </vt:variant>
      <vt:variant>
        <vt:i4>0</vt:i4>
      </vt:variant>
      <vt:variant>
        <vt:i4>5</vt:i4>
      </vt:variant>
      <vt:variant>
        <vt:lpwstr/>
      </vt:variant>
      <vt:variant>
        <vt:lpwstr>_Toc366161922</vt:lpwstr>
      </vt:variant>
      <vt:variant>
        <vt:i4>1245242</vt:i4>
      </vt:variant>
      <vt:variant>
        <vt:i4>53</vt:i4>
      </vt:variant>
      <vt:variant>
        <vt:i4>0</vt:i4>
      </vt:variant>
      <vt:variant>
        <vt:i4>5</vt:i4>
      </vt:variant>
      <vt:variant>
        <vt:lpwstr/>
      </vt:variant>
      <vt:variant>
        <vt:lpwstr>_Toc366161921</vt:lpwstr>
      </vt:variant>
      <vt:variant>
        <vt:i4>1245242</vt:i4>
      </vt:variant>
      <vt:variant>
        <vt:i4>47</vt:i4>
      </vt:variant>
      <vt:variant>
        <vt:i4>0</vt:i4>
      </vt:variant>
      <vt:variant>
        <vt:i4>5</vt:i4>
      </vt:variant>
      <vt:variant>
        <vt:lpwstr/>
      </vt:variant>
      <vt:variant>
        <vt:lpwstr>_Toc366161920</vt:lpwstr>
      </vt:variant>
      <vt:variant>
        <vt:i4>1048634</vt:i4>
      </vt:variant>
      <vt:variant>
        <vt:i4>41</vt:i4>
      </vt:variant>
      <vt:variant>
        <vt:i4>0</vt:i4>
      </vt:variant>
      <vt:variant>
        <vt:i4>5</vt:i4>
      </vt:variant>
      <vt:variant>
        <vt:lpwstr/>
      </vt:variant>
      <vt:variant>
        <vt:lpwstr>_Toc366161919</vt:lpwstr>
      </vt:variant>
      <vt:variant>
        <vt:i4>1048634</vt:i4>
      </vt:variant>
      <vt:variant>
        <vt:i4>35</vt:i4>
      </vt:variant>
      <vt:variant>
        <vt:i4>0</vt:i4>
      </vt:variant>
      <vt:variant>
        <vt:i4>5</vt:i4>
      </vt:variant>
      <vt:variant>
        <vt:lpwstr/>
      </vt:variant>
      <vt:variant>
        <vt:lpwstr>_Toc366161918</vt:lpwstr>
      </vt:variant>
      <vt:variant>
        <vt:i4>1048634</vt:i4>
      </vt:variant>
      <vt:variant>
        <vt:i4>29</vt:i4>
      </vt:variant>
      <vt:variant>
        <vt:i4>0</vt:i4>
      </vt:variant>
      <vt:variant>
        <vt:i4>5</vt:i4>
      </vt:variant>
      <vt:variant>
        <vt:lpwstr/>
      </vt:variant>
      <vt:variant>
        <vt:lpwstr>_Toc366161917</vt:lpwstr>
      </vt:variant>
      <vt:variant>
        <vt:i4>1048634</vt:i4>
      </vt:variant>
      <vt:variant>
        <vt:i4>23</vt:i4>
      </vt:variant>
      <vt:variant>
        <vt:i4>0</vt:i4>
      </vt:variant>
      <vt:variant>
        <vt:i4>5</vt:i4>
      </vt:variant>
      <vt:variant>
        <vt:lpwstr/>
      </vt:variant>
      <vt:variant>
        <vt:lpwstr>_Toc366161916</vt:lpwstr>
      </vt:variant>
      <vt:variant>
        <vt:i4>1048634</vt:i4>
      </vt:variant>
      <vt:variant>
        <vt:i4>17</vt:i4>
      </vt:variant>
      <vt:variant>
        <vt:i4>0</vt:i4>
      </vt:variant>
      <vt:variant>
        <vt:i4>5</vt:i4>
      </vt:variant>
      <vt:variant>
        <vt:lpwstr/>
      </vt:variant>
      <vt:variant>
        <vt:lpwstr>_Toc366161915</vt:lpwstr>
      </vt:variant>
      <vt:variant>
        <vt:i4>1048634</vt:i4>
      </vt:variant>
      <vt:variant>
        <vt:i4>11</vt:i4>
      </vt:variant>
      <vt:variant>
        <vt:i4>0</vt:i4>
      </vt:variant>
      <vt:variant>
        <vt:i4>5</vt:i4>
      </vt:variant>
      <vt:variant>
        <vt:lpwstr/>
      </vt:variant>
      <vt:variant>
        <vt:lpwstr>_Toc366161914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2020-12-09T14:24:00Z</dcterms:created>
  <dcterms:modified xsi:type="dcterms:W3CDTF">2021-01-09T07:48:00Z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7.0.1, Build 20190916</vt:lpwstr>
  </property>
  <property fmtid="{D5CDD505-2E9C-101B-9397-08002B2CF9AE}" pid="4" name="DocStatus">
    <vt:lpwstr>Green</vt:lpwstr>
  </property>
  <property fmtid="{D5CDD505-2E9C-101B-9397-08002B2CF9AE}" pid="5" name="Part">
    <vt:lpwstr>1</vt:lpwstr>
  </property>
  <property fmtid="{D5CDD505-2E9C-101B-9397-08002B2CF9AE}" pid="6" name="Total parts">
    <vt:lpwstr>1</vt:lpwstr>
  </property>
  <property fmtid="{D5CDD505-2E9C-101B-9397-08002B2CF9AE}" pid="7" name="CPTemplateID">
    <vt:lpwstr>CP-006</vt:lpwstr>
  </property>
</Properties>
</file>