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41271847-487C-4665-A866-7335D643A18B" style="width:450.4pt;height:334.05pt">
            <v:imagedata r:id="rId9" o:title=""/>
          </v:shape>
        </w:pict>
      </w:r>
    </w:p>
    <w:bookmarkEnd w:id="0"/>
    <w:p>
      <w:pPr>
        <w:spacing w:line="360" w:lineRule="auto"/>
        <w:rPr>
          <w:rFonts w:ascii="Times New Roman" w:hAnsi="Times New Roman" w:cs="Times New Roman"/>
          <w:noProof/>
          <w:lang w:val="en-IE"/>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line="360" w:lineRule="auto"/>
        <w:jc w:val="center"/>
        <w:rPr>
          <w:rFonts w:ascii="Times New Roman" w:hAnsi="Times New Roman" w:cs="Times New Roman"/>
          <w:b/>
          <w:noProof/>
          <w:sz w:val="24"/>
          <w:szCs w:val="24"/>
        </w:rPr>
      </w:pPr>
      <w:bookmarkStart w:id="1" w:name="_GoBack"/>
      <w:bookmarkEnd w:id="1"/>
      <w:r>
        <w:rPr>
          <w:rFonts w:ascii="Times New Roman" w:hAnsi="Times New Roman"/>
          <w:b/>
          <w:noProof/>
          <w:sz w:val="24"/>
          <w:szCs w:val="24"/>
        </w:rPr>
        <w:lastRenderedPageBreak/>
        <w:t>KOMISIJOS ATASKAITA EUROPOS PARLAMENTUI IR TARYBAI</w:t>
      </w:r>
    </w:p>
    <w:p>
      <w:pPr>
        <w:spacing w:before="120" w:after="120" w:line="360" w:lineRule="auto"/>
        <w:jc w:val="center"/>
        <w:rPr>
          <w:rFonts w:ascii="Times New Roman" w:eastAsia="Times New Roman" w:hAnsi="Times New Roman" w:cs="Times New Roman"/>
          <w:b/>
          <w:noProof/>
          <w:sz w:val="24"/>
          <w:szCs w:val="24"/>
        </w:rPr>
      </w:pPr>
      <w:r>
        <w:rPr>
          <w:rFonts w:ascii="Times New Roman" w:hAnsi="Times New Roman"/>
          <w:b/>
          <w:noProof/>
          <w:sz w:val="24"/>
          <w:szCs w:val="24"/>
        </w:rPr>
        <w:t>dėl Europos Sąjungos ir Australijos susitarimo dėl oro vežėjų atliekamo keleivio duomenų įrašo (PNR) duomenų tvarkymo ir perdavimo Australijos muitinės ir sienos apsaugos tarnybai įgyvendinimo bendros peržiūros</w:t>
      </w:r>
    </w:p>
    <w:p>
      <w:pPr>
        <w:spacing w:line="360" w:lineRule="auto"/>
        <w:rPr>
          <w:rFonts w:ascii="Times New Roman" w:hAnsi="Times New Roman" w:cs="Times New Roman"/>
          <w:noProof/>
          <w:sz w:val="24"/>
          <w:szCs w:val="24"/>
          <w:u w:val="single"/>
        </w:rPr>
      </w:pPr>
      <w:r>
        <w:rPr>
          <w:rFonts w:ascii="Times New Roman" w:hAnsi="Times New Roman"/>
          <w:noProof/>
          <w:sz w:val="24"/>
          <w:szCs w:val="24"/>
          <w:u w:val="single"/>
        </w:rPr>
        <w:t xml:space="preserve">Įvadas </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Susitarimas dėl Europos Sąjungos ir Australijos susitarimo dėl oro vežėjų atliekamo keleivio duomenų įrašo (PNR) duomenų tvarkymo ir perdavimo Australijos muitinės ir sienos apsaugos tarnybai (toliau – Susitarimas)</w:t>
      </w:r>
      <w:r>
        <w:rPr>
          <w:rStyle w:val="FootnoteReference"/>
          <w:rFonts w:ascii="Times New Roman" w:hAnsi="Times New Roman" w:cs="Times New Roman"/>
          <w:noProof/>
          <w:sz w:val="24"/>
          <w:szCs w:val="24"/>
          <w:lang w:val="en-IE"/>
        </w:rPr>
        <w:footnoteReference w:id="2"/>
      </w:r>
      <w:r>
        <w:rPr>
          <w:rFonts w:ascii="Times New Roman" w:hAnsi="Times New Roman"/>
          <w:noProof/>
          <w:sz w:val="24"/>
          <w:szCs w:val="24"/>
        </w:rPr>
        <w:t xml:space="preserve"> įsigaliojo 2012 m. birželio 1 d. Pagal ES ir Australijos PNR susitarimo 24 straipsnio 2 dalį Šalys atlieka Susitarimo įgyvendinimo ir visų su juo susijusių aspektų bendrą peržiūrą praėjus metams po jo įsigaliojimo, o vėliau – reguliariai.</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Bendra peržiūra grindžiama metodika, kurią parengė ES ir Australijos grupės dėl Susitarimo pirmos bendros peržiūros, atliktos 2013 m. rugpjūčio 29–30 d. Kanberoje. Peržiūros rezultatų ataskaitą Komisija Europos Parlamentui ir Tarybai pateikė 2014 m.</w:t>
      </w:r>
      <w:r>
        <w:rPr>
          <w:rStyle w:val="FootnoteReference"/>
          <w:rFonts w:ascii="Times New Roman" w:hAnsi="Times New Roman" w:cs="Times New Roman"/>
          <w:noProof/>
          <w:sz w:val="24"/>
          <w:szCs w:val="24"/>
          <w:lang w:val="en-IE"/>
        </w:rPr>
        <w:footnoteReference w:id="3"/>
      </w:r>
      <w:r>
        <w:rPr>
          <w:rFonts w:ascii="Times New Roman" w:hAnsi="Times New Roman"/>
          <w:noProof/>
          <w:sz w:val="24"/>
          <w:szCs w:val="24"/>
        </w:rPr>
        <w:t xml:space="preserve"> </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Antroji bendra Susitarimo peržiūra kartu su to paties Susitarimo bendru vertinimu</w:t>
      </w:r>
      <w:r>
        <w:rPr>
          <w:rStyle w:val="FootnoteReference"/>
          <w:rFonts w:ascii="Times New Roman" w:hAnsi="Times New Roman" w:cs="Times New Roman"/>
          <w:noProof/>
          <w:sz w:val="24"/>
          <w:szCs w:val="24"/>
          <w:lang w:val="en-IE"/>
        </w:rPr>
        <w:footnoteReference w:id="4"/>
      </w:r>
      <w:r>
        <w:rPr>
          <w:rFonts w:ascii="Times New Roman" w:hAnsi="Times New Roman"/>
          <w:noProof/>
          <w:sz w:val="24"/>
          <w:szCs w:val="24"/>
        </w:rPr>
        <w:t xml:space="preserve"> atlikta 2019 m. rugpjūčio 14 d. Kanberoje. Bendros peržiūros ir atitinkamos ataskaitos parengiamasis procesas aprašytas šios ataskaitos pabaigoje. Komisijos tarnybų darbiniame dokumente pateikiama detalesnė informacija ir išsami analizė visomis šioje bendroje peržiūroje aptariamomis temomis. </w:t>
      </w:r>
    </w:p>
    <w:p>
      <w:pPr>
        <w:spacing w:line="360" w:lineRule="auto"/>
        <w:rPr>
          <w:rFonts w:ascii="Times New Roman" w:hAnsi="Times New Roman" w:cs="Times New Roman"/>
          <w:noProof/>
          <w:sz w:val="24"/>
          <w:szCs w:val="24"/>
          <w:u w:val="single"/>
        </w:rPr>
      </w:pPr>
      <w:r>
        <w:rPr>
          <w:rFonts w:ascii="Times New Roman" w:hAnsi="Times New Roman"/>
          <w:noProof/>
          <w:sz w:val="24"/>
          <w:szCs w:val="24"/>
          <w:u w:val="single"/>
        </w:rPr>
        <w:t>Bendros peržiūros ir ataskaitos teikimo parengiamasis procesas</w:t>
      </w:r>
    </w:p>
    <w:p>
      <w:pPr>
        <w:pStyle w:val="ListParagraph"/>
        <w:numPr>
          <w:ilvl w:val="0"/>
          <w:numId w:val="5"/>
        </w:numPr>
        <w:spacing w:line="360" w:lineRule="auto"/>
        <w:jc w:val="both"/>
        <w:rPr>
          <w:rFonts w:ascii="Times New Roman" w:hAnsi="Times New Roman" w:cs="Times New Roman"/>
          <w:noProof/>
          <w:sz w:val="24"/>
          <w:szCs w:val="24"/>
        </w:rPr>
      </w:pPr>
      <w:r>
        <w:rPr>
          <w:rFonts w:ascii="Times New Roman" w:hAnsi="Times New Roman"/>
          <w:noProof/>
          <w:sz w:val="24"/>
          <w:szCs w:val="24"/>
        </w:rPr>
        <w:t xml:space="preserve">Prieš pradedant bendrą peržiūrą 2019 m. birželio 28 d. Komisija Australijos vidaus reikalų departamentui (toliau – Departamentas) išsiuntė klausimyną. Klausimyne buvo pateikta konkrečių klausimų, susijusių su Departamento vykdomu Susitarimo įgyvendinimu ir su Australijos sistemos organizaciniais pokyčiais. Prieš pradedant </w:t>
      </w:r>
      <w:r>
        <w:rPr>
          <w:rFonts w:ascii="Times New Roman" w:hAnsi="Times New Roman"/>
          <w:noProof/>
          <w:sz w:val="24"/>
          <w:szCs w:val="24"/>
        </w:rPr>
        <w:lastRenderedPageBreak/>
        <w:t xml:space="preserve">bendrą peržiūrą Departamentas pateikė rašytinį atsakymų į klausimyną projektą ir po to galutinę konsoliduotą redakciją. </w:t>
      </w:r>
    </w:p>
    <w:p>
      <w:pPr>
        <w:pStyle w:val="ListParagraph"/>
        <w:numPr>
          <w:ilvl w:val="0"/>
          <w:numId w:val="5"/>
        </w:numPr>
        <w:spacing w:line="360" w:lineRule="auto"/>
        <w:jc w:val="both"/>
        <w:rPr>
          <w:rFonts w:ascii="Times New Roman" w:hAnsi="Times New Roman" w:cs="Times New Roman"/>
          <w:noProof/>
          <w:sz w:val="24"/>
          <w:szCs w:val="24"/>
        </w:rPr>
      </w:pPr>
      <w:r>
        <w:rPr>
          <w:rFonts w:ascii="Times New Roman" w:hAnsi="Times New Roman"/>
          <w:noProof/>
          <w:sz w:val="24"/>
          <w:szCs w:val="24"/>
        </w:rPr>
        <w:t>2019 m. rugpjūčio 14 d. ES grupė surengė bendros peržiūros vizitą, jai buvo leista patekti į Departamento patalpas. ES grupė neturėjo prieigos prie jokios PNR duomenis tvarkančios sistemos.</w:t>
      </w:r>
    </w:p>
    <w:p>
      <w:pPr>
        <w:pStyle w:val="ListParagraph"/>
        <w:numPr>
          <w:ilvl w:val="0"/>
          <w:numId w:val="5"/>
        </w:numPr>
        <w:spacing w:line="360" w:lineRule="auto"/>
        <w:jc w:val="both"/>
        <w:rPr>
          <w:rFonts w:ascii="Times New Roman" w:hAnsi="Times New Roman" w:cs="Times New Roman"/>
          <w:noProof/>
          <w:sz w:val="24"/>
          <w:szCs w:val="24"/>
        </w:rPr>
      </w:pPr>
      <w:r>
        <w:rPr>
          <w:rFonts w:ascii="Times New Roman" w:hAnsi="Times New Roman"/>
          <w:noProof/>
          <w:sz w:val="24"/>
          <w:szCs w:val="24"/>
        </w:rPr>
        <w:t>Departamento prašymu visi ES grupės nariai pasirašė konfidencialumo susitarimą – tai buvo jų dalyvavimo šiame procese sąlyga.</w:t>
      </w:r>
    </w:p>
    <w:p>
      <w:pPr>
        <w:pStyle w:val="ListParagraph"/>
        <w:numPr>
          <w:ilvl w:val="0"/>
          <w:numId w:val="5"/>
        </w:numPr>
        <w:spacing w:line="360" w:lineRule="auto"/>
        <w:jc w:val="both"/>
        <w:rPr>
          <w:rFonts w:ascii="Times New Roman" w:hAnsi="Times New Roman" w:cs="Times New Roman"/>
          <w:noProof/>
          <w:sz w:val="24"/>
          <w:szCs w:val="24"/>
        </w:rPr>
      </w:pPr>
      <w:r>
        <w:rPr>
          <w:rFonts w:ascii="Times New Roman" w:hAnsi="Times New Roman"/>
          <w:noProof/>
          <w:sz w:val="24"/>
          <w:szCs w:val="24"/>
        </w:rPr>
        <w:t>Departamente atsakymai į klausimyno klausimus buvo išsamiai aptarti. ES grupė taip pat turėjo galimybę užduoti daugiau klausimų Departamento personalui ir aptarti įvairius Susitarimo aspektus.</w:t>
      </w:r>
    </w:p>
    <w:p>
      <w:pPr>
        <w:pStyle w:val="ListParagraph"/>
        <w:numPr>
          <w:ilvl w:val="0"/>
          <w:numId w:val="5"/>
        </w:numPr>
        <w:spacing w:line="360" w:lineRule="auto"/>
        <w:jc w:val="both"/>
        <w:rPr>
          <w:rFonts w:ascii="Times New Roman" w:hAnsi="Times New Roman" w:cs="Times New Roman"/>
          <w:noProof/>
          <w:sz w:val="24"/>
          <w:szCs w:val="24"/>
        </w:rPr>
      </w:pPr>
      <w:r>
        <w:rPr>
          <w:rFonts w:ascii="Times New Roman" w:hAnsi="Times New Roman"/>
          <w:noProof/>
          <w:sz w:val="24"/>
          <w:szCs w:val="24"/>
        </w:rPr>
        <w:t xml:space="preserve">ES grupės vizito rezultatai buvo pateikti pridedamame Komisijos tarnybų darbiniame dokumente, kuriuo taip pat pasidalyta su Departamentu. Taip Australijai suteikta galimybė pateikti pastabas dėl netikslumų ir nurodyti, kurios informacijos negalima atskleisti visuomenei. </w:t>
      </w:r>
    </w:p>
    <w:p>
      <w:pPr>
        <w:spacing w:line="360" w:lineRule="auto"/>
        <w:rPr>
          <w:rFonts w:ascii="Times New Roman" w:hAnsi="Times New Roman" w:cs="Times New Roman"/>
          <w:noProof/>
          <w:sz w:val="24"/>
          <w:szCs w:val="24"/>
          <w:u w:val="single"/>
        </w:rPr>
      </w:pPr>
      <w:r>
        <w:rPr>
          <w:rFonts w:ascii="Times New Roman" w:hAnsi="Times New Roman"/>
          <w:noProof/>
          <w:sz w:val="24"/>
          <w:szCs w:val="24"/>
          <w:u w:val="single"/>
        </w:rPr>
        <w:t>2013 m. rekomendacijų įgyvendinimas</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 xml:space="preserve">Visos po 2013 m. peržiūros pateiktos rekomendacijos įvykdytos arba vykdomi atitinkami darbai. </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 xml:space="preserve">2013 m. bendros peržiūros pagrindinis rezultatas – Australija visapusiškai įgyvendino Susitarimą, pagal Susitarimą laikėsi įsipareigojimų dėl duomenų apsaugos priemonių, PNR duomenis tvarkė griežtai laikydamasi Susitarime nustatytų sąlygų. Konkrečiai buvo parodyta, kad Australija netvarkė neskelbtinų duomenų, esančių PNR duomenų rinkiniuose, gautuose pagal Susitarimą, ir ji aktyviai siekė toliau tobulinti neskelbtinų duomenų (jei tokių gavo iš oro vežėjų) automatinį nustatymą ir pašalinimą. Be to, pasirodė, kad tikslinis metodas, kurį Australija taikė vertindama PNR duomenis pagal rizikos rodiklius, leido prieigos prie asmens duomenų galimybę sumažinti iki žemiausio lygio. Galų gale, Australijos informacijos pareigūno tarnyba vykdė PNR duomenų tvarkymo pagal Susitarimą aukšto lygio nešališką priežiūrą. </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Be to, ES grupė paragino Australiją įgyvendinti priemones, skirtas užtikrinti, kad po trejų metų visi duomenų elementai, pagal kuriuos būtų galima nustatyti keleivio, su kuriuo susiję tie PNR duomenys, tapatybę, būtų užmaskuoti. Iki 2019 m. peržiūros šios priemonės jau buvo įgyvendintos; kasdien vykdomas automatizuotas procesas, leidžiantis nustatyti, kurie įrašai saugomi jau trejus metus nuo jų gavimo.</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lastRenderedPageBreak/>
        <w:t xml:space="preserve">Po 2013 m. vertinimo Australijai buvo pateikta rekomendacija sukurti pranešimų teikimo būdą, leisiantį Australijai informuoti valstybes nares, jei pagal susitarimą gautais PNR duomenimis arba analitine informacija, kurioje yra tokių duomenų, būtų dalijamasi su trečiąja šalimi. Remdamasi duomenimis, pateiktais per 2019 m. vykdytą peržiūrą, ES grupė mano, kad galimi tolesni patobulinimai kuriant ataskaitų mechanizmus, šiuo klausimu ji pateikė rekomendaciją. Be to, po 2013 m. peržiūros Australijai buvo pateikta rekomendacija, kad Susitarime nustatytos apsaugos priemonės taip pat būtų taikomos gautiems PNR duomenims. Remiantis informacija, gauta vykdant 2019 m. peržiūrą, dalijantis PNR duomenimis, šalia PNR susitarime nustatytų sąlygų, turi būti laikomasi konkrečių su atskleidimu susijusių nuostatų, o partnerėms teisėsaugos institucijoms dėl gautų duomenų taikomi atitinkami ribojimai. Po 2013 m. peržiūros Australijai taip pat rekomenduota dėti daugiau pastangų siekiant užtikrinti abipusiškumo principą ir su PNR duomenimis gauta analitine informacija savo iniciatyva dalintis su valstybėmis narėmis ir prireikus su Europolu bei Eurojustu. Nors atlikta patobulinimų ir Departamentas visapusiškai laikosi Susitarimo 6 straipsnio nuostatų dėl policijos ir teisminio bendradarbiavimo, ES grupė pažymi, kad vis dar yra, ką tobulinti, o su ES valstybėmis narėmis, Europolu bei Eurojustu galima bendradarbiauti glaudžiau. </w:t>
      </w:r>
    </w:p>
    <w:p>
      <w:pPr>
        <w:spacing w:line="360" w:lineRule="auto"/>
        <w:jc w:val="both"/>
        <w:rPr>
          <w:rFonts w:ascii="Times New Roman" w:hAnsi="Times New Roman" w:cs="Times New Roman"/>
          <w:noProof/>
          <w:sz w:val="24"/>
          <w:szCs w:val="24"/>
          <w:u w:val="single"/>
        </w:rPr>
      </w:pPr>
      <w:r>
        <w:rPr>
          <w:rFonts w:ascii="Times New Roman" w:hAnsi="Times New Roman"/>
          <w:noProof/>
          <w:sz w:val="24"/>
          <w:szCs w:val="24"/>
          <w:u w:val="single"/>
        </w:rPr>
        <w:t>2019 m. bendros peržiūros rezultatai</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 xml:space="preserve">ES grupė vėl nustatė, kad Australija įgyvendina Susitarimą laikydamasi jame nustatytų sąlygų. Departamentas laikosi įsipareigojimų dėl duomenų apsaugos priemonių ir PNR duomenis tvarko laikydamasis griežtų Susitarime nustatytų sąlygų. Departamentas laikosi įsipareigojimo dėl nediskriminavimo ir įsipareigojimo netvarkyti neskelbtinų duomenų. Be to, Departamentas laikosi įsipareigojimo užtikrinti prieigą prie duomenų, juos ištaisyti, ištrinti ir užtikrinti teisę į teisių gynimą, o PNR duomenų tvarkymo aukšto lygio nešališką priežiūrą atlieka Australijos informacijos pareigūno tarnyba. </w:t>
      </w:r>
    </w:p>
    <w:p>
      <w:pPr>
        <w:spacing w:line="360" w:lineRule="auto"/>
        <w:jc w:val="both"/>
        <w:rPr>
          <w:rFonts w:ascii="Times New Roman" w:hAnsi="Times New Roman" w:cs="Times New Roman"/>
          <w:noProof/>
          <w:sz w:val="24"/>
          <w:szCs w:val="24"/>
        </w:rPr>
      </w:pPr>
      <w:r>
        <w:rPr>
          <w:rFonts w:ascii="Times New Roman" w:hAnsi="Times New Roman"/>
          <w:noProof/>
          <w:sz w:val="24"/>
          <w:szCs w:val="24"/>
        </w:rPr>
        <w:t>Vis dėlto Australijos prašoma atsižvelgti į šias rekomendacijas:</w:t>
      </w:r>
    </w:p>
    <w:p>
      <w:pPr>
        <w:pStyle w:val="ListParagraph"/>
        <w:numPr>
          <w:ilvl w:val="0"/>
          <w:numId w:val="6"/>
        </w:numPr>
        <w:spacing w:line="360" w:lineRule="auto"/>
        <w:jc w:val="both"/>
        <w:rPr>
          <w:rFonts w:ascii="Times New Roman" w:hAnsi="Times New Roman" w:cs="Times New Roman"/>
          <w:noProof/>
          <w:sz w:val="24"/>
          <w:szCs w:val="24"/>
        </w:rPr>
      </w:pPr>
      <w:r>
        <w:rPr>
          <w:rFonts w:ascii="Times New Roman" w:hAnsi="Times New Roman"/>
          <w:noProof/>
          <w:sz w:val="24"/>
          <w:szCs w:val="24"/>
        </w:rPr>
        <w:t xml:space="preserve">išplėsti dalijimosi PNR duomenimis procesą ir stiprinti operatyvinį bendradarbiavimą su Europolu, Eurojustu, valstybių narių kompetentingomis institucijomis ir Australijos kompetentingomis institucijomis; </w:t>
      </w:r>
    </w:p>
    <w:p>
      <w:pPr>
        <w:pStyle w:val="ListParagraph"/>
        <w:numPr>
          <w:ilvl w:val="0"/>
          <w:numId w:val="6"/>
        </w:numPr>
        <w:spacing w:line="360" w:lineRule="auto"/>
        <w:jc w:val="both"/>
        <w:rPr>
          <w:rFonts w:ascii="Times New Roman" w:hAnsi="Times New Roman" w:cs="Times New Roman"/>
          <w:noProof/>
          <w:sz w:val="24"/>
          <w:szCs w:val="24"/>
        </w:rPr>
      </w:pPr>
      <w:r>
        <w:rPr>
          <w:rFonts w:ascii="Times New Roman" w:hAnsi="Times New Roman"/>
          <w:noProof/>
          <w:sz w:val="24"/>
          <w:szCs w:val="24"/>
        </w:rPr>
        <w:t>nustatyti mechanizmus, kurių paskirtis – nedelsiant ištrinti neskelbtinus oro vežėjų perduotus duomenis. ES grupė pripažįsta jau gautą Departamento patvirtinimą, kad darbai, susiję su šių mechanizmų nustatymu, jau pradėti;</w:t>
      </w:r>
    </w:p>
    <w:p>
      <w:pPr>
        <w:pStyle w:val="ListParagraph"/>
        <w:numPr>
          <w:ilvl w:val="0"/>
          <w:numId w:val="6"/>
        </w:numPr>
        <w:spacing w:line="360" w:lineRule="auto"/>
        <w:jc w:val="both"/>
        <w:rPr>
          <w:rFonts w:ascii="Times New Roman" w:hAnsi="Times New Roman" w:cs="Times New Roman"/>
          <w:noProof/>
          <w:sz w:val="24"/>
          <w:szCs w:val="24"/>
        </w:rPr>
      </w:pPr>
      <w:r>
        <w:rPr>
          <w:rFonts w:ascii="Times New Roman" w:hAnsi="Times New Roman"/>
          <w:noProof/>
          <w:sz w:val="24"/>
          <w:szCs w:val="24"/>
        </w:rPr>
        <w:t>užtikrinti, kad pareigūnų prieigos prie PNR duomenų teisės būtų ribojamos;</w:t>
      </w:r>
    </w:p>
    <w:p>
      <w:pPr>
        <w:pStyle w:val="ListParagraph"/>
        <w:numPr>
          <w:ilvl w:val="0"/>
          <w:numId w:val="6"/>
        </w:numPr>
        <w:spacing w:after="0" w:line="360" w:lineRule="auto"/>
        <w:jc w:val="both"/>
        <w:rPr>
          <w:rFonts w:ascii="Times New Roman" w:hAnsi="Times New Roman" w:cs="Times New Roman"/>
          <w:noProof/>
          <w:sz w:val="24"/>
          <w:szCs w:val="24"/>
        </w:rPr>
      </w:pPr>
      <w:r>
        <w:rPr>
          <w:rFonts w:ascii="Times New Roman" w:hAnsi="Times New Roman"/>
          <w:noProof/>
          <w:sz w:val="24"/>
          <w:szCs w:val="24"/>
        </w:rPr>
        <w:lastRenderedPageBreak/>
        <w:t>užtikrinti, kad Australijos informacijos pareigūno tarnybai atliekant periodinius vertinimus būtų įtraukiamas klausimas dėl atitikties kitiems atitinkamiems principams, susijusiems su PNR duomenų tvarkymu, pvz., dėl tarpvalstybinio asmens duomenų atskleidimo ar neskelbtinų duomenų pašalinimo;</w:t>
      </w:r>
    </w:p>
    <w:p>
      <w:pPr>
        <w:numPr>
          <w:ilvl w:val="0"/>
          <w:numId w:val="6"/>
        </w:numPr>
        <w:spacing w:after="0" w:line="360" w:lineRule="auto"/>
        <w:jc w:val="both"/>
        <w:rPr>
          <w:rFonts w:ascii="Times New Roman" w:eastAsia="Times New Roman" w:hAnsi="Times New Roman" w:cs="Times New Roman"/>
          <w:noProof/>
          <w:sz w:val="24"/>
          <w:szCs w:val="24"/>
        </w:rPr>
      </w:pPr>
      <w:r>
        <w:rPr>
          <w:rFonts w:ascii="Times New Roman" w:hAnsi="Times New Roman"/>
          <w:noProof/>
          <w:sz w:val="24"/>
          <w:szCs w:val="24"/>
        </w:rPr>
        <w:t>taikyti tolesnę kontrolę, siekiant užtikrinti, kad būtų įvykdytos visos 18 straipsnyje nustatytos sąlygos, visų pirma dėl konkrečių prieigos apribojimų, informacijos naudojimo ir tolesnio atskleidimo;</w:t>
      </w:r>
    </w:p>
    <w:p>
      <w:pPr>
        <w:pStyle w:val="ListParagraph"/>
        <w:numPr>
          <w:ilvl w:val="0"/>
          <w:numId w:val="6"/>
        </w:numPr>
        <w:spacing w:after="0" w:line="360" w:lineRule="auto"/>
        <w:jc w:val="both"/>
        <w:rPr>
          <w:rFonts w:ascii="Times New Roman" w:hAnsi="Times New Roman" w:cs="Times New Roman"/>
          <w:noProof/>
          <w:sz w:val="24"/>
          <w:szCs w:val="24"/>
        </w:rPr>
      </w:pPr>
      <w:r>
        <w:rPr>
          <w:rFonts w:ascii="Times New Roman" w:hAnsi="Times New Roman"/>
          <w:noProof/>
          <w:sz w:val="24"/>
          <w:szCs w:val="24"/>
        </w:rPr>
        <w:t>laikytis įsipareigojimo sukurti ataskaitų teikimo mechanizmą informacijai teikti pagal 19 straipsnį ir prie Susitarimo pridedamą bendrą deklaraciją, be kita ko, ES valstybėms narėms, kai Europos Sąjungos piliečio ar gyventojo duomenys perduodami trečiajai šaliai;</w:t>
      </w:r>
    </w:p>
    <w:p>
      <w:pPr>
        <w:pStyle w:val="ListParagraph"/>
        <w:numPr>
          <w:ilvl w:val="0"/>
          <w:numId w:val="6"/>
        </w:numPr>
        <w:spacing w:line="360" w:lineRule="auto"/>
        <w:jc w:val="both"/>
        <w:rPr>
          <w:rFonts w:ascii="Times New Roman" w:hAnsi="Times New Roman" w:cs="Times New Roman"/>
          <w:noProof/>
          <w:sz w:val="24"/>
        </w:rPr>
      </w:pPr>
      <w:r>
        <w:rPr>
          <w:rFonts w:ascii="Times New Roman" w:hAnsi="Times New Roman"/>
          <w:noProof/>
          <w:sz w:val="24"/>
          <w:szCs w:val="24"/>
        </w:rPr>
        <w:t xml:space="preserve">toliau </w:t>
      </w:r>
      <w:r>
        <w:rPr>
          <w:rFonts w:ascii="Times New Roman" w:hAnsi="Times New Roman"/>
          <w:noProof/>
          <w:sz w:val="24"/>
        </w:rPr>
        <w:t xml:space="preserve">gerinti keleivių informavimą apie PNR duomenų tvarkymą ir oro vežėjus skatinti keleiviams suteikti visą informaciją, </w:t>
      </w:r>
      <w:r>
        <w:rPr>
          <w:rFonts w:ascii="Times New Roman" w:hAnsi="Times New Roman"/>
          <w:noProof/>
          <w:sz w:val="24"/>
          <w:szCs w:val="24"/>
        </w:rPr>
        <w:t>susijusią</w:t>
      </w:r>
      <w:r>
        <w:rPr>
          <w:rFonts w:ascii="Times New Roman" w:hAnsi="Times New Roman"/>
          <w:noProof/>
          <w:sz w:val="24"/>
        </w:rPr>
        <w:t xml:space="preserve"> su PNR duomenų rinkimu, tvarkymu ir jų naudojimo paskirtimi.</w:t>
      </w:r>
    </w:p>
    <w:p>
      <w:pPr>
        <w:spacing w:line="360" w:lineRule="auto"/>
        <w:jc w:val="both"/>
        <w:rPr>
          <w:rFonts w:ascii="Times New Roman" w:hAnsi="Times New Roman" w:cs="Times New Roman"/>
          <w:noProof/>
          <w:sz w:val="24"/>
          <w:szCs w:val="24"/>
        </w:rPr>
      </w:pPr>
    </w:p>
    <w:p>
      <w:pPr>
        <w:spacing w:line="360" w:lineRule="auto"/>
        <w:rPr>
          <w:rFonts w:ascii="Times New Roman" w:hAnsi="Times New Roman" w:cs="Times New Roman"/>
          <w:noProof/>
        </w:rPr>
      </w:pPr>
    </w:p>
    <w:p>
      <w:pPr>
        <w:spacing w:line="360" w:lineRule="auto"/>
        <w:rPr>
          <w:rFonts w:ascii="Times New Roman" w:hAnsi="Times New Roman" w:cs="Times New Roman"/>
          <w:noProof/>
        </w:rPr>
      </w:pPr>
    </w:p>
    <w:p>
      <w:pPr>
        <w:spacing w:line="360" w:lineRule="auto"/>
        <w:rPr>
          <w:rFonts w:ascii="Times New Roman" w:hAnsi="Times New Roman" w:cs="Times New Roman"/>
          <w:noProof/>
        </w:rPr>
      </w:pPr>
    </w:p>
    <w:p>
      <w:pPr>
        <w:spacing w:line="360" w:lineRule="auto"/>
        <w:rPr>
          <w:rFonts w:ascii="Times New Roman" w:hAnsi="Times New Roman" w:cs="Times New Roman"/>
          <w:noProof/>
        </w:rPr>
      </w:pPr>
    </w:p>
    <w:p>
      <w:pPr>
        <w:spacing w:line="360" w:lineRule="auto"/>
        <w:rPr>
          <w:rFonts w:ascii="Times New Roman" w:hAnsi="Times New Roman" w:cs="Times New Roman"/>
          <w:noProof/>
        </w:rPr>
      </w:pPr>
    </w:p>
    <w:p>
      <w:pPr>
        <w:spacing w:line="360" w:lineRule="auto"/>
        <w:rPr>
          <w:rFonts w:ascii="Times New Roman" w:hAnsi="Times New Roman" w:cs="Times New Roman"/>
          <w:noProof/>
        </w:rPr>
      </w:pPr>
    </w:p>
    <w:p>
      <w:pPr>
        <w:spacing w:line="360" w:lineRule="auto"/>
        <w:rPr>
          <w:rFonts w:ascii="Times New Roman" w:hAnsi="Times New Roman" w:cs="Times New Roman"/>
          <w:noProof/>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591720"/>
      <w:docPartObj>
        <w:docPartGallery w:val="Page Numbers (Bottom of Page)"/>
        <w:docPartUnique/>
      </w:docPartObj>
    </w:sdtPr>
    <w:sdtContent>
      <w:p>
        <w:pPr>
          <w:pStyle w:val="Footer"/>
          <w:jc w:val="center"/>
        </w:pPr>
        <w:r>
          <w:fldChar w:fldCharType="begin"/>
        </w:r>
        <w:r>
          <w:instrText xml:space="preserve"> PAGE   \* MERGEFORMAT </w:instrText>
        </w:r>
        <w:r>
          <w:fldChar w:fldCharType="separate"/>
        </w:r>
        <w:r>
          <w:rPr>
            <w:noProof/>
          </w:rPr>
          <w:t>2</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ind w:left="425" w:hanging="425"/>
        <w:jc w:val="both"/>
        <w:rPr>
          <w:rFonts w:ascii="Times New Roman" w:hAnsi="Times New Roman" w:cs="Times New Roman"/>
        </w:rPr>
      </w:pPr>
      <w:r>
        <w:rPr>
          <w:rStyle w:val="FootnoteReference"/>
        </w:rPr>
        <w:footnoteRef/>
      </w:r>
      <w:r>
        <w:t xml:space="preserve"> </w:t>
      </w:r>
      <w:r>
        <w:rPr>
          <w:sz w:val="22"/>
        </w:rPr>
        <w:t xml:space="preserve"> </w:t>
      </w:r>
      <w:r>
        <w:rPr>
          <w:rFonts w:ascii="Times New Roman" w:hAnsi="Times New Roman"/>
        </w:rPr>
        <w:t>Europos Sąjungos ir Australijos susitarimas dėl oro vežėjų atliekamo keleivio duomenų įrašo (PNR) duomenų tvarkymo ir perdavimo Australijos muitinės ir sienos apsaugos tarnybai, OL L 186, 2012 7 14, p. 4.</w:t>
      </w:r>
    </w:p>
  </w:footnote>
  <w:footnote w:id="3">
    <w:p>
      <w:pPr>
        <w:spacing w:after="0"/>
        <w:ind w:left="425" w:hanging="425"/>
        <w:jc w:val="both"/>
        <w:rPr>
          <w:rFonts w:ascii="Times New Roman" w:hAnsi="Times New Roman" w:cs="Times New Roman"/>
          <w:sz w:val="18"/>
          <w:szCs w:val="20"/>
        </w:rPr>
      </w:pPr>
      <w:r>
        <w:rPr>
          <w:rStyle w:val="FootnoteReference"/>
          <w:sz w:val="20"/>
          <w:szCs w:val="20"/>
        </w:rPr>
        <w:footnoteRef/>
      </w:r>
      <w:r>
        <w:rPr>
          <w:rStyle w:val="FootnoteReference"/>
          <w:sz w:val="24"/>
          <w:szCs w:val="20"/>
        </w:rPr>
        <w:t xml:space="preserve">  </w:t>
      </w:r>
      <w:r>
        <w:rPr>
          <w:rFonts w:ascii="Times New Roman" w:hAnsi="Times New Roman"/>
          <w:sz w:val="20"/>
        </w:rPr>
        <w:t xml:space="preserve"> </w:t>
      </w:r>
      <w:r>
        <w:rPr>
          <w:rFonts w:ascii="Times New Roman" w:hAnsi="Times New Roman"/>
          <w:sz w:val="20"/>
          <w:szCs w:val="20"/>
        </w:rPr>
        <w:t>Komisijos ataskaita Europos Parlamentui ir Tarybai dėl Europos Sąjungos ir Australijos susitarimo dėl oro vežėjų atliekamo keleivio duomenų įrašo (PNR) duomenų tvarkymo ir perdavimo Australijos muitinės ir sienos apsaugos tarnybai įgyvendinimo bendros peržiūros, COM (2014) 458 </w:t>
      </w:r>
      <w:r>
        <w:rPr>
          <w:rFonts w:ascii="Times New Roman" w:hAnsi="Times New Roman"/>
          <w:i/>
          <w:sz w:val="20"/>
          <w:szCs w:val="20"/>
        </w:rPr>
        <w:t>final</w:t>
      </w:r>
    </w:p>
  </w:footnote>
  <w:footnote w:id="4">
    <w:p>
      <w:pPr>
        <w:pStyle w:val="FootnoteText"/>
        <w:ind w:left="425" w:hanging="425"/>
        <w:jc w:val="both"/>
        <w:rPr>
          <w:rFonts w:ascii="Times New Roman" w:hAnsi="Times New Roman" w:cs="Times New Roman"/>
          <w:sz w:val="18"/>
        </w:rPr>
      </w:pPr>
      <w:r>
        <w:rPr>
          <w:rStyle w:val="FootnoteReference"/>
          <w:sz w:val="18"/>
        </w:rPr>
        <w:footnoteRef/>
      </w:r>
      <w:r>
        <w:rPr>
          <w:rStyle w:val="FootnoteReference"/>
          <w:sz w:val="18"/>
        </w:rPr>
        <w:t xml:space="preserve">  </w:t>
      </w:r>
      <w:r>
        <w:rPr>
          <w:rStyle w:val="FootnoteReference"/>
        </w:rPr>
        <w:t xml:space="preserve"> </w:t>
      </w:r>
      <w:r>
        <w:rPr>
          <w:rFonts w:ascii="Times New Roman" w:hAnsi="Times New Roman"/>
        </w:rPr>
        <w:t>Komisijos ataskaita Europos Parlamentui ir Tarybai dėl Europos Sąjungos ir Australijos susitarimo dėl oro vežėjų atliekamo keleivio duomenų įrašo (PNR) duomenų tvarkymo ir perdavimo bendro vertinimo, COM (2020) 702 </w:t>
      </w:r>
      <w:r>
        <w:rPr>
          <w:rFonts w:ascii="Times New Roman" w:hAnsi="Times New Roman"/>
          <w:i/>
        </w:rPr>
        <w:t>final</w:t>
      </w:r>
      <w:r>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396B"/>
    <w:multiLevelType w:val="hybridMultilevel"/>
    <w:tmpl w:val="0DC21702"/>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1B996715"/>
    <w:multiLevelType w:val="hybridMultilevel"/>
    <w:tmpl w:val="B26C52AE"/>
    <w:lvl w:ilvl="0" w:tplc="278EBC08">
      <w:numFmt w:val="bullet"/>
      <w:lvlText w:val="•"/>
      <w:lvlJc w:val="left"/>
      <w:pPr>
        <w:ind w:left="1065" w:hanging="705"/>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43EA250C"/>
    <w:multiLevelType w:val="hybridMultilevel"/>
    <w:tmpl w:val="0164CC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57510842"/>
    <w:multiLevelType w:val="hybridMultilevel"/>
    <w:tmpl w:val="FEEE9920"/>
    <w:lvl w:ilvl="0" w:tplc="278EBC08">
      <w:numFmt w:val="bullet"/>
      <w:lvlText w:val="•"/>
      <w:lvlJc w:val="left"/>
      <w:pPr>
        <w:ind w:left="1065" w:hanging="705"/>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6DB7573A"/>
    <w:multiLevelType w:val="hybridMultilevel"/>
    <w:tmpl w:val="3800B408"/>
    <w:lvl w:ilvl="0" w:tplc="AD704FC2">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6F696BF4"/>
    <w:multiLevelType w:val="hybridMultilevel"/>
    <w:tmpl w:val="5BF8A8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70E12C5B"/>
    <w:multiLevelType w:val="hybridMultilevel"/>
    <w:tmpl w:val="BFD4CEF2"/>
    <w:lvl w:ilvl="0" w:tplc="AD704FC2">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75466248"/>
    <w:multiLevelType w:val="hybridMultilevel"/>
    <w:tmpl w:val="FF726180"/>
    <w:lvl w:ilvl="0" w:tplc="278EBC08">
      <w:numFmt w:val="bullet"/>
      <w:lvlText w:val="•"/>
      <w:lvlJc w:val="left"/>
      <w:pPr>
        <w:ind w:left="1065" w:hanging="705"/>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3"/>
  </w:num>
  <w:num w:numId="5">
    <w:abstractNumId w:val="2"/>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ctiveWritingStyle w:appName="MSWord" w:lang="fr-BE" w:vendorID="64" w:dllVersion="131078" w:nlCheck="1" w:checkStyle="0"/>
  <w:activeWritingStyle w:appName="MSWord" w:lang="en-IE" w:vendorID="64" w:dllVersion="131078" w:nlCheck="1" w:checkStyle="1"/>
  <w:activeWritingStyle w:appName="MSWord" w:lang="en-GB" w:vendorID="64" w:dllVersion="131078" w:nlCheck="1" w:checkStyle="1"/>
  <w:revisionView w:markup="0"/>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41271847-487C-4665-A866-7335D643A18B"/>
    <w:docVar w:name="LW_COVERPAGE_TYPE" w:val="1"/>
    <w:docVar w:name="LW_CROSSREFERENCE" w:val="{SWD(2021) 5 final}"/>
    <w:docVar w:name="LW_DocType" w:val="NORMAL"/>
    <w:docVar w:name="LW_EMISSION" w:val="2021 01 12"/>
    <w:docVar w:name="LW_EMISSION_ISODATE" w:val="2021-01-12"/>
    <w:docVar w:name="LW_EMISSION_LOCATION" w:val="BRX"/>
    <w:docVar w:name="LW_EMISSION_PREFIX" w:val="Briuselis, "/>
    <w:docVar w:name="LW_EMISSION_SUFFIX" w:val=" "/>
    <w:docVar w:name="LW_ID_DOCTYPE_NONLW" w:val="CP-006"/>
    <w:docVar w:name="LW_LANGUE" w:val="LT"/>
    <w:docVar w:name="LW_LEVEL_OF_SENSITIVITY" w:val="Standard treatment"/>
    <w:docVar w:name="LW_NOM.INST" w:val="EUROPOS KOMISIJA"/>
    <w:docVar w:name="LW_NOM.INST_JOINTDOC" w:val="&lt;EMPTY&gt;"/>
    <w:docVar w:name="LW_PART_NBR" w:val="1"/>
    <w:docVar w:name="LW_PART_NBR_TOTAL" w:val="1"/>
    <w:docVar w:name="LW_REF.INST.NEW" w:val="COM"/>
    <w:docVar w:name="LW_REF.INST.NEW_ADOPTED" w:val="final"/>
    <w:docVar w:name="LW_REF.INST.NEW_TEXT" w:val="(2021) 1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d\u279?l Europos S\u261?jungos ir Australijos susitarimo d\u279?l oro ve\u382?\u279?j\u371? atliekamo keleivio duomen\u371? \u303?ra\u353?o (PNR) duomen\u371? tvarkymo ir perdavimo Australijos muitin\u279?s ir sienos apsaugos tarnybai \u303?gyvendinimo bendros per\u382?i\u363?ros&lt;/FMT&gt;"/>
    <w:docVar w:name="LW_TYPE.DOC.CP" w:val="KOMISIJOS ATASKAITA EUROPOS PARLAMENTUI IR TARYBAI"/>
  </w:docVar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91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03E08-3FF6-4A89-B501-724745547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952</Words>
  <Characters>6633</Characters>
  <Application>Microsoft Office Word</Application>
  <DocSecurity>0</DocSecurity>
  <Lines>112</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17</cp:revision>
  <cp:lastPrinted>2020-01-20T07:40:00Z</cp:lastPrinted>
  <dcterms:created xsi:type="dcterms:W3CDTF">2021-01-11T09:38:00Z</dcterms:created>
  <dcterms:modified xsi:type="dcterms:W3CDTF">2021-01-13T07:12:00Z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CP-006</vt:lpwstr>
  </property>
  <property fmtid="{D5CDD505-2E9C-101B-9397-08002B2CF9AE}" pid="7" name="Last edited using">
    <vt:lpwstr>LW 6.0.1, Build 20180503</vt:lpwstr>
  </property>
  <property fmtid="{D5CDD505-2E9C-101B-9397-08002B2CF9AE}" pid="8" name="Created using">
    <vt:lpwstr>LW 6.0.1, Build 20180503</vt:lpwstr>
  </property>
</Properties>
</file>