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552B2F2B-717D-4D44-8C63-2E59F54CB923" style="width:449.5pt;height:397.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 I.</w:t>
      </w: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Pravni instrumenti obuhvaćeni područjem primjene ove Uredbe</w:t>
      </w:r>
    </w:p>
    <w:p>
      <w:pPr>
        <w:rPr>
          <w:noProof/>
        </w:rPr>
      </w:pPr>
      <w:r>
        <w:rPr>
          <w:noProof/>
        </w:rPr>
        <w:t xml:space="preserve">Instrumenti u području pravosudne suradnje u građanskim stvarima </w:t>
      </w:r>
    </w:p>
    <w:p>
      <w:pPr>
        <w:pStyle w:val="ListNumber"/>
        <w:rPr>
          <w:noProof/>
          <w:color w:val="000000" w:themeColor="text1"/>
        </w:rPr>
      </w:pPr>
      <w:r>
        <w:rPr>
          <w:noProof/>
        </w:rPr>
        <w:t>Uredba Vijeća (EZ) br. 44/2001 od 22. prosinca 2000. o nadležnosti, priznavanju i izvršenju sudskih odluka u građanskim i trgovačkim stvarima</w:t>
      </w:r>
      <w:r>
        <w:rPr>
          <w:rStyle w:val="FootnoteReference"/>
          <w:noProof/>
        </w:rPr>
        <w:footnoteReference w:id="2"/>
      </w:r>
    </w:p>
    <w:p>
      <w:pPr>
        <w:pStyle w:val="ListNumber"/>
        <w:rPr>
          <w:noProof/>
        </w:rPr>
      </w:pPr>
      <w:r>
        <w:rPr>
          <w:noProof/>
        </w:rPr>
        <w:t>Odluka Vijeća od 28. svibnja 2001. o uspostavi Europske pravosudne mreže u građanskim i trgovačkim stvarima (2001/470/EZ)</w:t>
      </w:r>
      <w:r>
        <w:rPr>
          <w:rStyle w:val="FootnoteReference"/>
          <w:noProof/>
        </w:rPr>
        <w:footnoteReference w:id="3"/>
      </w:r>
    </w:p>
    <w:p>
      <w:pPr>
        <w:pStyle w:val="ListNumber"/>
        <w:rPr>
          <w:noProof/>
        </w:rPr>
      </w:pPr>
      <w:r>
        <w:rPr>
          <w:noProof/>
        </w:rPr>
        <w:t>Uredba Vijeća (EZ) br. 1206/2001 od 28. svibnja 2001. o suradnji između sudova država članica u izvođenju dokaza u građanskim ili trgovačkim stvarima</w:t>
      </w:r>
      <w:r>
        <w:rPr>
          <w:rStyle w:val="FootnoteReference"/>
          <w:noProof/>
        </w:rPr>
        <w:footnoteReference w:id="4"/>
      </w:r>
    </w:p>
    <w:p>
      <w:pPr>
        <w:pStyle w:val="ListNumber"/>
        <w:rPr>
          <w:noProof/>
        </w:rPr>
      </w:pPr>
      <w:r>
        <w:rPr>
          <w:noProof/>
        </w:rPr>
        <w:t>Direktiva Vijeća 2002/8/EZ od 27. siječnja 2003. o unapređenju pristupa pravosuđu u prekograničnim sporovima utvrđivanjem minimalnih zajedničkih pravila o pravnoj pomoći u takvim sporovima</w:t>
      </w:r>
      <w:r>
        <w:rPr>
          <w:rStyle w:val="FootnoteReference"/>
          <w:noProof/>
        </w:rPr>
        <w:footnoteReference w:id="5"/>
      </w:r>
    </w:p>
    <w:p>
      <w:pPr>
        <w:pStyle w:val="ListNumber"/>
        <w:rPr>
          <w:noProof/>
        </w:rPr>
      </w:pPr>
      <w:r>
        <w:rPr>
          <w:noProof/>
        </w:rPr>
        <w:t>Uredba Vijeća (EZ) br. 2201/2003 od 27. studenoga 2003. o nadležnosti, priznavanju i izvršenju sudskih odluka u bračnim sporovima i u stvarima povezanim s roditeljskom odgovornošću te o stavljanju izvan snage Uredbe (EZ) br. 1347/2000</w:t>
      </w:r>
      <w:r>
        <w:rPr>
          <w:rStyle w:val="FootnoteReference"/>
          <w:noProof/>
        </w:rPr>
        <w:footnoteReference w:id="6"/>
      </w:r>
    </w:p>
    <w:p>
      <w:pPr>
        <w:pStyle w:val="ListNumber"/>
        <w:rPr>
          <w:noProof/>
        </w:rPr>
      </w:pPr>
      <w:r>
        <w:rPr>
          <w:noProof/>
        </w:rPr>
        <w:t>Uredba (EZ) br. 805/2004 Europskog Parlamenta i Vijeća od 21. travnja 2004. o uvođenju europskog naloga za izvršenje za nesporne tražbine</w:t>
      </w:r>
      <w:r>
        <w:rPr>
          <w:rStyle w:val="FootnoteReference"/>
          <w:noProof/>
        </w:rPr>
        <w:footnoteReference w:id="7"/>
      </w:r>
    </w:p>
    <w:p>
      <w:pPr>
        <w:pStyle w:val="ListNumber"/>
        <w:rPr>
          <w:noProof/>
        </w:rPr>
      </w:pPr>
      <w:r>
        <w:rPr>
          <w:noProof/>
        </w:rPr>
        <w:t>Uredba (EZ) br. 1896/2006 Europskog parlamenta i Vijeća od 12. prosinca 2006. o uvođenju postupka za europski platni nalog</w:t>
      </w:r>
      <w:r>
        <w:rPr>
          <w:rStyle w:val="FootnoteReference"/>
          <w:noProof/>
        </w:rPr>
        <w:footnoteReference w:id="8"/>
      </w:r>
    </w:p>
    <w:p>
      <w:pPr>
        <w:pStyle w:val="ListNumber"/>
        <w:rPr>
          <w:noProof/>
        </w:rPr>
      </w:pPr>
      <w:r>
        <w:rPr>
          <w:noProof/>
        </w:rPr>
        <w:t>Uredba (EZ) br. 861/2007 Europskog parlamenta i Vijeća od 11. srpnja 2007. o uvođenju europskog postupka za sporove male vrijednosti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Uredba (EZ) br. 864/2007 Europskog parlamenta i Vijeća od 11. srpnja 2007. o pravu koje se primjenjuje na izvanugovorne obveze („Rim II”)</w:t>
      </w:r>
      <w:r>
        <w:rPr>
          <w:rStyle w:val="FootnoteReference"/>
          <w:noProof/>
        </w:rPr>
        <w:footnoteReference w:id="10"/>
      </w:r>
    </w:p>
    <w:p>
      <w:pPr>
        <w:pStyle w:val="ListNumber"/>
        <w:rPr>
          <w:noProof/>
        </w:rPr>
      </w:pPr>
      <w:r>
        <w:rPr>
          <w:noProof/>
        </w:rPr>
        <w:t>Uredba (EZ) br. 1393/2007 Europskog parlamenta i Vijeća od 13. studenoga 2007. o dostavi, u državama članicama, sudskih i izvansudskih pismena u građanskim ili trgovačkim stvarima („dostava pismena”), i o stavljanju izvan snage Uredbe Vijeća (EZ) br. 1348/2000</w:t>
      </w:r>
      <w:r>
        <w:rPr>
          <w:rStyle w:val="FootnoteReference"/>
          <w:noProof/>
        </w:rPr>
        <w:footnoteReference w:id="11"/>
      </w:r>
    </w:p>
    <w:p>
      <w:pPr>
        <w:pStyle w:val="ListNumber"/>
        <w:rPr>
          <w:noProof/>
        </w:rPr>
      </w:pPr>
      <w:r>
        <w:rPr>
          <w:noProof/>
        </w:rPr>
        <w:t>Direktiva 2008/52/EZ Europskog parlamenta i Vijeća od 21. svibnja 2008. o nekim aspektima mirenja u građanskim i trgovačkim stvarima</w:t>
      </w:r>
      <w:r>
        <w:rPr>
          <w:rStyle w:val="FootnoteReference"/>
          <w:noProof/>
        </w:rPr>
        <w:footnoteReference w:id="12"/>
      </w:r>
    </w:p>
    <w:p>
      <w:pPr>
        <w:pStyle w:val="ListNumber"/>
        <w:rPr>
          <w:noProof/>
        </w:rPr>
      </w:pPr>
      <w:r>
        <w:rPr>
          <w:noProof/>
        </w:rPr>
        <w:t>Uredba (EZ) br. 593/2008 Europskog parlamenta i Vijeća od 17. lipnja 2008. o pravu koje se primjenjuje na ugovorne obveze („Rim I”)</w:t>
      </w:r>
      <w:r>
        <w:rPr>
          <w:rStyle w:val="FootnoteReference"/>
          <w:noProof/>
        </w:rPr>
        <w:footnoteReference w:id="13"/>
      </w:r>
    </w:p>
    <w:p>
      <w:pPr>
        <w:pStyle w:val="ListNumber"/>
        <w:rPr>
          <w:noProof/>
        </w:rPr>
      </w:pPr>
      <w:r>
        <w:rPr>
          <w:noProof/>
        </w:rPr>
        <w:lastRenderedPageBreak/>
        <w:t>Uredba Vijeća (EZ) br. 4/2009 od 18. prosinca 2008. o nadležnosti, mjerodavnom pravu, priznavanju i izvršenju sudskih odluka te suradnji u stvarima koje se odnose na obvezu uzdržavanja</w:t>
      </w:r>
      <w:r>
        <w:rPr>
          <w:rStyle w:val="FootnoteReference"/>
          <w:noProof/>
        </w:rPr>
        <w:footnoteReference w:id="14"/>
      </w:r>
    </w:p>
    <w:p>
      <w:pPr>
        <w:pStyle w:val="ListNumber"/>
        <w:rPr>
          <w:noProof/>
        </w:rPr>
      </w:pPr>
      <w:r>
        <w:rPr>
          <w:noProof/>
        </w:rPr>
        <w:t>Uredba Vijeća (EU) br. 1259/2010 od 20. prosinca 2010. o provedbi pojačane suradnje u području prava primjenljivog na razvod braka i zakonsku rastavu</w:t>
      </w:r>
      <w:r>
        <w:rPr>
          <w:rStyle w:val="FootnoteReference"/>
          <w:noProof/>
        </w:rPr>
        <w:footnoteReference w:id="15"/>
      </w:r>
    </w:p>
    <w:p>
      <w:pPr>
        <w:pStyle w:val="ListNumber"/>
        <w:rPr>
          <w:noProof/>
        </w:rPr>
      </w:pPr>
      <w:r>
        <w:rPr>
          <w:noProof/>
        </w:rPr>
        <w:t>Uredba (EU) br. 650/2012 Europskog parlamenta i Vijeća od 4. srpnja 2012. o nadležnosti, mjerodavnom pravu, priznavanju i izvršavanju odluka i prihvaćanju i izvršavanju javnih isprava u nasljednim stvarima i o uspostavi Europske potvrde o nasljeđivanju</w:t>
      </w:r>
      <w:r>
        <w:rPr>
          <w:rStyle w:val="FootnoteReference"/>
          <w:noProof/>
        </w:rPr>
        <w:footnoteReference w:id="16"/>
      </w:r>
    </w:p>
    <w:p>
      <w:pPr>
        <w:pStyle w:val="ListNumber"/>
        <w:rPr>
          <w:noProof/>
        </w:rPr>
      </w:pPr>
      <w:r>
        <w:rPr>
          <w:noProof/>
        </w:rPr>
        <w:t>Uredba (EU) br. 1215/2012 Europskog parlamenta i Vijeća od 12. prosinca 2012. o nadležnosti, priznavanju i izvršenju sudskih odluka u građanskim i trgovačkim stvarima (preinačena)</w:t>
      </w:r>
      <w:r>
        <w:rPr>
          <w:rStyle w:val="FootnoteReference"/>
          <w:noProof/>
        </w:rPr>
        <w:footnoteReference w:id="17"/>
      </w:r>
    </w:p>
    <w:p>
      <w:pPr>
        <w:pStyle w:val="ListNumber"/>
        <w:rPr>
          <w:noProof/>
        </w:rPr>
      </w:pPr>
      <w:r>
        <w:rPr>
          <w:noProof/>
        </w:rPr>
        <w:t>Uredba (EU) br. 606/2013 Europskog parlamenta i Vijeća od 12. lipnja 2013. o uzajamnom priznavanju zaštitnih mjera u građanskim stvarima</w:t>
      </w:r>
      <w:r>
        <w:rPr>
          <w:rStyle w:val="FootnoteReference"/>
          <w:noProof/>
        </w:rPr>
        <w:footnoteReference w:id="18"/>
      </w:r>
    </w:p>
    <w:p>
      <w:pPr>
        <w:pStyle w:val="ListNumber"/>
        <w:rPr>
          <w:noProof/>
        </w:rPr>
      </w:pPr>
      <w:r>
        <w:rPr>
          <w:noProof/>
        </w:rPr>
        <w:t>Uredba (EU) br. 655/2014 Europskog parlamenta i Vijeća od 15. svibnja 2014. o uspostavi postupka za europski nalog za blokadu računa kako bi se pojednostavila prekogranična naplata duga u građanskim i trgovačkim stvarima</w:t>
      </w:r>
      <w:r>
        <w:rPr>
          <w:rStyle w:val="FootnoteReference"/>
          <w:noProof/>
        </w:rPr>
        <w:footnoteReference w:id="19"/>
      </w:r>
    </w:p>
    <w:p>
      <w:pPr>
        <w:pStyle w:val="ListNumber"/>
        <w:rPr>
          <w:noProof/>
        </w:rPr>
      </w:pPr>
      <w:r>
        <w:rPr>
          <w:noProof/>
        </w:rPr>
        <w:t>Uredba (EU) 2015/848 Europskog parlamenta i Vijeća od 20. svibnja 2015. o postupku u slučaju nesolventnosti</w:t>
      </w:r>
      <w:r>
        <w:rPr>
          <w:rStyle w:val="FootnoteReference"/>
          <w:noProof/>
        </w:rPr>
        <w:footnoteReference w:id="20"/>
      </w:r>
    </w:p>
    <w:p>
      <w:pPr>
        <w:pStyle w:val="ListNumber"/>
        <w:rPr>
          <w:noProof/>
        </w:rPr>
      </w:pPr>
      <w:r>
        <w:rPr>
          <w:noProof/>
        </w:rPr>
        <w:t>Uredba Vijeća (EU) 2016/1103 od 24. lipnja 2016. o provedbi pojačane suradnje u području nadležnosti, mjerodavnog prava te priznavanja i izvršenja odluka u stvarima bračnoimovinskih režima</w:t>
      </w:r>
      <w:r>
        <w:rPr>
          <w:rStyle w:val="FootnoteReference"/>
          <w:noProof/>
        </w:rPr>
        <w:footnoteReference w:id="21"/>
      </w:r>
    </w:p>
    <w:p>
      <w:pPr>
        <w:pStyle w:val="ListNumber"/>
        <w:rPr>
          <w:noProof/>
        </w:rPr>
      </w:pPr>
      <w:r>
        <w:rPr>
          <w:noProof/>
        </w:rPr>
        <w:t>Uredba Vijeća (EU) 2016/1104 od 24. lipnja 2016. o provedbi pojačane suradnje u području nadležnosti, mjerodavnog prava te priznavanja i izvršenja odluka u stvarima imovinskih posljedica registriranih partnerstava</w:t>
      </w:r>
      <w:r>
        <w:rPr>
          <w:rStyle w:val="FootnoteReference"/>
          <w:noProof/>
        </w:rPr>
        <w:footnoteReference w:id="22"/>
      </w:r>
    </w:p>
    <w:p>
      <w:pPr>
        <w:pStyle w:val="ListNumber"/>
        <w:rPr>
          <w:noProof/>
        </w:rPr>
      </w:pPr>
      <w:r>
        <w:rPr>
          <w:noProof/>
        </w:rPr>
        <w:t>Uredba (EU) 2016/1191 Europskog parlamenta i Vijeća od 6. srpnja 2016. o promicanju slobodnog kretanja građana pojednostavnjenjem zahtjevâ za predočavanje određenih javnih isprava u Europskoj uniji i o izmjeni Uredbe (EU) br. 1024/2012</w:t>
      </w:r>
      <w:r>
        <w:rPr>
          <w:rStyle w:val="FootnoteReference"/>
          <w:noProof/>
        </w:rPr>
        <w:footnoteReference w:id="23"/>
      </w:r>
    </w:p>
    <w:p>
      <w:pPr>
        <w:pStyle w:val="ListNumber"/>
        <w:rPr>
          <w:noProof/>
        </w:rPr>
      </w:pPr>
      <w:r>
        <w:rPr>
          <w:noProof/>
        </w:rPr>
        <w:t>Direktiva (EU) 2019/1023 Europskog parlamenta i Vijeća od 20. lipnja 2019. o okvirima za preventivno restrukturiranje, otpustu duga i zabranama te o mjerama za povećanje učinkovitosti postupaka koji se odnose na restrukturiranje, nesolventnost i otpust duga i o izmjeni Direktive (EU) 2017/1132 (Direktiva o restrukturiranju i nesolventnosti)</w:t>
      </w:r>
      <w:r>
        <w:rPr>
          <w:rStyle w:val="FootnoteReference"/>
          <w:noProof/>
        </w:rPr>
        <w:footnoteReference w:id="24"/>
      </w:r>
    </w:p>
    <w:p>
      <w:pPr>
        <w:rPr>
          <w:noProof/>
        </w:rPr>
      </w:pPr>
      <w:r>
        <w:rPr>
          <w:noProof/>
        </w:rPr>
        <w:t>Instrumenti u području pravosudne suradnje u kaznenim stvarima</w:t>
      </w:r>
    </w:p>
    <w:p>
      <w:pPr>
        <w:pStyle w:val="ListNumber"/>
        <w:numPr>
          <w:ilvl w:val="0"/>
          <w:numId w:val="2"/>
        </w:numPr>
        <w:rPr>
          <w:noProof/>
        </w:rPr>
      </w:pPr>
      <w:r>
        <w:rPr>
          <w:noProof/>
        </w:rPr>
        <w:t>Konvencija sastavljena na temelju članka K.3 Ugovora o Europskoj uniji o izručenju između država članica Europske unije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Konvencija sastavljena na temelju članka K.3 Ugovora o Europskoj uniji o pojednostavljenom postupku izručenja između država članica Europske unije</w:t>
      </w:r>
      <w:r>
        <w:rPr>
          <w:rStyle w:val="FootnoteReference"/>
          <w:noProof/>
        </w:rPr>
        <w:footnoteReference w:id="26"/>
      </w:r>
    </w:p>
    <w:p>
      <w:pPr>
        <w:pStyle w:val="ListNumber"/>
        <w:rPr>
          <w:noProof/>
        </w:rPr>
      </w:pPr>
      <w:r>
        <w:rPr>
          <w:noProof/>
        </w:rPr>
        <w:t>Konvencija utvrđena od strane Vijeća u skladu s člankom 34. Ugovora o Europskoj uniji o uzajamnoj pravnoj pomoći u kaznenim stvarima među državama članicama Europske unije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Protokol donesen od strane Vijeća u skladu s člankom 34. Ugovora o Europskoj uniji uz Konvenciju o uzajamnoj pravnoj pomoći u kaznenim stvarima među državama članicama Europske unije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Okvirna odluka Vijeća od 13. lipnja 2002. o Europskom uhidbenom nalogu i postupcima predaje između država članica (2002/584/PUP)</w:t>
      </w:r>
      <w:r>
        <w:rPr>
          <w:rStyle w:val="FootnoteReference"/>
          <w:noProof/>
        </w:rPr>
        <w:footnoteReference w:id="29"/>
      </w:r>
    </w:p>
    <w:p>
      <w:pPr>
        <w:pStyle w:val="ListNumber"/>
        <w:rPr>
          <w:noProof/>
        </w:rPr>
      </w:pPr>
      <w:r>
        <w:rPr>
          <w:noProof/>
        </w:rPr>
        <w:t>Okvirna odluka Vijeća od 13. lipnja 2002. o zajedničkim istražnim timovima (2002/465/PUP)</w:t>
      </w:r>
      <w:r>
        <w:rPr>
          <w:rStyle w:val="FootnoteReference"/>
          <w:noProof/>
        </w:rPr>
        <w:footnoteReference w:id="30"/>
      </w:r>
    </w:p>
    <w:p>
      <w:pPr>
        <w:pStyle w:val="ListNumber"/>
        <w:rPr>
          <w:noProof/>
        </w:rPr>
      </w:pPr>
      <w:r>
        <w:rPr>
          <w:noProof/>
        </w:rPr>
        <w:t>Okvirna Odluka Vijeća 2003/577/PUP od 22. srpnja 2003. o izvršenju odluka o zamrzavanju imovine i osiguranju dokaza u Europskoj uniji</w:t>
      </w:r>
      <w:r>
        <w:rPr>
          <w:rStyle w:val="FootnoteReference"/>
          <w:noProof/>
        </w:rPr>
        <w:footnoteReference w:id="31"/>
      </w:r>
    </w:p>
    <w:p>
      <w:pPr>
        <w:pStyle w:val="ListNumber"/>
        <w:rPr>
          <w:noProof/>
        </w:rPr>
      </w:pPr>
      <w:r>
        <w:rPr>
          <w:noProof/>
        </w:rPr>
        <w:t>Direktiva Vijeća 2004/80/EZ od 29. travnja 2004. o naknadi žrtvama kaznenih djela</w:t>
      </w:r>
      <w:r>
        <w:rPr>
          <w:rStyle w:val="FootnoteReference"/>
          <w:noProof/>
        </w:rPr>
        <w:footnoteReference w:id="32"/>
      </w:r>
    </w:p>
    <w:p>
      <w:pPr>
        <w:pStyle w:val="ListNumber"/>
        <w:rPr>
          <w:noProof/>
        </w:rPr>
      </w:pPr>
      <w:r>
        <w:rPr>
          <w:noProof/>
        </w:rPr>
        <w:t>Okvirna odluka Vijeća 2005/214/PUP od 24. veljače 2005. o primjeni načela uzajamnog priznavanja na novčane kazne</w:t>
      </w:r>
      <w:r>
        <w:rPr>
          <w:rStyle w:val="FootnoteReference"/>
          <w:noProof/>
        </w:rPr>
        <w:footnoteReference w:id="33"/>
      </w:r>
    </w:p>
    <w:p>
      <w:pPr>
        <w:pStyle w:val="ListNumber"/>
        <w:rPr>
          <w:noProof/>
        </w:rPr>
      </w:pPr>
      <w:r>
        <w:rPr>
          <w:noProof/>
        </w:rPr>
        <w:t>Okvirna odluka Vijeća 2006/783/PUP od 6. listopada 2006. o primjeni načela međusobnog priznavanja naloga za oduzimanje</w:t>
      </w:r>
      <w:r>
        <w:rPr>
          <w:rStyle w:val="FootnoteReference"/>
          <w:noProof/>
        </w:rPr>
        <w:footnoteReference w:id="34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Okvirna odluka Vijeća 2008/909/PUP od 27. studenoga 2008. o primjeni načela uzajamnog priznavanja presuda u kaznenim predmetima kojima se izriču kazne zatvora ili mjere koje uključuju oduzimanje slobode s ciljem njihova izvršenja u Europskoj uniji</w:t>
      </w:r>
      <w:r>
        <w:rPr>
          <w:rStyle w:val="FootnoteReference"/>
          <w:rFonts w:eastAsiaTheme="minorHAnsi"/>
          <w:noProof/>
        </w:rPr>
        <w:footnoteReference w:id="35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Okvirna odluka Vijeća 2008/947/PUP od 27. studenoga 2008. o primjeni načela uzajamnog priznavanja na presude i probacijske odluke s ciljem nadzora probacijskih mjera i alternativnih sankcija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Okvirna odluka Vijeća 2009/299/PUP od 26. veljače 2009. o izmjeni okvirnih odluka 2002/584/PUP, 2005/214/PUP, 2006/783/PUP, 2008/909/PUP i 2008/947/PUP radi jačanja postupovnih prava osoba i poticanja primjene načela uzajamnog priznavanja odluka donesenih na suđenju u odsutnosti dotične osobe</w:t>
      </w:r>
      <w:r>
        <w:rPr>
          <w:rStyle w:val="FootnoteReference"/>
          <w:rFonts w:eastAsiaTheme="minorHAnsi"/>
          <w:noProof/>
        </w:rPr>
        <w:footnoteReference w:id="37"/>
      </w:r>
    </w:p>
    <w:p>
      <w:pPr>
        <w:pStyle w:val="ListNumber"/>
        <w:rPr>
          <w:noProof/>
        </w:rPr>
      </w:pPr>
      <w:r>
        <w:rPr>
          <w:noProof/>
        </w:rPr>
        <w:t>Okvirna odluka Vijeća 2009/829/PUP od 23. listopada 2009. o primjeni načela uzajamnog priznavanja odluka o mjerama nadzora među državama članicama Europske unije kao alternative privremenom pritvoru</w:t>
      </w:r>
      <w:r>
        <w:rPr>
          <w:rStyle w:val="FootnoteReference"/>
          <w:noProof/>
        </w:rPr>
        <w:footnoteReference w:id="38"/>
      </w:r>
    </w:p>
    <w:p>
      <w:pPr>
        <w:pStyle w:val="ListNumber"/>
        <w:rPr>
          <w:noProof/>
        </w:rPr>
      </w:pPr>
      <w:r>
        <w:rPr>
          <w:noProof/>
        </w:rPr>
        <w:t>Okvirna odluka Vijeća 2009/948/PUP od 30. studenoga 2009. o sprečavanju i rješavanju sporova o izvršavanju nadležnosti u kaznenim postupcima</w:t>
      </w:r>
      <w:r>
        <w:rPr>
          <w:rStyle w:val="FootnoteReference"/>
          <w:noProof/>
        </w:rPr>
        <w:footnoteReference w:id="39"/>
      </w:r>
    </w:p>
    <w:p>
      <w:pPr>
        <w:pStyle w:val="ListNumber"/>
        <w:rPr>
          <w:noProof/>
        </w:rPr>
      </w:pPr>
      <w:r>
        <w:rPr>
          <w:noProof/>
        </w:rPr>
        <w:t>Direktiva 2011/99/EU Europskog parlamenta i Vijeća od 13. prosinca 2011. o europskom nalogu za zaštitu</w:t>
      </w:r>
      <w:r>
        <w:rPr>
          <w:rStyle w:val="FootnoteReference"/>
          <w:noProof/>
        </w:rPr>
        <w:footnoteReference w:id="40"/>
      </w:r>
    </w:p>
    <w:p>
      <w:pPr>
        <w:pStyle w:val="ListNumber"/>
        <w:rPr>
          <w:noProof/>
        </w:rPr>
      </w:pPr>
      <w:r>
        <w:rPr>
          <w:noProof/>
        </w:rPr>
        <w:t>Direktiva 2012/29/EU Europskog Parlamenta i Vijeća od 25. listopada 2012. o uspostavi minimalnih standarda za prava, potporu i zaštitu žrtava kaznenih djela te o zamjeni Okvirne odluke Vijeća 2001/220/PUP</w:t>
      </w:r>
      <w:r>
        <w:rPr>
          <w:rStyle w:val="FootnoteReference"/>
          <w:noProof/>
        </w:rPr>
        <w:footnoteReference w:id="41"/>
      </w:r>
    </w:p>
    <w:p>
      <w:pPr>
        <w:pStyle w:val="ListNumber"/>
        <w:rPr>
          <w:noProof/>
        </w:rPr>
      </w:pPr>
      <w:r>
        <w:rPr>
          <w:noProof/>
        </w:rPr>
        <w:t>Direktiva 2014/41/EU Europskog parlamenta i Vijeća od 3. travnja 2014. o Europskom istražnom nalogu u kaznenim stvarima</w:t>
      </w:r>
      <w:r>
        <w:rPr>
          <w:rStyle w:val="FootnoteReference"/>
          <w:noProof/>
        </w:rPr>
        <w:footnoteReference w:id="42"/>
      </w:r>
    </w:p>
    <w:p>
      <w:pPr>
        <w:pStyle w:val="ListNumber"/>
        <w:rPr>
          <w:noProof/>
        </w:rPr>
      </w:pPr>
      <w:r>
        <w:rPr>
          <w:noProof/>
        </w:rPr>
        <w:t>Uredba (EU) 2018/1805 Europskog parlamenta i Vijeća od 14. studenoga 2018. o uzajamnom priznavanju naloga za zamrzavanje i naloga za oduzimanje</w:t>
      </w:r>
      <w:r>
        <w:rPr>
          <w:rStyle w:val="FootnoteReference"/>
          <w:noProof/>
        </w:rPr>
        <w:footnoteReference w:id="43"/>
      </w:r>
    </w:p>
    <w:p>
      <w:pPr>
        <w:pStyle w:val="ListNumber"/>
        <w:rPr>
          <w:noProof/>
        </w:rPr>
      </w:pPr>
      <w:r>
        <w:rPr>
          <w:noProof/>
        </w:rPr>
        <w:t>[Prijedlog uredbe (EU) o europskom nalogu za dostavljanje i europskom nalogu za čuvanje elektroničkih dokaza u kaznenim stvarima</w:t>
      </w:r>
      <w:r>
        <w:rPr>
          <w:rStyle w:val="FootnoteReference"/>
          <w:noProof/>
        </w:rPr>
        <w:footnoteReference w:id="44"/>
      </w:r>
      <w:r>
        <w:rPr>
          <w:noProof/>
        </w:rPr>
        <w:t>]</w:t>
      </w:r>
    </w:p>
    <w:p>
      <w:pPr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PRILOG II.</w:t>
      </w: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Softverski proizvodi i povezana dokumentacija koji se moraju predati agenciji eu-LISA u skladu s člankom 9.</w:t>
      </w:r>
    </w:p>
    <w:p>
      <w:pPr>
        <w:pStyle w:val="ListNumber"/>
        <w:numPr>
          <w:ilvl w:val="0"/>
          <w:numId w:val="10"/>
        </w:numPr>
        <w:jc w:val="left"/>
        <w:rPr>
          <w:noProof/>
        </w:rPr>
      </w:pPr>
      <w:r>
        <w:rPr>
          <w:noProof/>
        </w:rPr>
        <w:t>Središnja platforma za testiranje (softverski proizvod kojim se pruža skup funkcija koje se mogu upotrebljavati za provjeru pravilnog funkcioniranja pristupnih točaka e-CODEX-a i pravilne uporabe digitalnih postupovnih standarda e-CODEX-a u povezanim sustavima povezanima s tim pristupnim točkama)</w:t>
      </w:r>
    </w:p>
    <w:p>
      <w:pPr>
        <w:pStyle w:val="ListNumber"/>
        <w:numPr>
          <w:ilvl w:val="0"/>
          <w:numId w:val="2"/>
        </w:numPr>
        <w:jc w:val="left"/>
        <w:rPr>
          <w:noProof/>
        </w:rPr>
      </w:pPr>
      <w:r>
        <w:rPr>
          <w:noProof/>
        </w:rPr>
        <w:t>Alat za upravljanje konfiguracijama (softverski proizvod koji se upotrebljava kao pomoć pri izvršavanju zadaće iz članka 6. stavka 2. točke (c))</w:t>
      </w:r>
    </w:p>
    <w:p>
      <w:pPr>
        <w:pStyle w:val="ListNumber"/>
        <w:numPr>
          <w:ilvl w:val="0"/>
          <w:numId w:val="2"/>
        </w:numPr>
        <w:jc w:val="left"/>
        <w:rPr>
          <w:noProof/>
        </w:rPr>
      </w:pPr>
      <w:r>
        <w:rPr>
          <w:noProof/>
        </w:rPr>
        <w:t>Radna okolina za metapodatke (softverski proizvod koji se upotrebljava kao pomoć pri izvršavanju dijelova zadaća iz članka 6.)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ab/>
        <w:t>SL L 12, 16.1.2001., str. 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SL L 174, 27.6.2001., str. 25.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SL L 174, 27.6.2001., str. 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SL L 26, 31.1.2003., str. 41.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SL L 338, 23.12.2003., str. 1.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SL L 143, 30.4.2004., str. 15.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SL L 399, 30.12.2006., str. 1.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SL L 199, 31.7.2007., str. 1.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SL L 199, 31.7.2007., str. 40.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SL L 324, 10.12.2007., str. 79.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SL L 136, 24.5.2008., str. 3.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SL L 177, 4.7.2008., str. 6.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SL L 7, 10.1.2009., str. 1.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SL L 343, 29.12.2010., str. 10.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SL L 201, 27.7.2012., str. 107.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SL L 351, 20.12.2012., str. 1.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SL L 181, 29.6.2013., str. 4.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SL L 189, 27.6.2014., str. 59.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SL L 141, 5.6.2015., str. 19.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SL L 183, 8.7.2016., str. 1.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SL L 183, 8.7.2016., str. 30.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SL L 200, 26.7.2016., str. 1.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SL L 172, 26.6.2019., str. 18.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SL C 313, 23.10.1996., str. 12.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SL C 78, 30.3.1995., str. 2.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SL C 197, 12.7.2000., str. 3.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>SL C 326, 21.11.2001., str. 2.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>SL L 190, 18.7.2002., str. 1.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>SL L 162, 20.6.2002., str. 1.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>SL L 196, 2.8.2003., str. 45.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  <w:t>SL L 261, 6.8.2004., str. 15.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  <w:t>SL L 76, 22.3.2005., str. 16.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  <w:t>SL L 328, 24.11.2006., str. 59.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  <w:t>SL L 327, 5.12.2008., str. 27.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  <w:t>SL L 337, 16.12.2008., str. 102.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  <w:t>SL L 81, 27.3.2009., str. 24.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>SL L 294, 11.11.2009., str. 20.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ab/>
        <w:t>SL L 328, 15.12.2009., str. 42.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SL L 338, 21.12.2011., str. 2.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  <w:t>SL L 315, 14.11.2012., str. 57.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ab/>
        <w:t>SL L 130, 1.5.2014., str. 1.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ab/>
        <w:t xml:space="preserve">SL L 303, 28.11.2018., str. 1. 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  <w:t>COM(2018) 225 final (Prijedlog je u zakonodavnom postupku).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43626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E12B7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33868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37CBA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67E11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14C61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1CE62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NumPar5"/>
      <w:lvlText w:val="(%5)"/>
      <w:lvlJc w:val="left"/>
      <w:pPr>
        <w:ind w:left="1800" w:hanging="360"/>
      </w:pPr>
    </w:lvl>
    <w:lvl w:ilvl="5">
      <w:start w:val="1"/>
      <w:numFmt w:val="lowerRoman"/>
      <w:pStyle w:val="NumPar6"/>
      <w:lvlText w:val="(%6)"/>
      <w:lvlJc w:val="left"/>
      <w:pPr>
        <w:ind w:left="2160" w:hanging="360"/>
      </w:pPr>
    </w:lvl>
    <w:lvl w:ilvl="6">
      <w:start w:val="1"/>
      <w:numFmt w:val="decimal"/>
      <w:pStyle w:val="NumPar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Heading5"/>
      <w:lvlText w:val="(%5)"/>
      <w:lvlJc w:val="left"/>
      <w:pPr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1F06166"/>
    <w:multiLevelType w:val="multilevel"/>
    <w:tmpl w:val="C08066D2"/>
    <w:name w:val="0.321911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851"/>
        </w:tabs>
        <w:ind w:left="851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559"/>
        </w:tabs>
        <w:ind w:left="1559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268"/>
        </w:tabs>
        <w:ind w:left="226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977"/>
        </w:tabs>
        <w:ind w:left="2977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9"/>
  </w:num>
  <w:num w:numId="14">
    <w:abstractNumId w:val="18"/>
  </w:num>
  <w:num w:numId="15">
    <w:abstractNumId w:val="11"/>
  </w:num>
  <w:num w:numId="16">
    <w:abstractNumId w:val="20"/>
  </w:num>
  <w:num w:numId="17">
    <w:abstractNumId w:val="10"/>
  </w:num>
  <w:num w:numId="18">
    <w:abstractNumId w:val="12"/>
  </w:num>
  <w:num w:numId="19">
    <w:abstractNumId w:val="8"/>
  </w:num>
  <w:num w:numId="20">
    <w:abstractNumId w:val="19"/>
  </w:num>
  <w:num w:numId="21">
    <w:abstractNumId w:val="7"/>
  </w:num>
  <w:num w:numId="22">
    <w:abstractNumId w:val="14"/>
  </w:num>
  <w:num w:numId="23">
    <w:abstractNumId w:val="16"/>
  </w:num>
  <w:num w:numId="24">
    <w:abstractNumId w:val="17"/>
  </w:num>
  <w:num w:numId="25">
    <w:abstractNumId w:val="9"/>
  </w:num>
  <w:num w:numId="26">
    <w:abstractNumId w:val="15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12 12:56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552B2F2B-717D-4D44-8C63-2E59F54CB923"/>
    <w:docVar w:name="LW_COVERPAGE_TYPE" w:val="1"/>
    <w:docVar w:name="LW_CROSSREFERENCE" w:val="{SEC(2020) 408 final} - {SWD(2020) 541 final} - {SWD(2020) 542 final}"/>
    <w:docVar w:name="LW_DocType" w:val="ANNEX"/>
    <w:docVar w:name="LW_EMISSION" w:val="2.12.2020."/>
    <w:docVar w:name="LW_EMISSION_ISODATE" w:val="2020-12-02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ra\u269?unalnom sustavu za komunikaciju u prekograni\u269?nim gra\u273?anskim i kaznenim postupcima (e-CODEX) i izmjeni Uredbe (EU) 2018/1726"/>
    <w:docVar w:name="LW_OBJETACTEPRINCIPAL.CP" w:val="o ra\u269?unalnom sustavu za komunikaciju u prekograni\u269?nim gra\u273?anskim i kaznenim postupcima (e-CODEX) i izmjeni Uredbe (EU) 2018/1726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7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Prijedlogu uredbe Europskog parlamenta i Vije\u263?a"/>
    <w:docVar w:name="LW_TYPEACTEPRINCIPAL.CP" w:val="Prijedlogu uredbe Europskog parlamenta i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3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3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3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1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2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2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2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3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3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3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1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2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2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2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487E243C297AB4F87C50AEE7240B5C7" ma:contentTypeVersion="1" ma:contentTypeDescription="Create a new document in this library." ma:contentTypeScope="" ma:versionID="33f03b4ca9e6cf51888504d824ac3183">
  <xsd:schema xmlns:xsd="http://www.w3.org/2001/XMLSchema" xmlns:xs="http://www.w3.org/2001/XMLSchema" xmlns:p="http://schemas.microsoft.com/office/2006/metadata/properties" xmlns:ns2="http://schemas.microsoft.com/sharepoint/v3/fields" xmlns:ns3="4864868a-e3f4-49fb-89bc-2140a99fffcd" xmlns:ns4="http://schemas.microsoft.com/sharepoint/v4" targetNamespace="http://schemas.microsoft.com/office/2006/metadata/properties" ma:root="true" ma:fieldsID="5d7b58ef1124637429748f57a198fb13" ns2:_="" ns3:_="" ns4:_="">
    <xsd:import namespace="http://schemas.microsoft.com/sharepoint/v3/fields"/>
    <xsd:import namespace="4864868a-e3f4-49fb-89bc-2140a99fffc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4868a-e3f4-49fb-89bc-2140a99fffc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4864868a-e3f4-49fb-89bc-2140a99fffcd">EN</EC_Collab_DocumentLanguage>
    <IconOverlay xmlns="http://schemas.microsoft.com/sharepoint/v4" xsi:nil="true"/>
    <EC_Collab_Reference xmlns="4864868a-e3f4-49fb-89bc-2140a99fffcd" xsi:nil="true"/>
    <EC_Collab_Status xmlns="4864868a-e3f4-49fb-89bc-2140a99fffcd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FFCF-044B-4AA6-9C01-EBD6B5D0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864868a-e3f4-49fb-89bc-2140a99fffc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3DB59-B94B-4320-BD56-DE4D539B5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0DB58-2A6D-437F-A67B-D18D86F78E8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864868a-e3f4-49fb-89bc-2140a99fffcd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8BCFEEE-2703-470E-B1DF-BA1B4E9A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6</Pages>
  <Words>1161</Words>
  <Characters>6957</Characters>
  <Application>Microsoft Office Word</Application>
  <DocSecurity>0</DocSecurity>
  <Lines>126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BONACINI Stefania (JUST)</dc:creator>
  <cp:keywords/>
  <dc:description/>
  <cp:lastModifiedBy>WES PDFC Administrator</cp:lastModifiedBy>
  <cp:revision>12</cp:revision>
  <dcterms:created xsi:type="dcterms:W3CDTF">2020-12-18T08:44:00Z</dcterms:created>
  <dcterms:modified xsi:type="dcterms:W3CDTF">2021-01-12T11:56:00Z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0x010100258AA79CEB83498886A3A08681123250003487E243C297AB4F87C50AEE7240B5C7</vt:lpwstr>
  </property>
  <property fmtid="{D5CDD505-2E9C-101B-9397-08002B2CF9AE}" pid="14" name="DQCStatus">
    <vt:lpwstr>Green (DQC version 03)</vt:lpwstr>
  </property>
</Properties>
</file>