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CEBBB1D4-2E6D-420B-9E33-7DFBFB0A56C3" style="width:450.8pt;height:452.0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LIITE I</w:t>
      </w: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Tämän asetuksen soveltamisalaan kuuluvat säädökset</w:t>
      </w:r>
    </w:p>
    <w:p>
      <w:pPr>
        <w:rPr>
          <w:noProof/>
        </w:rPr>
      </w:pPr>
      <w:r>
        <w:rPr>
          <w:noProof/>
        </w:rPr>
        <w:t xml:space="preserve">Siviilioikeuden alalla tehtävää oikeudellista yhteistyötä koskevat säädökset </w:t>
      </w:r>
    </w:p>
    <w:p>
      <w:pPr>
        <w:pStyle w:val="ListNumber"/>
        <w:rPr>
          <w:noProof/>
          <w:color w:val="000000" w:themeColor="text1"/>
        </w:rPr>
      </w:pPr>
      <w:r>
        <w:rPr>
          <w:noProof/>
          <w:color w:val="000000" w:themeColor="text1"/>
        </w:rPr>
        <w:t>Neuvoston asetus (EY) N:o 44/2001, annettu 22 päivänä joulukuuta 2000, tuomioistuimen toimivallasta sekä tuomioiden tunnustamisesta ja täytäntöönpanosta siviili- ja kauppaoikeuden alalla</w:t>
      </w:r>
      <w:r>
        <w:rPr>
          <w:rStyle w:val="FootnoteReference"/>
          <w:noProof/>
        </w:rPr>
        <w:footnoteReference w:id="2"/>
      </w:r>
    </w:p>
    <w:p>
      <w:pPr>
        <w:pStyle w:val="ListNumber"/>
        <w:rPr>
          <w:noProof/>
        </w:rPr>
      </w:pPr>
      <w:r>
        <w:rPr>
          <w:noProof/>
        </w:rPr>
        <w:t>Neuvoston päätös, tehty 28 päivänä toukokuuta 2001, siviili- ja kauppaoikeuden alan Euroopan oikeudellisen verkoston perustamisesta (2001/470/EY)</w:t>
      </w:r>
      <w:r>
        <w:rPr>
          <w:rStyle w:val="FootnoteReference"/>
          <w:noProof/>
        </w:rPr>
        <w:footnoteReference w:id="3"/>
      </w:r>
    </w:p>
    <w:p>
      <w:pPr>
        <w:pStyle w:val="ListNumber"/>
        <w:rPr>
          <w:noProof/>
        </w:rPr>
      </w:pPr>
      <w:r>
        <w:rPr>
          <w:noProof/>
        </w:rPr>
        <w:t>Neuvoston asetus (EY) N:o 1206/2001, annettu 28 päivänä toukokuuta 2001, jäsenvaltioiden tuomioistuinten välisestä yhteistyöstä siviili- ja kauppaoikeudellisissa asioissa tapahtuvassa todisteiden vastaanottamisessa</w:t>
      </w:r>
      <w:r>
        <w:rPr>
          <w:rStyle w:val="FootnoteReference"/>
          <w:noProof/>
        </w:rPr>
        <w:footnoteReference w:id="4"/>
      </w:r>
    </w:p>
    <w:p>
      <w:pPr>
        <w:pStyle w:val="ListNumber"/>
        <w:rPr>
          <w:noProof/>
        </w:rPr>
      </w:pPr>
      <w:r>
        <w:rPr>
          <w:noProof/>
        </w:rPr>
        <w:t>Neuvoston direktiivi 2003/8/EY, annettu 27 päivänä tammikuuta 2003, oikeussuojakeinojen parantamisesta rajat ylittävissä riita-asioissa vahvistamalla oikeusapuun kyseisissä riita-asioissa liittyvät yhteiset vähimmäisvaatimukset</w:t>
      </w:r>
      <w:r>
        <w:rPr>
          <w:rStyle w:val="FootnoteReference"/>
          <w:noProof/>
        </w:rPr>
        <w:footnoteReference w:id="5"/>
      </w:r>
    </w:p>
    <w:p>
      <w:pPr>
        <w:pStyle w:val="ListNumber"/>
        <w:rPr>
          <w:noProof/>
        </w:rPr>
      </w:pPr>
      <w:r>
        <w:rPr>
          <w:noProof/>
        </w:rPr>
        <w:t>Neuvoston asetus (EY) N:o 2201/2003, annettu 27 päivänä marraskuuta 2003 tuomioistuimen toimivallasta sekä tuomioiden tunnustamisesta ja täytäntöönpanosta avioliittoa ja vanhempainvastuuta koskevissa asioissa ja asetuksen (EY) N:o 1347/2000 kumoamisesta</w:t>
      </w:r>
      <w:r>
        <w:rPr>
          <w:rStyle w:val="FootnoteReference"/>
          <w:noProof/>
        </w:rPr>
        <w:footnoteReference w:id="6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(EY) N:o 805/2004, annettu 21 päivänä huhtikuuta 2004, riitauttamattomia vaatimuksia koskevan eurooppalaisen täytäntöönpanoperusteen käyttöönotosta</w:t>
      </w:r>
      <w:r>
        <w:rPr>
          <w:rStyle w:val="FootnoteReference"/>
          <w:noProof/>
        </w:rPr>
        <w:footnoteReference w:id="7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(EY) N:o 1896/2006, annettu 12 päivänä joulukuuta 2006, eurooppalaisen maksamismääräysmenettelyn käyttöönotosta</w:t>
      </w:r>
      <w:r>
        <w:rPr>
          <w:rStyle w:val="FootnoteReference"/>
          <w:noProof/>
        </w:rPr>
        <w:footnoteReference w:id="8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(EY) N:o 861/2007, annettu 11 päivänä heinäkuuta 2007, eurooppalaisesta vähäisiin vaatimuksiin sovellettavasta menettelystä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(EY) N:o 864/2007, annettu 11 päivänä heinäkuuta 2007, sopimukseen perustumattomiin velvoitteisiin sovellettavasta laista (Rooma II)</w:t>
      </w:r>
      <w:r>
        <w:rPr>
          <w:rStyle w:val="FootnoteReference"/>
          <w:noProof/>
        </w:rPr>
        <w:footnoteReference w:id="10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(EY) N:o 1393/2007, annettu 13 päivänä marraskuuta 2007, oikeudenkäynti- ja muiden asiakirjojen tiedoksiannosta jäsenvaltioissa siviili- tai kauppaoikeudellisissa asioissa (asiakirjojen tiedoksianto) ja neuvoston asetuksen (EY) N:o 1348/2000 kumoamisesta</w:t>
      </w:r>
      <w:r>
        <w:rPr>
          <w:rStyle w:val="FootnoteReference"/>
          <w:noProof/>
        </w:rPr>
        <w:footnoteReference w:id="11"/>
      </w:r>
    </w:p>
    <w:p>
      <w:pPr>
        <w:pStyle w:val="ListNumber"/>
        <w:rPr>
          <w:noProof/>
        </w:rPr>
      </w:pPr>
      <w:r>
        <w:rPr>
          <w:noProof/>
        </w:rPr>
        <w:t>Euroopan parlamentin ja neuvoston direktiivi 2008/52/EY, annettu 21 päivänä toukokuuta 2008, tietyistä sovittelun näkökohdista siviili- ja kauppaoikeuden alalla</w:t>
      </w:r>
      <w:r>
        <w:rPr>
          <w:rStyle w:val="FootnoteReference"/>
          <w:noProof/>
        </w:rPr>
        <w:footnoteReference w:id="12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(EY) N:o 593/2008, annettu 17 päivänä kesäkuuta 2008, sopimusvelvoitteisiin sovellettavasta laista (Rooma I)</w:t>
      </w:r>
      <w:r>
        <w:rPr>
          <w:rStyle w:val="FootnoteReference"/>
          <w:noProof/>
        </w:rPr>
        <w:footnoteReference w:id="13"/>
      </w:r>
    </w:p>
    <w:p>
      <w:pPr>
        <w:pStyle w:val="ListNumber"/>
        <w:rPr>
          <w:noProof/>
        </w:rPr>
      </w:pPr>
      <w:r>
        <w:rPr>
          <w:noProof/>
        </w:rPr>
        <w:t>Neuvoston asetus (EY) N:o 4/2009, annettu 18 päivänä joulukuuta 2008, toimivallasta, sovellettavasta laista, päätösten tunnustamisesta ja täytäntöönpanosta sekä yhteistyöstä elatusvelvoitteita koskevissa asioissa</w:t>
      </w:r>
      <w:r>
        <w:rPr>
          <w:rStyle w:val="FootnoteReference"/>
          <w:noProof/>
        </w:rPr>
        <w:footnoteReference w:id="14"/>
      </w:r>
    </w:p>
    <w:p>
      <w:pPr>
        <w:pStyle w:val="ListNumber"/>
        <w:rPr>
          <w:noProof/>
        </w:rPr>
      </w:pPr>
      <w:r>
        <w:rPr>
          <w:noProof/>
        </w:rPr>
        <w:t>Neuvoston asetus (EU) N:o 1259/2010, annettu 20 päivänä joulukuuta 2010, tiiviimmän yhteistyön toteuttamisesta avio- ja asumuseroon sovellettavan lain alalla</w:t>
      </w:r>
      <w:r>
        <w:rPr>
          <w:rStyle w:val="FootnoteReference"/>
          <w:noProof/>
        </w:rPr>
        <w:footnoteReference w:id="15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(EU) N:o 650/2012, annettu 4 päivänä heinäkuuta 2012, toimivallasta, sovellettavasta laista, päätösten tunnustamisesta ja täytäntöönpanosta ja virallisten asiakirjojen hyväksymisestä ja täytäntöönpanosta perintöasioissa sekä eurooppalaisen perintötodistuksen käyttöönotosta</w:t>
      </w:r>
      <w:r>
        <w:rPr>
          <w:rStyle w:val="FootnoteReference"/>
          <w:noProof/>
        </w:rPr>
        <w:footnoteReference w:id="16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(EU) N:o 1215/2012, annettu 12 päivänä joulukuuta 2012, tuomioistuimen toimivallasta sekä tuomioiden tunnustamisesta ja täytäntöönpanosta siviili- ja kauppaoikeuden alalla (uudelleenlaadittu)</w:t>
      </w:r>
      <w:r>
        <w:rPr>
          <w:rStyle w:val="FootnoteReference"/>
          <w:noProof/>
        </w:rPr>
        <w:footnoteReference w:id="17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(EU) N:o 606/2013, annettu 12 päivänä kesäkuuta 2013, yksityisoikeuden alalla määrättyjen suojelutoimenpiteiden vastavuoroisesta tunnustamisesta</w:t>
      </w:r>
      <w:r>
        <w:rPr>
          <w:rStyle w:val="FootnoteReference"/>
          <w:noProof/>
        </w:rPr>
        <w:footnoteReference w:id="18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(EU) N:o 655/2014, annettu 15 päivänä toukokuuta 2014, eurooppalaisen tilivarojen turvaamismääräysmenettelyn käyttöön ottamisesta rajat ylittävää velkojen perintää varten siviili- ja kauppaoikeudellisissa asioissa</w:t>
      </w:r>
      <w:r>
        <w:rPr>
          <w:rStyle w:val="FootnoteReference"/>
          <w:noProof/>
        </w:rPr>
        <w:footnoteReference w:id="19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(EU) 2015/848, annettu 20 päivänä toukokuuta 2015, maksukyvyttömyysmenettelyistä</w:t>
      </w:r>
      <w:r>
        <w:rPr>
          <w:rStyle w:val="FootnoteReference"/>
          <w:noProof/>
        </w:rPr>
        <w:footnoteReference w:id="20"/>
      </w:r>
    </w:p>
    <w:p>
      <w:pPr>
        <w:pStyle w:val="ListNumber"/>
        <w:rPr>
          <w:noProof/>
        </w:rPr>
      </w:pPr>
      <w:r>
        <w:rPr>
          <w:noProof/>
        </w:rPr>
        <w:t>Neuvoston asetus (EU) 2016/1103, annettu 24 päivänä kesäkuuta 2016, tiiviimmän yhteistyön toteuttamisesta tuomioistuimen toimivallan, sovellettavan lain sekä päätösten tunnustamisen ja täytäntöönpanon alalla aviovarallisuussuhteita koskevissa asioissa</w:t>
      </w:r>
      <w:r>
        <w:rPr>
          <w:rStyle w:val="FootnoteReference"/>
          <w:noProof/>
        </w:rPr>
        <w:footnoteReference w:id="21"/>
      </w:r>
    </w:p>
    <w:p>
      <w:pPr>
        <w:pStyle w:val="ListNumber"/>
        <w:rPr>
          <w:noProof/>
        </w:rPr>
      </w:pPr>
      <w:r>
        <w:rPr>
          <w:noProof/>
        </w:rPr>
        <w:t>Neuvoston asetus (EU) 2016/1104, annettu 24 päivänä kesäkuuta 2016, tiiviimmän yhteistyön toteuttamisesta tuomioistuimen toimivallan, sovellettavan lain sekä päätösten tunnustamisen ja täytäntöönpanon alalla rekisteröityjen parisuhteiden varallisuusoikeudellisia vaikutuksia koskevissa asioissa</w:t>
      </w:r>
      <w:r>
        <w:rPr>
          <w:rStyle w:val="FootnoteReference"/>
          <w:noProof/>
        </w:rPr>
        <w:footnoteReference w:id="22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(EU) 2016/1191, annettu 6 päivänä heinäkuuta 2016, kansalaisten vapaan liikkuvuuden edistämisestä yksinkertaistamalla tiettyjen yleisten asiakirjojen esittämistä Euroopan unionissa koskevia vaatimuksia sekä asetuksen (EU) N:o 1024/2012 muuttamisesta</w:t>
      </w:r>
      <w:r>
        <w:rPr>
          <w:rStyle w:val="FootnoteReference"/>
          <w:noProof/>
        </w:rPr>
        <w:footnoteReference w:id="23"/>
      </w:r>
    </w:p>
    <w:p>
      <w:pPr>
        <w:pStyle w:val="ListNumber"/>
        <w:rPr>
          <w:noProof/>
        </w:rPr>
      </w:pPr>
      <w:r>
        <w:rPr>
          <w:noProof/>
        </w:rPr>
        <w:t>Euroopan parlamentin ja neuvoston direktiivi (EU) 2019/1023, annettu 20 päivänä kesäkuuta 2019, ennaltaehkäiseviä uudelleenjärjestelyjä koskevista puitteista, veloista vapauttamisesta ja elinkeinotoiminnan harjoittamiskiellosta sekä toimenpiteistä uudelleenjärjestelyä, maksukyvyttömyyttä ja veloista vapauttamista koskevien menettelyjen tehostamiseksi ja direktiivin (EU) 2017/1132 muuttamisesta (direktiivi uudelleenjärjestelystä ja maksukyvyttömyydestä)</w:t>
      </w:r>
      <w:r>
        <w:rPr>
          <w:rStyle w:val="FootnoteReference"/>
          <w:noProof/>
        </w:rPr>
        <w:footnoteReference w:id="24"/>
      </w:r>
    </w:p>
    <w:p>
      <w:pPr>
        <w:rPr>
          <w:noProof/>
        </w:rPr>
      </w:pPr>
      <w:r>
        <w:rPr>
          <w:noProof/>
        </w:rPr>
        <w:t>Rikosasioissa tehtävää oikeudellista yhteistyötä koskevat välineet</w:t>
      </w:r>
    </w:p>
    <w:p>
      <w:pPr>
        <w:pStyle w:val="ListNumber"/>
        <w:numPr>
          <w:ilvl w:val="0"/>
          <w:numId w:val="2"/>
        </w:numPr>
        <w:rPr>
          <w:noProof/>
        </w:rPr>
      </w:pPr>
      <w:r>
        <w:rPr>
          <w:noProof/>
        </w:rPr>
        <w:t>Euroopan unionista tehdyn sopimuksen K.3 artiklan perusteella tehty yleissopimus Euroopan unionin jäsenvaltioiden välillä rikoksen johdosta tapahtuvasta luovuttamisesta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Euroopan unionista tehdyn sopimuksen K.3 artiklan perusteella tehty yleissopimus yksinkertaistetusta menettelystä Euroopan unionin jäsenvaltioiden välillä rikoksen johdosta tapahtuvassa luovuttamisessa</w:t>
      </w:r>
      <w:r>
        <w:rPr>
          <w:rStyle w:val="FootnoteReference"/>
          <w:noProof/>
        </w:rPr>
        <w:footnoteReference w:id="26"/>
      </w:r>
    </w:p>
    <w:p>
      <w:pPr>
        <w:pStyle w:val="ListNumber"/>
        <w:rPr>
          <w:noProof/>
        </w:rPr>
      </w:pPr>
      <w:r>
        <w:rPr>
          <w:noProof/>
        </w:rPr>
        <w:t>Euroopan unionista tehdyn sopimuksen 34 artiklan mukaisesti tehty yleissopimus keskinäisestä oikeusavusta rikosasioissa Euroopan unionin jäsenvaltioiden välillä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Keskinäisestä oikeusavusta rikosasioissa Euroopan unionin jäsenvaltioiden välillä tehtyyn yleissopimukseen liitettävä pöytäkirja, jonka neuvosto on laatinut Euroopan unionista tehdyn sopimuksen 34 artiklan mukaisesti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Neuvoston puitepäätös 2002/584/YOS, tehty 13 päivänä kesäkuuta 2002, eurooppalaisesta pidätysmääräyksestä ja jäsenvaltioiden välisistä luovuttamismenettelyistä</w:t>
      </w:r>
      <w:r>
        <w:rPr>
          <w:rStyle w:val="FootnoteReference"/>
          <w:noProof/>
        </w:rPr>
        <w:footnoteReference w:id="29"/>
      </w:r>
    </w:p>
    <w:p>
      <w:pPr>
        <w:pStyle w:val="ListNumber"/>
        <w:rPr>
          <w:noProof/>
        </w:rPr>
      </w:pPr>
      <w:r>
        <w:rPr>
          <w:noProof/>
        </w:rPr>
        <w:t>Neuvoston puitepäätös 2002/465/YOS, tehty 13 päivänä kesäkuuta 2002, yhteisistä tutkintaryhmistä</w:t>
      </w:r>
      <w:r>
        <w:rPr>
          <w:rStyle w:val="FootnoteReference"/>
          <w:noProof/>
        </w:rPr>
        <w:footnoteReference w:id="30"/>
      </w:r>
    </w:p>
    <w:p>
      <w:pPr>
        <w:pStyle w:val="ListNumber"/>
        <w:rPr>
          <w:noProof/>
        </w:rPr>
      </w:pPr>
      <w:r>
        <w:rPr>
          <w:noProof/>
        </w:rPr>
        <w:t>Neuvoston puitepäätös 2003/577/YOS, tehty 22 päivänä heinäkuuta 2003, omaisuuden tai todistusaineiston jäädyttämistä koskevien päätösten täytäntöönpanosta Euroopan unionissa</w:t>
      </w:r>
      <w:r>
        <w:rPr>
          <w:rStyle w:val="FootnoteReference"/>
          <w:noProof/>
        </w:rPr>
        <w:footnoteReference w:id="31"/>
      </w:r>
    </w:p>
    <w:p>
      <w:pPr>
        <w:pStyle w:val="ListNumber"/>
        <w:rPr>
          <w:noProof/>
        </w:rPr>
      </w:pPr>
      <w:r>
        <w:rPr>
          <w:noProof/>
        </w:rPr>
        <w:t>Neuvoston direktiivi 2004/80/EY, annettu 29 päivänä huhtikuuta 2004, rikoksen uhreille maksettavista korvauksista</w:t>
      </w:r>
      <w:r>
        <w:rPr>
          <w:rStyle w:val="FootnoteReference"/>
          <w:noProof/>
        </w:rPr>
        <w:footnoteReference w:id="32"/>
      </w:r>
    </w:p>
    <w:p>
      <w:pPr>
        <w:pStyle w:val="ListNumber"/>
        <w:rPr>
          <w:noProof/>
        </w:rPr>
      </w:pPr>
      <w:r>
        <w:rPr>
          <w:noProof/>
        </w:rPr>
        <w:t>Neuvoston puitepäätös 2005/214/YOS, tehty 24 päivänä helmikuuta 2005, vastavuoroisen tunnustamisen periaatteen soveltamisesta taloudellisiin seuraamuksiin</w:t>
      </w:r>
      <w:r>
        <w:rPr>
          <w:rStyle w:val="FootnoteReference"/>
          <w:noProof/>
        </w:rPr>
        <w:footnoteReference w:id="33"/>
      </w:r>
    </w:p>
    <w:p>
      <w:pPr>
        <w:pStyle w:val="ListNumber"/>
        <w:rPr>
          <w:noProof/>
        </w:rPr>
      </w:pPr>
      <w:r>
        <w:rPr>
          <w:noProof/>
        </w:rPr>
        <w:t>Neuvoston puitepäätös 2006/783/YOS, tehty 6 päivänä lokakuuta 2006, vastavuoroisen tunnustamisen periaatteen soveltamisesta menetetyksi tuomitsemista koskeviin päätöksiin</w:t>
      </w:r>
      <w:r>
        <w:rPr>
          <w:rStyle w:val="FootnoteReference"/>
          <w:noProof/>
        </w:rPr>
        <w:footnoteReference w:id="34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Neuvoston puitepäätös 2008/909/YOS, tehty 27 päivänä marraskuuta 2008, vastavuoroisen tunnustamisen periaatteen soveltamisesta rikosasioissa annettuihin tuomioihin, joissa määrätään vapausrangaistus tai vapauden menetyksen käsittävä toimenpide, niiden täytäntöön panemiseksi Euroopan unionissa</w:t>
      </w:r>
      <w:r>
        <w:rPr>
          <w:rStyle w:val="FootnoteReference"/>
          <w:rFonts w:eastAsiaTheme="minorHAnsi"/>
          <w:noProof/>
        </w:rPr>
        <w:footnoteReference w:id="35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Neuvoston puitepäätös 2008/947/YOS, tehty 27 päivänä marraskuuta 2008, vastavuoroisen tunnustamisen periaatteen soveltamisesta tuomioihin ja valvontapäätöksiin valvontatoimenpiteiden ja vaihtoehtoisten seuraamusten valvomiseksi</w:t>
      </w:r>
      <w:r>
        <w:rPr>
          <w:rStyle w:val="FootnoteReference"/>
          <w:noProof/>
        </w:rPr>
        <w:footnoteReference w:id="36"/>
      </w:r>
      <w:r>
        <w:rPr>
          <w:noProof/>
        </w:rPr>
        <w:t xml:space="preserve"> </w:t>
      </w:r>
    </w:p>
    <w:p>
      <w:pPr>
        <w:pStyle w:val="ListNumber"/>
        <w:rPr>
          <w:noProof/>
        </w:rPr>
      </w:pPr>
      <w:r>
        <w:rPr>
          <w:noProof/>
        </w:rPr>
        <w:t>Neuvoston puitepäätös 2009/299/YOS, tehty 26 päivänä helmikuuta 2009, puitepäätösten 2002/584/YOS, 2005/214/YOS, 2006/783/YOS, 2008/909/YOS ja 2008/947/YOS muuttamisesta henkilöiden prosessuaalisten oikeuksien parantamiseksi sekä vastavuoroisen tunnustamisen periaatteen soveltamisen edistämiseksi sellaisten päätösten osalta, jotka on tehty vastaajan ollessa poissa oikeudenkäynnistä</w:t>
      </w:r>
      <w:r>
        <w:rPr>
          <w:rStyle w:val="FootnoteReference"/>
          <w:rFonts w:eastAsiaTheme="minorHAnsi"/>
          <w:noProof/>
        </w:rPr>
        <w:footnoteReference w:id="37"/>
      </w:r>
    </w:p>
    <w:p>
      <w:pPr>
        <w:pStyle w:val="ListNumber"/>
        <w:rPr>
          <w:noProof/>
        </w:rPr>
      </w:pPr>
      <w:r>
        <w:rPr>
          <w:noProof/>
        </w:rPr>
        <w:t>Neuvoston puitepäätös 2009/829/YOS, tehty 23 päivänä lokakuuta 2009, vastavuoroisen tunnustamisen periaatteen soveltamisesta valvontatoimia koskeviin päätöksiin Euroopan unionin jäsenvaltioiden välillä tutkintavankeuden vaihtoehtona</w:t>
      </w:r>
      <w:r>
        <w:rPr>
          <w:rStyle w:val="FootnoteReference"/>
          <w:noProof/>
        </w:rPr>
        <w:footnoteReference w:id="38"/>
      </w:r>
    </w:p>
    <w:p>
      <w:pPr>
        <w:pStyle w:val="ListNumber"/>
        <w:rPr>
          <w:noProof/>
        </w:rPr>
      </w:pPr>
      <w:r>
        <w:rPr>
          <w:noProof/>
        </w:rPr>
        <w:t>Neuvoston puitepäätös 2009/948/YOS, tehty 30 päivänä marraskuuta 2009, rikosoikeudellisia menettelyjä koskevien toimivaltaristiriitojen ehkäisemisestä ja ratkaisemisesta</w:t>
      </w:r>
      <w:r>
        <w:rPr>
          <w:rStyle w:val="FootnoteReference"/>
          <w:noProof/>
        </w:rPr>
        <w:footnoteReference w:id="39"/>
      </w:r>
    </w:p>
    <w:p>
      <w:pPr>
        <w:pStyle w:val="ListNumber"/>
        <w:rPr>
          <w:noProof/>
        </w:rPr>
      </w:pPr>
      <w:r>
        <w:rPr>
          <w:noProof/>
        </w:rPr>
        <w:t>Euroopan parlamentin ja neuvoston direktiivi 2011/99/EU, annettu 13 päivänä joulukuuta 2011, eurooppalaisesta suojelumääräyksestä</w:t>
      </w:r>
      <w:r>
        <w:rPr>
          <w:rStyle w:val="FootnoteReference"/>
          <w:noProof/>
        </w:rPr>
        <w:footnoteReference w:id="40"/>
      </w:r>
    </w:p>
    <w:p>
      <w:pPr>
        <w:pStyle w:val="ListNumber"/>
        <w:rPr>
          <w:noProof/>
        </w:rPr>
      </w:pPr>
      <w:r>
        <w:rPr>
          <w:noProof/>
        </w:rPr>
        <w:t>Euroopan parlamentin ja neuvoston direktiivi 2012/29/EU, annettu 25 päivänä lokakuuta 2012, rikoksen uhrien oikeuksia, tukea ja suojelua koskevista vähimmäisvaatimuksista sekä neuvoston puitepäätöksen 2001/220/YOS korvaamisesta</w:t>
      </w:r>
      <w:r>
        <w:rPr>
          <w:rStyle w:val="FootnoteReference"/>
          <w:noProof/>
        </w:rPr>
        <w:footnoteReference w:id="41"/>
      </w:r>
    </w:p>
    <w:p>
      <w:pPr>
        <w:pStyle w:val="ListNumber"/>
        <w:rPr>
          <w:noProof/>
        </w:rPr>
      </w:pPr>
      <w:r>
        <w:rPr>
          <w:noProof/>
        </w:rPr>
        <w:t>Euroopan parlamentin ja neuvoston direktiivi 2014/41/EU, annettu 3 päivänä huhtikuuta 2014, rikosasioita koskevasta eurooppalaisesta tutkintamääräyksestä</w:t>
      </w:r>
      <w:r>
        <w:rPr>
          <w:rStyle w:val="FootnoteReference"/>
          <w:noProof/>
        </w:rPr>
        <w:footnoteReference w:id="42"/>
      </w:r>
    </w:p>
    <w:p>
      <w:pPr>
        <w:pStyle w:val="ListNumber"/>
        <w:rPr>
          <w:noProof/>
        </w:rPr>
      </w:pPr>
      <w:r>
        <w:rPr>
          <w:noProof/>
        </w:rPr>
        <w:t>Euroopan parlamentin ja neuvoston asetus (EU) 2018/1805, annettu 14 päivänä marraskuuta 2018, jäädyttämistä ja menetetyksi tuomitsemista koskevien päätösten vastavuoroisesta tunnustamisesta</w:t>
      </w:r>
      <w:r>
        <w:rPr>
          <w:rStyle w:val="FootnoteReference"/>
          <w:noProof/>
        </w:rPr>
        <w:footnoteReference w:id="43"/>
      </w:r>
    </w:p>
    <w:p>
      <w:pPr>
        <w:pStyle w:val="ListNumber"/>
        <w:rPr>
          <w:noProof/>
        </w:rPr>
      </w:pPr>
      <w:r>
        <w:rPr>
          <w:noProof/>
        </w:rPr>
        <w:t>[Ehdotus: Euroopan parlamentin ja neuvoston asetus sähköistä todistusaineistoa rikosoikeudellisissa asioissa koskevista eurooppalaisista esittämis- ja säilyttämismääräyksistä</w:t>
      </w:r>
      <w:r>
        <w:rPr>
          <w:rStyle w:val="FootnoteReference"/>
          <w:noProof/>
        </w:rPr>
        <w:footnoteReference w:id="44"/>
      </w:r>
      <w:r>
        <w:rPr>
          <w:noProof/>
        </w:rPr>
        <w:t>]</w:t>
      </w:r>
    </w:p>
    <w:p>
      <w:pPr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LIITE II</w:t>
      </w: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Ohjelmistotuotteet ja niihin liittyvä dokumentaatio, joka luovutetaan eu-LISAlle 9 artiklan nojalla</w:t>
      </w:r>
    </w:p>
    <w:p>
      <w:pPr>
        <w:pStyle w:val="ListNumber"/>
        <w:numPr>
          <w:ilvl w:val="0"/>
          <w:numId w:val="10"/>
        </w:numPr>
        <w:jc w:val="left"/>
        <w:rPr>
          <w:noProof/>
        </w:rPr>
      </w:pPr>
      <w:r>
        <w:rPr>
          <w:noProof/>
        </w:rPr>
        <w:t>Keskustestausalusta (ohjelmistotuote, joka tarjoaa toimintoja käytettäväksi e-CODEX-yhteyspisteiden virheettömän toiminnan sekä sen todentamiseen, että e-CODEXin digitaalisia prosessistandardeja käytetään asianmukaisesti kyseisiin yhteyspisteisiin liitetyissä järjestelmissä)</w:t>
      </w:r>
    </w:p>
    <w:p>
      <w:pPr>
        <w:pStyle w:val="ListNumber"/>
        <w:numPr>
          <w:ilvl w:val="0"/>
          <w:numId w:val="2"/>
        </w:numPr>
        <w:jc w:val="left"/>
        <w:rPr>
          <w:noProof/>
        </w:rPr>
      </w:pPr>
      <w:r>
        <w:rPr>
          <w:noProof/>
        </w:rPr>
        <w:t>Konfiguraation hallintaväline (ohjelmistotuote, jolla avustetaan 6 artiklan 2 kohdan c alakohdassa määritellyn tehtävän suorittamisessa)</w:t>
      </w:r>
    </w:p>
    <w:p>
      <w:pPr>
        <w:pStyle w:val="ListNumber"/>
        <w:numPr>
          <w:ilvl w:val="0"/>
          <w:numId w:val="2"/>
        </w:numPr>
        <w:jc w:val="left"/>
        <w:rPr>
          <w:noProof/>
        </w:rPr>
      </w:pPr>
      <w:r>
        <w:rPr>
          <w:noProof/>
        </w:rPr>
        <w:t>Metadata Workbench (ohjelmistotuote, jolla avustetaan joidenkin 6 artiklassa määriteltyjen tehtävien suorittamisessa)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rPr>
          <w:rStyle w:val="Hyperlink"/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12, 16.1.2001, s. 1.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174, 27.6.2001, s. 25.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174, 27.6.2001, s. 1.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26, 31.1.2003, s. 41.</w:t>
      </w:r>
    </w:p>
  </w:footnote>
  <w:footnote w:id="6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338, 23.12.2003, s. 1.</w:t>
      </w:r>
    </w:p>
  </w:footnote>
  <w:footnote w:id="7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143, 30.4.2004, s. 15.</w:t>
      </w:r>
    </w:p>
  </w:footnote>
  <w:footnote w:id="8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399, 30.12.2006, s. 1.</w:t>
      </w:r>
    </w:p>
  </w:footnote>
  <w:footnote w:id="9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199, 31.7.2007, s. 1.</w:t>
      </w:r>
    </w:p>
  </w:footnote>
  <w:footnote w:id="10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199, 31.7.2007, s. 40.</w:t>
      </w:r>
    </w:p>
  </w:footnote>
  <w:footnote w:id="1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324, 10.12.2007, s. 79.</w:t>
      </w:r>
    </w:p>
  </w:footnote>
  <w:footnote w:id="1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136, 24.5.2008, s. 3.</w:t>
      </w:r>
    </w:p>
  </w:footnote>
  <w:footnote w:id="1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177, 4.7.2008, s. 6.</w:t>
      </w:r>
    </w:p>
  </w:footnote>
  <w:footnote w:id="1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7, 10.1.2009, s. 1.</w:t>
      </w:r>
    </w:p>
  </w:footnote>
  <w:footnote w:id="1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343, 29.12.2010, s. 10.</w:t>
      </w:r>
    </w:p>
  </w:footnote>
  <w:footnote w:id="16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201, 27.7.2012, s. 107.</w:t>
      </w:r>
    </w:p>
  </w:footnote>
  <w:footnote w:id="17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351, 20.12.2012, s. 1.</w:t>
      </w:r>
    </w:p>
  </w:footnote>
  <w:footnote w:id="18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181, 29.6.2013, s. 4.</w:t>
      </w:r>
    </w:p>
  </w:footnote>
  <w:footnote w:id="19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189, 27.6.2014, s. 59.</w:t>
      </w:r>
    </w:p>
  </w:footnote>
  <w:footnote w:id="20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141, 5.6.2015, s. 19.</w:t>
      </w:r>
    </w:p>
  </w:footnote>
  <w:footnote w:id="2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183, 8.7.2016, s. 1.</w:t>
      </w:r>
    </w:p>
  </w:footnote>
  <w:footnote w:id="2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183, 8.7.2016, s. 30.</w:t>
      </w:r>
    </w:p>
  </w:footnote>
  <w:footnote w:id="2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200, 26.7.2016, s. 1.</w:t>
      </w:r>
    </w:p>
  </w:footnote>
  <w:footnote w:id="2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172, 26.6.2019, s. 18.</w:t>
      </w:r>
    </w:p>
  </w:footnote>
  <w:footnote w:id="2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C 313, 23.10.1996, s. 12.</w:t>
      </w:r>
    </w:p>
  </w:footnote>
  <w:footnote w:id="26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C 78, 30.3.1995, s. 2.</w:t>
      </w:r>
    </w:p>
  </w:footnote>
  <w:footnote w:id="27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C 197, 12.7.2000, s. 3.</w:t>
      </w:r>
    </w:p>
  </w:footnote>
  <w:footnote w:id="28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C 326, 21.11.2001, s. 2.</w:t>
      </w:r>
    </w:p>
  </w:footnote>
  <w:footnote w:id="29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190, 18.7.2002, s. 1.</w:t>
      </w:r>
    </w:p>
  </w:footnote>
  <w:footnote w:id="30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162, 20.6.2002, s. 1.</w:t>
      </w:r>
    </w:p>
  </w:footnote>
  <w:footnote w:id="3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196, 2.8.2003, s. 45.</w:t>
      </w:r>
    </w:p>
  </w:footnote>
  <w:footnote w:id="3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261, 6.8.2004, s. 15.</w:t>
      </w:r>
    </w:p>
  </w:footnote>
  <w:footnote w:id="3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76, 22.3.2005, s. 16.</w:t>
      </w:r>
    </w:p>
  </w:footnote>
  <w:footnote w:id="3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328, 24.11.2006, s. 59.</w:t>
      </w:r>
    </w:p>
  </w:footnote>
  <w:footnote w:id="3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327, 5.12.2008, s. 27.</w:t>
      </w:r>
    </w:p>
  </w:footnote>
  <w:footnote w:id="36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337, 16.12.2008, s. 102.</w:t>
      </w:r>
    </w:p>
  </w:footnote>
  <w:footnote w:id="37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81, 27.3.2009, s. 24.</w:t>
      </w:r>
    </w:p>
  </w:footnote>
  <w:footnote w:id="38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294, 11.11.2009, s. 20.</w:t>
      </w:r>
    </w:p>
  </w:footnote>
  <w:footnote w:id="39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328, 15.12.2009, s. 42.</w:t>
      </w:r>
    </w:p>
  </w:footnote>
  <w:footnote w:id="40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338, 21.12.2011, s. 2.</w:t>
      </w:r>
    </w:p>
  </w:footnote>
  <w:footnote w:id="4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315, 14.11.2012, s. 57.</w:t>
      </w:r>
    </w:p>
  </w:footnote>
  <w:footnote w:id="4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EUVL L 130, 1.5.2014, s. 1.</w:t>
      </w:r>
    </w:p>
  </w:footnote>
  <w:footnote w:id="4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EUVL L 303, 28.11.2018, s. 1. 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ab/>
        <w:t>COM(2018) 225 final (Ehdotus on lainsäädäntöprosessissa).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43626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E12B7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33868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37CBA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67E11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14C61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1CE62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NumPar5"/>
      <w:lvlText w:val="(%5)"/>
      <w:lvlJc w:val="left"/>
      <w:pPr>
        <w:ind w:left="1800" w:hanging="360"/>
      </w:pPr>
    </w:lvl>
    <w:lvl w:ilvl="5">
      <w:start w:val="1"/>
      <w:numFmt w:val="lowerRoman"/>
      <w:pStyle w:val="NumPar6"/>
      <w:lvlText w:val="(%6)"/>
      <w:lvlJc w:val="left"/>
      <w:pPr>
        <w:ind w:left="2160" w:hanging="360"/>
      </w:pPr>
    </w:lvl>
    <w:lvl w:ilvl="6">
      <w:start w:val="1"/>
      <w:numFmt w:val="decimal"/>
      <w:pStyle w:val="NumPar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Heading5"/>
      <w:lvlText w:val="(%5)"/>
      <w:lvlJc w:val="left"/>
      <w:pPr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1F06166"/>
    <w:multiLevelType w:val="multilevel"/>
    <w:tmpl w:val="C08066D2"/>
    <w:name w:val="0.321911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851"/>
        </w:tabs>
        <w:ind w:left="851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559"/>
        </w:tabs>
        <w:ind w:left="1559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268"/>
        </w:tabs>
        <w:ind w:left="226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977"/>
        </w:tabs>
        <w:ind w:left="2977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9"/>
  </w:num>
  <w:num w:numId="14">
    <w:abstractNumId w:val="18"/>
  </w:num>
  <w:num w:numId="15">
    <w:abstractNumId w:val="11"/>
  </w:num>
  <w:num w:numId="16">
    <w:abstractNumId w:val="20"/>
  </w:num>
  <w:num w:numId="17">
    <w:abstractNumId w:val="10"/>
  </w:num>
  <w:num w:numId="18">
    <w:abstractNumId w:val="12"/>
  </w:num>
  <w:num w:numId="19">
    <w:abstractNumId w:val="8"/>
  </w:num>
  <w:num w:numId="20">
    <w:abstractNumId w:val="19"/>
  </w:num>
  <w:num w:numId="21">
    <w:abstractNumId w:val="7"/>
  </w:num>
  <w:num w:numId="22">
    <w:abstractNumId w:val="14"/>
  </w:num>
  <w:num w:numId="23">
    <w:abstractNumId w:val="16"/>
  </w:num>
  <w:num w:numId="24">
    <w:abstractNumId w:val="17"/>
  </w:num>
  <w:num w:numId="25">
    <w:abstractNumId w:val="9"/>
  </w:num>
  <w:num w:numId="26">
    <w:abstractNumId w:val="15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12 12:58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CEBBB1D4-2E6D-420B-9E33-7DFBFB0A56C3"/>
    <w:docVar w:name="LW_COVERPAGE_TYPE" w:val="1"/>
    <w:docVar w:name="LW_CROSSREFERENCE" w:val="{SEC(2020) 408 final} - {SWD(2020) 541 final} - {SWD(2020) 542 final}"/>
    <w:docVar w:name="LW_DocType" w:val="ANNEX"/>
    <w:docVar w:name="LW_EMISSION" w:val="2.12.2020"/>
    <w:docVar w:name="LW_EMISSION_ISODATE" w:val="2020-12-02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rajatylittävissä siviili- ja rikosoikeudellisissa menettelyissä käytettävästä tietokoneistetusta viestintäjärjestelmästä (e-CODEX-järjestelmä) ja asetuksen (EU) 2018/1726 muuttamisesta_x000b__x000b__x000d__x000b_"/>
    <w:docVar w:name="LW_OBJETACTEPRINCIPAL.CP" w:val="rajatylittävissä siviili- ja rikosoikeudellisissa menettelyissä käytettävästä tietokoneistetusta viestintäjärjestelmästä (e-CODEX-järjestelmä) ja asetuksen (EU) 2018/1726 muuttamisesta_x000b__x000b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7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ITTEET"/>
    <w:docVar w:name="LW_TYPE.DOC.CP" w:val="LIITTEET"/>
    <w:docVar w:name="LW_TYPEACTEPRINCIPAL" w:val="Ehdotus Euroopan parlamentin ja neuvoston asetukseksi"/>
    <w:docVar w:name="LW_TYPEACTEPRINCIPAL.CP" w:val="Ehdotus Euroopan parlamentin ja neuvoston asetukseks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3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3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3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1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2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2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2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3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3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3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"/>
      </w:numPr>
    </w:pPr>
    <w:rPr>
      <w:rFonts w:eastAsia="Times New Roman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1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2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2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2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487E243C297AB4F87C50AEE7240B5C7" ma:contentTypeVersion="1" ma:contentTypeDescription="Create a new document in this library." ma:contentTypeScope="" ma:versionID="33f03b4ca9e6cf51888504d824ac3183">
  <xsd:schema xmlns:xsd="http://www.w3.org/2001/XMLSchema" xmlns:xs="http://www.w3.org/2001/XMLSchema" xmlns:p="http://schemas.microsoft.com/office/2006/metadata/properties" xmlns:ns2="http://schemas.microsoft.com/sharepoint/v3/fields" xmlns:ns3="4864868a-e3f4-49fb-89bc-2140a99fffcd" xmlns:ns4="http://schemas.microsoft.com/sharepoint/v4" targetNamespace="http://schemas.microsoft.com/office/2006/metadata/properties" ma:root="true" ma:fieldsID="5d7b58ef1124637429748f57a198fb13" ns2:_="" ns3:_="" ns4:_="">
    <xsd:import namespace="http://schemas.microsoft.com/sharepoint/v3/fields"/>
    <xsd:import namespace="4864868a-e3f4-49fb-89bc-2140a99fffc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4868a-e3f4-49fb-89bc-2140a99fffc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4864868a-e3f4-49fb-89bc-2140a99fffcd">EN</EC_Collab_DocumentLanguage>
    <IconOverlay xmlns="http://schemas.microsoft.com/sharepoint/v4" xsi:nil="true"/>
    <EC_Collab_Reference xmlns="4864868a-e3f4-49fb-89bc-2140a99fffcd" xsi:nil="true"/>
    <EC_Collab_Status xmlns="4864868a-e3f4-49fb-89bc-2140a99fffcd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DB59-B94B-4320-BD56-DE4D539B5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8FFCF-044B-4AA6-9C01-EBD6B5D00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864868a-e3f4-49fb-89bc-2140a99fffc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0DB58-2A6D-437F-A67B-D18D86F78E8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864868a-e3f4-49fb-89bc-2140a99fffcd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CAD21BE-7CFB-4BE6-AB1F-0C003436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998</Words>
  <Characters>8803</Characters>
  <Application>Microsoft Office Word</Application>
  <DocSecurity>0</DocSecurity>
  <Lines>151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BONACINI Stefania (JUST)</dc:creator>
  <cp:keywords/>
  <dc:description/>
  <cp:lastModifiedBy>WES PDFC Administrator</cp:lastModifiedBy>
  <cp:revision>12</cp:revision>
  <dcterms:created xsi:type="dcterms:W3CDTF">2020-12-18T08:44:00Z</dcterms:created>
  <dcterms:modified xsi:type="dcterms:W3CDTF">2021-01-12T11:58:00Z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0x010100258AA79CEB83498886A3A08681123250003487E243C297AB4F87C50AEE7240B5C7</vt:lpwstr>
  </property>
  <property fmtid="{D5CDD505-2E9C-101B-9397-08002B2CF9AE}" pid="14" name="DQCStatus">
    <vt:lpwstr>Green (DQC version 03)</vt:lpwstr>
  </property>
</Properties>
</file>