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7CB47A4-4ECF-4993-A401-57B6A38DEA80"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rFonts w:eastAsia="Arial Unicode MS"/>
          <w:noProof/>
        </w:rPr>
      </w:pPr>
      <w:r>
        <w:t>1.</w:t>
      </w:r>
      <w:r>
        <w:tab/>
      </w:r>
      <w:r>
        <w:rPr>
          <w:noProof/>
        </w:rPr>
        <w:t>Onderwerp van het voorstel</w:t>
      </w:r>
    </w:p>
    <w:p>
      <w:pPr>
        <w:rPr>
          <w:noProof/>
        </w:rPr>
      </w:pPr>
      <w:r>
        <w:rPr>
          <w:noProof/>
        </w:rPr>
        <w:t>Dit voorstel betreft het besluit tot bepaling van het namens de Unie in te nemen standpunt in de Gemengde Commissie EU-CTC</w:t>
      </w:r>
      <w:r>
        <w:rPr>
          <w:rStyle w:val="FootnoteReference"/>
          <w:rFonts w:eastAsia="Arial Unicode MS"/>
          <w:noProof/>
        </w:rPr>
        <w:footnoteReference w:id="1"/>
      </w:r>
      <w:r>
        <w:rPr>
          <w:noProof/>
        </w:rPr>
        <w:t xml:space="preserve"> voor gemeenschappelijk douanevervoer (hierna “de Gemengde Commissie” genoemd) met betrekking tot de voorgenomen vaststelling van een besluit tot wijziging van de aanhangsels van de overeenkomst betreffende een gemeenschappelijke regeling inzake douanevervoer</w:t>
      </w:r>
      <w:r>
        <w:rPr>
          <w:rStyle w:val="FootnoteReference"/>
          <w:rFonts w:eastAsia="Arial Unicode MS"/>
          <w:noProof/>
        </w:rPr>
        <w:footnoteReference w:id="2"/>
      </w:r>
      <w:r>
        <w:rPr>
          <w:noProof/>
        </w:rPr>
        <w:t xml:space="preserve"> van 20 mei 1987 (hierna “de overeenkomst” genoemd).</w:t>
      </w:r>
    </w:p>
    <w:p>
      <w:pPr>
        <w:pStyle w:val="ManualHeading1"/>
        <w:rPr>
          <w:noProof/>
        </w:rPr>
      </w:pPr>
      <w:r>
        <w:t>2.</w:t>
      </w:r>
      <w:r>
        <w:tab/>
      </w:r>
      <w:r>
        <w:rPr>
          <w:noProof/>
        </w:rPr>
        <w:t>Achtergrond van het voorstel</w:t>
      </w:r>
    </w:p>
    <w:p>
      <w:pPr>
        <w:pStyle w:val="ManualHeading2"/>
        <w:rPr>
          <w:noProof/>
        </w:rPr>
      </w:pPr>
      <w:r>
        <w:t>2.1.</w:t>
      </w:r>
      <w:r>
        <w:tab/>
      </w:r>
      <w:r>
        <w:rPr>
          <w:noProof/>
        </w:rPr>
        <w:t>De overeenkomst</w:t>
      </w:r>
    </w:p>
    <w:p>
      <w:pPr>
        <w:rPr>
          <w:rFonts w:eastAsia="Arial Unicode MS"/>
          <w:noProof/>
        </w:rPr>
      </w:pPr>
      <w:r>
        <w:rPr>
          <w:noProof/>
        </w:rPr>
        <w:t>De overeenkomst heeft tot doel het goederenverkeer tussen de Europese Unie en de andere landen die partij zijn bij de overeenkomst, te vergemakkelijken. Met de overeenkomst wordt de regeling Uniedouanevervoer</w:t>
      </w:r>
      <w:r>
        <w:rPr>
          <w:rStyle w:val="FootnoteReference"/>
          <w:noProof/>
        </w:rPr>
        <w:footnoteReference w:id="3"/>
      </w:r>
      <w:r>
        <w:rPr>
          <w:noProof/>
        </w:rPr>
        <w:t xml:space="preserve"> uitgebreid naar andere partijen bij de overeenkomst dan de Europese Unie en worden de voor bedrijven en douaneautoriteiten geldende verplichtingen vastgelegd voor goederen die onder deze regeling van de ene naar de andere partij worden vervoerd. Zij is op 1 januari 1988 in werking getreden.</w:t>
      </w:r>
    </w:p>
    <w:p>
      <w:pPr>
        <w:rPr>
          <w:rFonts w:eastAsia="Arial Unicode MS"/>
          <w:noProof/>
        </w:rPr>
      </w:pPr>
      <w:r>
        <w:rPr>
          <w:noProof/>
        </w:rPr>
        <w:t>De Europese Unie is partij bij de overeenkomst. De andere overeenkomstsluitende partijen zijn de Republiek IJsland, de Republiek Noord-Macedonië, het Koninkrijk Noorwegen, de Republiek Servië, de Zwitserse Bondsstaat en de Republiek Turkije. Deze landen worden in de overeenkomst “landen die deelnemen aan het gemeenschappelijk douanevervoer” genoemd.</w:t>
      </w:r>
    </w:p>
    <w:p>
      <w:pPr>
        <w:pStyle w:val="ManualHeading2"/>
        <w:rPr>
          <w:noProof/>
        </w:rPr>
      </w:pPr>
      <w:r>
        <w:t>2.2.</w:t>
      </w:r>
      <w:r>
        <w:tab/>
      </w:r>
      <w:r>
        <w:rPr>
          <w:noProof/>
        </w:rPr>
        <w:t>De Gemengde Commissie</w:t>
      </w:r>
    </w:p>
    <w:p>
      <w:pPr>
        <w:rPr>
          <w:rFonts w:eastAsia="Arial Unicode MS"/>
          <w:noProof/>
        </w:rPr>
      </w:pPr>
      <w:r>
        <w:rPr>
          <w:noProof/>
        </w:rPr>
        <w:t xml:space="preserve">De Gemengde Commissie is belast met het beheer van de overeenkomst en ziet toe op de correcte uitvoering ervan. Zij stelt bij besluit wijzigingen in de aanhangsels van de overeenkomst vast. </w:t>
      </w:r>
    </w:p>
    <w:p>
      <w:pPr>
        <w:rPr>
          <w:rFonts w:eastAsia="Arial Unicode MS"/>
          <w:noProof/>
        </w:rPr>
      </w:pPr>
      <w:r>
        <w:rPr>
          <w:noProof/>
        </w:rPr>
        <w:t>De besluiten van de Gemengde Commissie worden aangenomen in onderlinge overeenstemming</w:t>
      </w:r>
      <w:r>
        <w:rPr>
          <w:rStyle w:val="FootnoteReference"/>
          <w:noProof/>
        </w:rPr>
        <w:footnoteReference w:id="4"/>
      </w:r>
      <w:r>
        <w:rPr>
          <w:noProof/>
        </w:rPr>
        <w:t xml:space="preserve"> tussen de overeenkomstsluitende partijen, zoals is bepaald in artikel 14, lid 2, van de overeenkomst.</w:t>
      </w:r>
    </w:p>
    <w:p>
      <w:pPr>
        <w:pStyle w:val="ManualHeading2"/>
        <w:rPr>
          <w:noProof/>
        </w:rPr>
      </w:pPr>
      <w:r>
        <w:t>2.3.</w:t>
      </w:r>
      <w:r>
        <w:tab/>
      </w:r>
      <w:r>
        <w:rPr>
          <w:noProof/>
        </w:rPr>
        <w:t>De beoogde handeling van de Gemengde Commissie</w:t>
      </w:r>
    </w:p>
    <w:p>
      <w:pPr>
        <w:rPr>
          <w:rFonts w:eastAsia="Arial Unicode MS"/>
          <w:noProof/>
        </w:rPr>
      </w:pPr>
      <w:r>
        <w:rPr>
          <w:noProof/>
        </w:rPr>
        <w:t>De Gemengde Commissie zal begin 2021 via een schriftelijke procedure een besluit nemen betreffende de wijziging van de aanhangsels I en III van de overeenkomst (hierna “de beoogde handeling” genoemd).</w:t>
      </w:r>
    </w:p>
    <w:p>
      <w:pPr>
        <w:rPr>
          <w:rFonts w:eastAsia="Arial Unicode MS"/>
          <w:noProof/>
        </w:rPr>
      </w:pPr>
      <w:r>
        <w:rPr>
          <w:noProof/>
        </w:rPr>
        <w:t>De beoogde handeling strekt ertoe</w:t>
      </w:r>
      <w:r>
        <w:t xml:space="preserve"> </w:t>
      </w:r>
      <w:r>
        <w:rPr>
          <w:noProof/>
        </w:rPr>
        <w:t>de overeenkomst in overeenstemming te brengen met de bepalingen van het douanewetboek van de Unie</w:t>
      </w:r>
      <w:r>
        <w:rPr>
          <w:rStyle w:val="FootnoteReference"/>
          <w:noProof/>
        </w:rPr>
        <w:footnoteReference w:id="5"/>
      </w:r>
      <w:r>
        <w:rPr>
          <w:noProof/>
        </w:rPr>
        <w:t xml:space="preserve"> (“DWU”) en van de gedelegeerde en de uitvoeringshandeling wat betreft de regeling douanevervoer en de douanestatus van Uniegoederen, en de vereiste wijzigingen aan te brengen in de aanhangsels van de </w:t>
      </w:r>
      <w:r>
        <w:rPr>
          <w:noProof/>
        </w:rPr>
        <w:lastRenderedPageBreak/>
        <w:t>overeenkomst na de terugtrekking van het VK uit de Unie</w:t>
      </w:r>
      <w:r>
        <w:rPr>
          <w:rStyle w:val="FootnoteReference"/>
          <w:rFonts w:eastAsia="Arial Unicode MS"/>
          <w:noProof/>
        </w:rPr>
        <w:footnoteReference w:id="6"/>
      </w:r>
      <w:r>
        <w:rPr>
          <w:noProof/>
        </w:rPr>
        <w:t xml:space="preserve"> en de toetreding van het VK tot de overeenkomst. Hierbij gaat het om het volgende:</w:t>
      </w:r>
    </w:p>
    <w:p>
      <w:pPr>
        <w:rPr>
          <w:rFonts w:eastAsia="Arial Unicode MS"/>
          <w:noProof/>
        </w:rPr>
      </w:pPr>
      <w:r>
        <w:rPr>
          <w:noProof/>
        </w:rPr>
        <w:t>Artikel 311 van Uitvoeringsverordening (EU) 2015/2447</w:t>
      </w:r>
      <w:r>
        <w:rPr>
          <w:rStyle w:val="FootnoteReference"/>
          <w:noProof/>
        </w:rPr>
        <w:footnoteReference w:id="7"/>
      </w:r>
      <w:r>
        <w:rPr>
          <w:noProof/>
        </w:rPr>
        <w:t xml:space="preserve"> van de Commissie (hierna “de uitvoeringshandeling” genoemd), dat betrekking heeft op het verzoek om overdracht van de invordering van de douaneschuld, is in september 2019</w:t>
      </w:r>
      <w:r>
        <w:rPr>
          <w:rStyle w:val="FootnoteReference"/>
          <w:noProof/>
        </w:rPr>
        <w:footnoteReference w:id="8"/>
      </w:r>
      <w:r>
        <w:rPr>
          <w:noProof/>
        </w:rPr>
        <w:t xml:space="preserve"> gewijzigd. De wijziging legt de regels vast voor het verzoek om overdracht van de invordering wanneer de douaneautoriteit van een bij douanevervoer betrokken land het bewijs verkrijgt dat de feiten die tot het ontstaan van de schuld hebben geleid, zich op haar grondgebied hebben voorgedaan. In die gevallen moet de autoriteit in kwestie het land van vertrek vragen de verantwoordelijkheid om de invordering te beginnen, aan haar over te dragen. Het land van vertrek moet binnen een bepaalde termijn bevestigen of het de bevoegdheid om de invordering te beginnen, aan de verzoekende douaneautoriteit overdraagt. Artikel 50 van aanhangsel I van de overeenkomst, waarin de bepalingen van artikel 311 van de uitvoeringshandeling zijn overgenomen, moet daarom dienovereenkomstig worden gewijzigd.</w:t>
      </w:r>
    </w:p>
    <w:p>
      <w:pPr>
        <w:rPr>
          <w:rFonts w:eastAsia="Arial Unicode MS"/>
          <w:noProof/>
        </w:rPr>
      </w:pPr>
      <w:r>
        <w:rPr>
          <w:noProof/>
        </w:rPr>
        <w:t>Bijlage 72-04 bij de uitvoeringshandeling, die de bedrijfscontinuïteitsprocedure voor Uniedouanevervoer beschrijft, is gewijzigd en de wijziging is vanaf 30 juni 2020 van toepassing</w:t>
      </w:r>
      <w:r>
        <w:rPr>
          <w:rStyle w:val="FootnoteReference"/>
          <w:noProof/>
        </w:rPr>
        <w:footnoteReference w:id="9"/>
      </w:r>
      <w:r>
        <w:rPr>
          <w:noProof/>
        </w:rPr>
        <w:t>. Om de bedrijfscontinuïteitsprocedure in douanevervoer flexibeler te maken en de formaliteiten en kosten voor de douaneautoriteiten te beperken, is de geldigheid van de papieren certificaten van doorlopende zekerheid en van ontheffing van zekerheidstelling verlengd. Artikel 79 van aanhangsel I van de overeenkomst en punt 19.3 van hoofdstuk III van bijlage II bij aanhangsel I van de overeenkomst, waarin de bepalingen van punt 19.3 van hoofdstuk III, deel I, bijlage 72-04 bij de uitvoeringshandeling zijn overgenomen, moeten dienovereenkomstig worden gewijzigd.</w:t>
      </w:r>
    </w:p>
    <w:p>
      <w:pPr>
        <w:rPr>
          <w:rFonts w:eastAsia="Arial Unicode MS"/>
          <w:noProof/>
        </w:rPr>
      </w:pPr>
      <w:r>
        <w:rPr>
          <w:noProof/>
        </w:rPr>
        <w:t>Zodra het DWU niet langer van toepassing is op en in het Verenigd Koninkrijk met uitzondering van Noord-Ierland, treedt het Verenigd Koninkrijk als een afzonderlijke partij</w:t>
      </w:r>
      <w:r>
        <w:rPr>
          <w:rStyle w:val="FootnoteReference"/>
          <w:rFonts w:eastAsia="Arial Unicode MS"/>
          <w:noProof/>
        </w:rPr>
        <w:footnoteReference w:id="10"/>
      </w:r>
      <w:r>
        <w:rPr>
          <w:noProof/>
        </w:rPr>
        <w:t xml:space="preserve"> tot de overeenkomst toe en wordt het protocol inzake Ierland/Noord-Ierland dat aan het Akkoord inzake de terugtrekking van het Verenigd Koninkrijk van Groot-Brittannië en Noord-Ierland uit de Europese Unie en de Europese Gemeenschap voor Atoomenergie</w:t>
      </w:r>
      <w:r>
        <w:rPr>
          <w:rStyle w:val="FootnoteReference"/>
          <w:noProof/>
        </w:rPr>
        <w:footnoteReference w:id="11"/>
      </w:r>
      <w:r>
        <w:rPr>
          <w:noProof/>
        </w:rPr>
        <w:t xml:space="preserve"> is gehecht, van toepassing. De overeenkomst bevat verwijzingen naar de EU-lidstaten en de landen die deelnemen aan het gemeenschappelijk douanevervoer, alsook naar de desbetreffende landcodes. In aanhangsel III van de overeenkomst moeten derhalve de nodige wijzigingen worden aangebracht om het Verenigd Koninkrijk met betrekking tot Noord-Ierland te onderscheiden en duidelijk te maken dat het DWU, met name wat betreft de bepalingen inzake zekerheidstelling, van toepassing is in Noord-Ierland. </w:t>
      </w:r>
    </w:p>
    <w:p>
      <w:pPr>
        <w:rPr>
          <w:rFonts w:eastAsia="Arial Unicode MS"/>
          <w:noProof/>
        </w:rPr>
      </w:pPr>
      <w:r>
        <w:rPr>
          <w:noProof/>
        </w:rPr>
        <w:lastRenderedPageBreak/>
        <w:t>Het EU-standpunt ten aanzien van het ontwerpbesluit van de Gemengde Commissie betreffende de verdere wijzigingen van de overeenkomst is gebaseerd op EU-regels waarover de Raad reeds overeenstemming heeft bereikt (met name in de bepalingen van de gedelegeerde en de uitvoeringshandeling van het douanewetboek van de Unie). De wijzigingen die betrekking hebben op de toepassing van het protocol inzake Ierland/Noord-Ierland, zijn inhoudelijk in overeenstemming met dat protocol.</w:t>
      </w:r>
    </w:p>
    <w:p>
      <w:pPr>
        <w:rPr>
          <w:noProof/>
        </w:rPr>
      </w:pPr>
      <w:r>
        <w:rPr>
          <w:noProof/>
        </w:rPr>
        <w:t>De beoogde handeling zal voor de overeenkomstsluitende partijen bindend zijn overeenkomstig artikel 2 van dat besluit, waarin wordt bepaald dat het in werking treedt op de dag waarop het wordt vastgesteld.</w:t>
      </w:r>
    </w:p>
    <w:p>
      <w:pPr>
        <w:rPr>
          <w:noProof/>
        </w:rPr>
      </w:pPr>
      <w:r>
        <w:rPr>
          <w:noProof/>
        </w:rPr>
        <w:t xml:space="preserve">De bepalingen die betrekking hebben op de geldigheid van de papieren certificaten van doorlopende zekerheid en van ontheffing van zekerheidstelling, moeten met terugwerkende kracht vanaf 30 juni 2020 toepassing vinden. Zekerheidstellers moeten onder het Unierecht en de overeenkomst onder gelijke voorwaarden kunnen opereren. De verlengde geldigheidsduur van de certificaten is in de douanewetgeving van de Unie al van kracht sinds 30 juni 2020. </w:t>
      </w:r>
    </w:p>
    <w:p>
      <w:r>
        <w:rPr>
          <w:noProof/>
        </w:rPr>
        <w:t>De bepalingen betreffende de toepassing van het protocol inzake Ierland/Noord-Ierland worden van toepassing zodra het DWU niet langer van toepassing is op en in het Verenigd Koninkrijk met uitzondering van Noord-Ierland, waar het DWU na die datum van toepassing zal blijven, en het Verenigd Koninkrijk als een afzonderlijke partij toetreedt tot de overeenkomst</w:t>
      </w:r>
      <w:r>
        <w:t>.</w:t>
      </w:r>
    </w:p>
    <w:p>
      <w:pPr>
        <w:rPr>
          <w:rFonts w:eastAsia="Arial Unicode MS"/>
          <w:noProof/>
        </w:rPr>
      </w:pPr>
      <w:r>
        <w:rPr>
          <w:noProof/>
        </w:rPr>
        <w:t>Overeenkomstig artikel 15, lid 3, van de overeenkomst dienen de overeenkomstsluitende partijen in overeenstemming met hun eigen wetgeving gevolg te geven aan besluiten tot wijziging van de overeenkomst.</w:t>
      </w:r>
    </w:p>
    <w:p>
      <w:pPr>
        <w:pStyle w:val="ManualHeading1"/>
        <w:rPr>
          <w:rFonts w:eastAsia="Arial Unicode MS"/>
          <w:noProof/>
        </w:rPr>
      </w:pPr>
      <w:r>
        <w:t>3.</w:t>
      </w:r>
      <w:r>
        <w:tab/>
      </w:r>
      <w:r>
        <w:rPr>
          <w:noProof/>
        </w:rPr>
        <w:t>Namens de Unie in te nemen standpunt</w:t>
      </w:r>
    </w:p>
    <w:p>
      <w:pPr>
        <w:pBdr>
          <w:top w:val="nil"/>
          <w:left w:val="nil"/>
          <w:bottom w:val="nil"/>
          <w:right w:val="nil"/>
          <w:between w:val="nil"/>
          <w:bar w:val="nil"/>
        </w:pBdr>
        <w:spacing w:before="0" w:after="240"/>
        <w:rPr>
          <w:rFonts w:eastAsia="Arial Unicode MS"/>
          <w:noProof/>
        </w:rPr>
      </w:pPr>
      <w:r>
        <w:rPr>
          <w:noProof/>
        </w:rPr>
        <w:t>Het voorgestelde standpunt dat namens de Unie moet worden ingenomen, strekt ertoe de aanhangsels I en III van de overeenkomst te wijzigen om deze in overeenstemming te brengen met het volgende:</w:t>
      </w:r>
    </w:p>
    <w:p>
      <w:pPr>
        <w:pStyle w:val="Bullet0"/>
        <w:numPr>
          <w:ilvl w:val="0"/>
          <w:numId w:val="11"/>
        </w:numPr>
        <w:pBdr>
          <w:top w:val="nil"/>
          <w:left w:val="nil"/>
          <w:bottom w:val="nil"/>
          <w:right w:val="nil"/>
          <w:between w:val="nil"/>
          <w:bar w:val="nil"/>
        </w:pBdr>
        <w:spacing w:before="0" w:after="240"/>
        <w:rPr>
          <w:rFonts w:eastAsia="Arial Unicode MS"/>
          <w:noProof/>
        </w:rPr>
      </w:pPr>
      <w:r>
        <w:rPr>
          <w:noProof/>
        </w:rPr>
        <w:t>de douanewetgeving van de Unie betreffende de regeling Uniedouanevervoer en met name het gewijzigde artikel 311 van de uitvoeringshandeling, dat betrekking heeft op het verzoek om overdracht van de invordering van de douaneschuld, en bijlage 72-04 bij de uitvoeringshandeling wat betreft de geldigheid van de papieren certificaten van doorlopende zekerheidstelling en van ontheffing van zekerheidstelling, die in de bedrijfscontinuïteitsprocedure worden gebruikt;</w:t>
      </w:r>
    </w:p>
    <w:p>
      <w:pPr>
        <w:pStyle w:val="Bullet0"/>
        <w:pBdr>
          <w:top w:val="nil"/>
          <w:left w:val="nil"/>
          <w:bottom w:val="nil"/>
          <w:right w:val="nil"/>
          <w:between w:val="nil"/>
          <w:bar w:val="nil"/>
        </w:pBdr>
        <w:spacing w:before="0" w:after="240"/>
        <w:rPr>
          <w:rFonts w:eastAsia="Arial Unicode MS"/>
          <w:noProof/>
        </w:rPr>
      </w:pPr>
      <w:r>
        <w:rPr>
          <w:noProof/>
        </w:rPr>
        <w:t>de toepassing van het protocol inzake Ierland/Noord-Ierland, met name waar het gaat om het onderscheiden, in voorkomend geval, van het Verenigd Koninkrijk met betrekking tot Noord-Ierland.</w:t>
      </w:r>
    </w:p>
    <w:p>
      <w:pPr>
        <w:rPr>
          <w:rFonts w:eastAsia="Arial Unicode MS"/>
          <w:noProof/>
        </w:rPr>
      </w:pPr>
      <w:r>
        <w:rPr>
          <w:noProof/>
        </w:rPr>
        <w:t>Het voorgestelde standpunt is in overeenstemming met het gemeenschappelijk handelsbeleid.</w:t>
      </w:r>
    </w:p>
    <w:p>
      <w:pPr>
        <w:rPr>
          <w:noProof/>
        </w:rPr>
      </w:pPr>
      <w:r>
        <w:rPr>
          <w:noProof/>
        </w:rPr>
        <w:t>Door de overeenkomst volledig in overeenstemming te brengen met de huidige Uniewetgeving, waardoor uniforme voorwaarden voor een consequente uitvoering van de bepalingen betreffende de regeling Uniedouanevervoer en de regeling gemeenschappelijk douanevervoer worden gecreëerd, zouden de voorgestelde wijzigingen van de overeenkomst tot aanzienlijke en tastbare voordelen voor bedrijven en douanediensten kunnen leiden.</w:t>
      </w:r>
    </w:p>
    <w:p>
      <w:pPr>
        <w:pStyle w:val="ManualHeading1"/>
        <w:rPr>
          <w:noProof/>
        </w:rPr>
      </w:pPr>
      <w:r>
        <w:lastRenderedPageBreak/>
        <w:t>4.</w:t>
      </w:r>
      <w:r>
        <w:tab/>
      </w:r>
      <w:r>
        <w:rPr>
          <w:noProof/>
        </w:rPr>
        <w:t>Rechtsgrondslag</w:t>
      </w:r>
    </w:p>
    <w:p>
      <w:pPr>
        <w:pStyle w:val="ManualHeading2"/>
        <w:rPr>
          <w:noProof/>
        </w:rPr>
      </w:pPr>
      <w:r>
        <w:t>4.1.</w:t>
      </w:r>
      <w:r>
        <w:tab/>
      </w:r>
      <w:r>
        <w:rPr>
          <w:noProof/>
        </w:rPr>
        <w:t>Procedurele rechtsgrondslag</w:t>
      </w:r>
    </w:p>
    <w:p>
      <w:pPr>
        <w:pStyle w:val="ManualHeading3"/>
        <w:rPr>
          <w:noProof/>
        </w:rPr>
      </w:pPr>
      <w:r>
        <w:t>4.1.1.</w:t>
      </w:r>
      <w:r>
        <w:tab/>
      </w:r>
      <w:r>
        <w:rPr>
          <w:noProof/>
        </w:rPr>
        <w:t>Beginselen</w:t>
      </w:r>
    </w:p>
    <w:p>
      <w:pPr>
        <w:rPr>
          <w:noProof/>
        </w:rPr>
      </w:pPr>
      <w:r>
        <w:rPr>
          <w:noProof/>
        </w:rPr>
        <w:t>Artikel 218, lid 9, van het Verdrag betreffende de werking van de Europese Unie (VWEU) voorziet in de vaststelling van besluiten tot bepaling van “</w:t>
      </w:r>
      <w:r>
        <w:rPr>
          <w:i/>
          <w:noProof/>
        </w:rPr>
        <w:t>de standpunten die namens de Unie worden ingenomen in een krachtens een overeenkomst opgericht lichaam, wanneer dit lichaam handelingen met rechtsgevolgen vaststelt, met uitzondering van handelingen tot aanvulling of wijziging van het institutionele kader van de overeenkomst</w:t>
      </w:r>
      <w:r>
        <w:rPr>
          <w:noProof/>
        </w:rPr>
        <w:t>”.</w:t>
      </w:r>
    </w:p>
    <w:p>
      <w:pPr>
        <w:rPr>
          <w:noProof/>
        </w:rPr>
      </w:pPr>
      <w:r>
        <w:rPr>
          <w:noProof/>
        </w:rPr>
        <w:t>Overeenkomstig artikel 15, lid 3, van de overeenkomst stelt de Gemengde Commissie EU-CTC bij besluit wijzigingen in de aanhangsels van de overeenkomst vast.</w:t>
      </w:r>
    </w:p>
    <w:p>
      <w:pPr>
        <w:pStyle w:val="ManualHeading3"/>
        <w:rPr>
          <w:noProof/>
        </w:rPr>
      </w:pPr>
      <w:r>
        <w:t>4.1.2.</w:t>
      </w:r>
      <w:r>
        <w:tab/>
      </w:r>
      <w:r>
        <w:rPr>
          <w:noProof/>
        </w:rPr>
        <w:t>Toepassing op het onderhavige geval</w:t>
      </w:r>
    </w:p>
    <w:p>
      <w:pPr>
        <w:rPr>
          <w:noProof/>
        </w:rPr>
      </w:pPr>
      <w:r>
        <w:rPr>
          <w:noProof/>
        </w:rPr>
        <w:t>De Gemengde Commissie is een lichaam dat is opgericht krachtens een overeenkomst, te weten de overeenkomst betreffende een gemeenschappelijke regeling inzake douanevervoer.</w:t>
      </w:r>
    </w:p>
    <w:p>
      <w:r>
        <w:rPr>
          <w:noProof/>
        </w:rPr>
        <w:t>Het door de Gemengde Commissie vast te stellen besluit is een handeling met rechtsgevolgen. De beoogde handeling zal overeenkomstig artikel 15, lid 3, en artikel 20 van de overeenkomst uit hoofde van het volkenrecht bindend zijn.</w:t>
      </w:r>
      <w:r>
        <w:t xml:space="preserve"> </w:t>
      </w:r>
    </w:p>
    <w:p>
      <w:pPr>
        <w:rPr>
          <w:noProof/>
        </w:rPr>
      </w:pPr>
      <w:r>
        <w:rPr>
          <w:noProof/>
        </w:rPr>
        <w:t>De beoogde handeling strekt niet tot aanvulling of wijziging van het institutionele kader van de overeenkomst.</w:t>
      </w:r>
    </w:p>
    <w:p>
      <w:pPr>
        <w:rPr>
          <w:noProof/>
        </w:rPr>
      </w:pPr>
      <w:r>
        <w:rPr>
          <w:noProof/>
        </w:rPr>
        <w:t>De procedurele rechtsgrondslag voor het voorgestelde besluit is derhalve artikel 218, lid 9, VWEU.</w:t>
      </w:r>
    </w:p>
    <w:p>
      <w:pPr>
        <w:pStyle w:val="ManualHeading2"/>
        <w:rPr>
          <w:noProof/>
        </w:rPr>
      </w:pPr>
      <w:r>
        <w:t>4.2.</w:t>
      </w:r>
      <w:r>
        <w:tab/>
      </w:r>
      <w:r>
        <w:rPr>
          <w:noProof/>
        </w:rPr>
        <w:t>Materiële rechtsgrondslag</w:t>
      </w:r>
    </w:p>
    <w:p>
      <w:pPr>
        <w:pStyle w:val="ManualHeading3"/>
        <w:rPr>
          <w:noProof/>
        </w:rPr>
      </w:pPr>
      <w:r>
        <w:t>4.2.1.</w:t>
      </w:r>
      <w:r>
        <w:tab/>
      </w:r>
      <w:r>
        <w:rPr>
          <w:noProof/>
        </w:rPr>
        <w:t>Beginselen</w:t>
      </w:r>
    </w:p>
    <w:p>
      <w:pPr>
        <w:rPr>
          <w:noProof/>
        </w:rPr>
      </w:pPr>
      <w:r>
        <w:rPr>
          <w:noProof/>
        </w:rPr>
        <w:t>De materiële rechtsgrondslag voor een overeenkomstig artikel 218, lid 9, VWEU te nemen besluit wordt in de eerste plaats bepaald door de doelstelling en de inhoud van de beoogde handeling ten aanzien waarvan namens de Unie een standpunt moet worden ingenomen. Wanneer de beoogde handeling een tweeledige doelstelling heeft of bestaat uit twee componenten, waarvan er een kan worden gezien als hoofddoelstelling of overwegende component, terwijl de andere doelstelling of de andere component slechts ondergeschikt is, moet het overeenkomstig artikel 218, lid 9, VWEU te nemen besluit op één materiële rechtsgrondslag worden gebaseerd, namelijk die welke vereist is gelet op de hoofddoelstelling of de overwegende component.</w:t>
      </w:r>
    </w:p>
    <w:p>
      <w:pPr>
        <w:pStyle w:val="ManualHeading3"/>
        <w:rPr>
          <w:noProof/>
        </w:rPr>
      </w:pPr>
      <w:r>
        <w:t>4.2.2.</w:t>
      </w:r>
      <w:r>
        <w:tab/>
      </w:r>
      <w:r>
        <w:rPr>
          <w:noProof/>
        </w:rPr>
        <w:t>Toepassing op het onderhavige geval</w:t>
      </w:r>
    </w:p>
    <w:p>
      <w:pPr>
        <w:rPr>
          <w:noProof/>
        </w:rPr>
      </w:pPr>
      <w:r>
        <w:rPr>
          <w:noProof/>
        </w:rPr>
        <w:t>De doelstelling en de inhoud van de beoogde handeling moeten in de eerste plaats tot efficiënte procedures voor grensoverschrijding in het goederenverkeer leiden. De doelstelling en de inhoud van de beoogde handeling hebben dus in de eerste plaats betrekking op het gemeenschappelijk handelsbeleid.</w:t>
      </w:r>
    </w:p>
    <w:p>
      <w:pPr>
        <w:rPr>
          <w:i/>
          <w:noProof/>
        </w:rPr>
      </w:pPr>
      <w:r>
        <w:rPr>
          <w:noProof/>
        </w:rPr>
        <w:t>De materiële rechtsgrondslag voor het voorgestelde besluit is derhalve artikel 207 VWEU.</w:t>
      </w:r>
    </w:p>
    <w:p>
      <w:pPr>
        <w:pStyle w:val="ManualHeading2"/>
        <w:rPr>
          <w:noProof/>
        </w:rPr>
      </w:pPr>
      <w:r>
        <w:t>4.3.</w:t>
      </w:r>
      <w:r>
        <w:tab/>
      </w:r>
      <w:r>
        <w:rPr>
          <w:noProof/>
        </w:rPr>
        <w:t>Conclusie</w:t>
      </w:r>
    </w:p>
    <w:p>
      <w:pPr>
        <w:rPr>
          <w:noProof/>
        </w:rPr>
      </w:pPr>
      <w:r>
        <w:rPr>
          <w:noProof/>
        </w:rPr>
        <w:t>De rechtsgrondslag voor het voorgestelde besluit is artikel 207 VWEU</w:t>
      </w:r>
      <w:r>
        <w:t xml:space="preserve"> </w:t>
      </w:r>
      <w:r>
        <w:rPr>
          <w:noProof/>
        </w:rPr>
        <w:t>in samenhang met artikel 218, lid 9, VWEU.</w:t>
      </w:r>
    </w:p>
    <w:p>
      <w:pPr>
        <w:pStyle w:val="ManualHeading1"/>
        <w:rPr>
          <w:noProof/>
        </w:rPr>
      </w:pPr>
      <w:r>
        <w:lastRenderedPageBreak/>
        <w:t>5.</w:t>
      </w:r>
      <w:r>
        <w:tab/>
      </w:r>
      <w:r>
        <w:rPr>
          <w:noProof/>
        </w:rPr>
        <w:t>Bekendmaking van de beoogde handeling</w:t>
      </w:r>
    </w:p>
    <w:p>
      <w:pPr>
        <w:rPr>
          <w:noProof/>
        </w:rPr>
      </w:pPr>
      <w:r>
        <w:rPr>
          <w:noProof/>
        </w:rPr>
        <w:t xml:space="preserve">Aangezien de overeenkomst en de aanhangsels ervan door de handeling van de Gemengde Commissie zullen worden gewijzigd, is het passend deze handeling na de vaststelling ervan bekend te maken in het </w:t>
      </w:r>
      <w:r>
        <w:rPr>
          <w:i/>
          <w:noProof/>
        </w:rPr>
        <w:t>Publicatieblad van de Europese Unie</w:t>
      </w:r>
      <w:r>
        <w:rPr>
          <w:noProof/>
        </w:rPr>
        <w: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2021/0002 (NLE)</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betreffende het standpunt dat namens de Europese Unie moet worden ingenomen in de Gemengde Commissie EU-CTC die is ingesteld bij de overeenkomst betreffende een gemeenschappelijke regeling inzake douanevervoer van 20 mei 1987, met betrekking tot wijzigingen van deze overeenkomst</w:t>
      </w:r>
    </w:p>
    <w:p>
      <w:pPr>
        <w:pStyle w:val="Institutionquiagit"/>
        <w:rPr>
          <w:b/>
          <w:noProof/>
        </w:rPr>
      </w:pPr>
      <w:r>
        <w:rPr>
          <w:b/>
          <w:noProof/>
        </w:rPr>
        <w:t>DE RAAD VAN DE EUROPESE UNIE,</w:t>
      </w:r>
    </w:p>
    <w:p>
      <w:pPr>
        <w:rPr>
          <w:noProof/>
        </w:rPr>
      </w:pPr>
      <w:r>
        <w:rPr>
          <w:noProof/>
        </w:rPr>
        <w:t>Gezien het Verdrag betreffende de werking van de Europese Unie, en met name artikel 207</w:t>
      </w:r>
      <w:r>
        <w:t>,</w:t>
      </w:r>
      <w:r>
        <w:rPr>
          <w:noProof/>
        </w:rPr>
        <w:t xml:space="preserve"> in samenhang met artikel 218, lid 9,</w:t>
      </w:r>
    </w:p>
    <w:p>
      <w:pPr>
        <w:rPr>
          <w:noProof/>
        </w:rPr>
      </w:pPr>
      <w:r>
        <w:rPr>
          <w:noProof/>
        </w:rPr>
        <w:t>Gezien het voorstel van de Europese Commissie,</w:t>
      </w:r>
    </w:p>
    <w:p>
      <w:pPr>
        <w:rPr>
          <w:noProof/>
        </w:rPr>
      </w:pPr>
      <w:r>
        <w:rPr>
          <w:noProof/>
        </w:rPr>
        <w:t>Overwegende hetgeen volgt:</w:t>
      </w:r>
    </w:p>
    <w:p>
      <w:pPr>
        <w:pStyle w:val="ManualConsidrant"/>
        <w:rPr>
          <w:noProof/>
        </w:rPr>
      </w:pPr>
      <w:r>
        <w:t>(1)</w:t>
      </w:r>
      <w:r>
        <w:tab/>
      </w:r>
      <w:r>
        <w:rPr>
          <w:noProof/>
        </w:rPr>
        <w:t>De overeenkomst betreffende een gemeenschappelijke regeling inzake douanevervoer</w:t>
      </w:r>
      <w:r>
        <w:rPr>
          <w:rStyle w:val="FootnoteReference"/>
          <w:noProof/>
        </w:rPr>
        <w:footnoteReference w:id="12"/>
      </w:r>
      <w:r>
        <w:rPr>
          <w:noProof/>
        </w:rPr>
        <w:t xml:space="preserve"> (hierna “de overeenkomst” genoemd) is gesloten tussen de Europese Economische Gemeenschap, de Republiek Oostenrijk, de Republiek Finland, de Republiek IJsland, het Koninkrijk Noorwegen, het Koninkrijk Zweden en de Zwitserse Bondsstaat op 20 mei 1987 en in werking getreden op 1 januari 1988.</w:t>
      </w:r>
    </w:p>
    <w:p>
      <w:pPr>
        <w:pStyle w:val="ManualConsidrant"/>
        <w:rPr>
          <w:noProof/>
        </w:rPr>
      </w:pPr>
      <w:r>
        <w:t>(2)</w:t>
      </w:r>
      <w:r>
        <w:tab/>
      </w:r>
      <w:r>
        <w:rPr>
          <w:noProof/>
        </w:rPr>
        <w:t>Ingevolge artikel 15, lid 3, onder a),</w:t>
      </w:r>
      <w:r>
        <w:t xml:space="preserve"> </w:t>
      </w:r>
      <w:r>
        <w:rPr>
          <w:noProof/>
        </w:rPr>
        <w:t>van de overeenkomst kan de bij die overeenkomst ingestelde Gemengde Commissie bij besluit wijzigingen in de aanhangsels van de overeenkomst vaststellen</w:t>
      </w:r>
      <w:r>
        <w:t>.</w:t>
      </w:r>
    </w:p>
    <w:p>
      <w:pPr>
        <w:pStyle w:val="ManualConsidrant"/>
        <w:rPr>
          <w:noProof/>
        </w:rPr>
      </w:pPr>
      <w:r>
        <w:t>(3)</w:t>
      </w:r>
      <w:r>
        <w:tab/>
      </w:r>
      <w:r>
        <w:rPr>
          <w:noProof/>
        </w:rPr>
        <w:t>De Gemengde Commissie</w:t>
      </w:r>
      <w:r>
        <w:t xml:space="preserve"> </w:t>
      </w:r>
      <w:r>
        <w:rPr>
          <w:noProof/>
        </w:rPr>
        <w:t>zal begin 2021 een besluit nemen betreffende de wijziging van de aanhangsels I en III van de overeenkomst.</w:t>
      </w:r>
    </w:p>
    <w:p>
      <w:pPr>
        <w:pStyle w:val="ManualConsidrant"/>
        <w:rPr>
          <w:noProof/>
        </w:rPr>
      </w:pPr>
      <w:r>
        <w:t>(4)</w:t>
      </w:r>
      <w:r>
        <w:tab/>
      </w:r>
      <w:r>
        <w:rPr>
          <w:noProof/>
        </w:rPr>
        <w:t>Het is passend het standpunt te bepalen dat namens de Unie moet worden ingenomen in de Gemengde Commissie</w:t>
      </w:r>
      <w:r>
        <w:t>,</w:t>
      </w:r>
      <w:r>
        <w:rPr>
          <w:noProof/>
        </w:rPr>
        <w:t xml:space="preserve"> aangezien het besluit tot wijziging van de aanhangsels I en III van de overeenkomst voor de Unie bindend zal zijn.</w:t>
      </w:r>
    </w:p>
    <w:p>
      <w:pPr>
        <w:pStyle w:val="ManualConsidrant"/>
        <w:rPr>
          <w:noProof/>
        </w:rPr>
      </w:pPr>
      <w:r>
        <w:t>(5)</w:t>
      </w:r>
      <w:r>
        <w:tab/>
      </w:r>
      <w:r>
        <w:rPr>
          <w:noProof/>
        </w:rPr>
        <w:t>Artikel 311 van Uitvoeringsverordening (EU) 2015/2447</w:t>
      </w:r>
      <w:r>
        <w:rPr>
          <w:rStyle w:val="FootnoteReference"/>
          <w:noProof/>
        </w:rPr>
        <w:footnoteReference w:id="13"/>
      </w:r>
      <w:r>
        <w:rPr>
          <w:noProof/>
        </w:rPr>
        <w:t xml:space="preserve"> van de Commissie (hierna “de uitvoeringshandeling” genoemd), dat betrekking heeft op het verzoek om overdracht van de invordering van de douaneschuld, is gewijzigd</w:t>
      </w:r>
      <w:r>
        <w:rPr>
          <w:rStyle w:val="FootnoteReference"/>
          <w:noProof/>
        </w:rPr>
        <w:footnoteReference w:id="14"/>
      </w:r>
      <w:r>
        <w:rPr>
          <w:noProof/>
        </w:rPr>
        <w:t xml:space="preserve">. Volgens de nieuwe leden 3 en 4 moet de douaneautoriteit van een bij douanevervoer betrokken land, wanneer deze autoriteit het bewijs verkrijgt dat de feiten die tot het ontstaan van de douaneschuld hebben geleid, zich op haar grondgebied hebben voorgedaan, het land van vertrek vragen de verantwoordelijkheid om de invordering te beginnen, aan </w:t>
      </w:r>
      <w:r>
        <w:rPr>
          <w:noProof/>
        </w:rPr>
        <w:lastRenderedPageBreak/>
        <w:t>haar over te dragen. Het land van vertrek moet binnen een bepaalde termijn bevestigen of het de bevoegdheid om de invordering te beginnen, aan de verzoekende douaneautoriteit overdraagt. Artikel 50 van aanhangsel I van de overeenkomst, waarin de bepalingen van artikel 311 van de uitvoeringshandeling zijn overgenomen, moet daarom dienovereenkomstig worden gewijzigd.</w:t>
      </w:r>
    </w:p>
    <w:p>
      <w:pPr>
        <w:pStyle w:val="ManualConsidrant"/>
        <w:rPr>
          <w:noProof/>
        </w:rPr>
      </w:pPr>
      <w:r>
        <w:t>(6)</w:t>
      </w:r>
      <w:r>
        <w:tab/>
      </w:r>
      <w:r>
        <w:rPr>
          <w:noProof/>
        </w:rPr>
        <w:t>Bijlage 72-04 bij de uitvoeringshandeling, die de bedrijfscontinuïteitsprocedure voor Uniedouanevervoer beschrijft, is gewijzigd</w:t>
      </w:r>
      <w:r>
        <w:rPr>
          <w:rStyle w:val="FootnoteReference"/>
          <w:noProof/>
        </w:rPr>
        <w:footnoteReference w:id="15"/>
      </w:r>
      <w:r>
        <w:rPr>
          <w:noProof/>
        </w:rPr>
        <w:t>. Om de bedrijfscontinuïteitsprocedure in douanevervoer flexibeler te maken en de formaliteiten en kosten voor de douaneautoriteiten te beperken, is de geldigheid van de papieren certificaten van doorlopende zekerheid en van ontheffing van zekerheidstelling verlengd. Artikel 79 van aanhangsel I van de overeenkomst en punt 19.3 van hoofdstuk III van bijlage II bij aanhangsel I van de overeenkomst, waarin de bepalingen van punt 19.3 van hoofdstuk III, deel I, bijlage 72-04 bij de uitvoeringshandeling zijn overgenomen, moeten daarom dienovereenkomstig worden gewijzigd.</w:t>
      </w:r>
    </w:p>
    <w:p>
      <w:pPr>
        <w:pStyle w:val="ManualConsidrant"/>
        <w:rPr>
          <w:noProof/>
        </w:rPr>
      </w:pPr>
      <w:r>
        <w:t>(7)</w:t>
      </w:r>
      <w:r>
        <w:tab/>
      </w:r>
      <w:r>
        <w:rPr>
          <w:noProof/>
        </w:rPr>
        <w:t>Zodra het DWU niet langer van toepassing is op en in het Verenigd Koninkrijk met uitzondering van Noord-Ierland, treedt het Verenigd Koninkrijk als een afzonderlijke partij</w:t>
      </w:r>
      <w:r>
        <w:rPr>
          <w:rStyle w:val="FootnoteReference"/>
          <w:rFonts w:eastAsia="Arial Unicode MS"/>
          <w:noProof/>
        </w:rPr>
        <w:footnoteReference w:id="16"/>
      </w:r>
      <w:r>
        <w:rPr>
          <w:noProof/>
        </w:rPr>
        <w:t xml:space="preserve"> tot de overeenkomst toe en wordt het protocol inzake Ierland/Noord-Ierland dat aan het Akkoord inzake de terugtrekking van het Verenigd Koninkrijk van Groot-Brittannië en Noord-Ierland uit de Europese Unie en de Europese Gemeenschap voor Atoomenergie</w:t>
      </w:r>
      <w:r>
        <w:rPr>
          <w:rStyle w:val="FootnoteReference"/>
          <w:noProof/>
        </w:rPr>
        <w:footnoteReference w:id="17"/>
      </w:r>
      <w:r>
        <w:rPr>
          <w:noProof/>
        </w:rPr>
        <w:t xml:space="preserve"> is gehecht, van toepassing. De overeenkomst bevat verwijzingen naar de namen van de EU-lidstaten en de landen die deelnemen aan het gemeenschappelijk douanevervoer, alsook naar de desbetreffende landcodes. In aanhangsel III van de overeenkomst moeten derhalve de nodige wijzigingen worden aangebracht om duidelijk te maken dat het Verenigd Koninkrijk een land is dat deelneemt aan het gemeenschappelijk douanevervoer, en dat het DWU, met name wat betreft de bepalingen inzake zekerheidstelling, van toepassing is in Noord-Ierland,</w:t>
      </w:r>
    </w:p>
    <w:p>
      <w:pPr>
        <w:pStyle w:val="Formuledadoption"/>
        <w:rPr>
          <w:noProof/>
        </w:rPr>
      </w:pPr>
      <w:r>
        <w:rPr>
          <w:noProof/>
        </w:rPr>
        <w:t>HEEFT HET VOLGENDE BESLUIT VASTGESTELD:</w:t>
      </w:r>
    </w:p>
    <w:p>
      <w:pPr>
        <w:pStyle w:val="Titrearticle"/>
        <w:rPr>
          <w:noProof/>
        </w:rPr>
      </w:pPr>
      <w:r>
        <w:rPr>
          <w:noProof/>
        </w:rPr>
        <w:t>Artikel 1</w:t>
      </w:r>
    </w:p>
    <w:p>
      <w:pPr>
        <w:rPr>
          <w:noProof/>
        </w:rPr>
      </w:pPr>
      <w:r>
        <w:rPr>
          <w:noProof/>
        </w:rPr>
        <w:t>Het namens de Unie op de 33e of een daaropvolgende vergadering van de Gemengde Commissie dan wel via een schriftelijke procedure in te nemen standpunt met betrekking tot de wijzigingen in de aanhangsels van de overeenkomst is gebaseerd op het aan dit besluit gehechte ontwerpbesluit van deze Gemengde Commissie.</w:t>
      </w:r>
    </w:p>
    <w:p>
      <w:pPr>
        <w:rPr>
          <w:noProof/>
        </w:rPr>
      </w:pPr>
      <w:r>
        <w:rPr>
          <w:noProof/>
        </w:rPr>
        <w:t>Kleine wijzigingen van het ontwerpbesluit van de Gemengde Commissie kunnen zonder nader besluit van de Raad worden goedgekeurd door de vertegenwoordigers van de Unie in de Gemengde Commissie.</w:t>
      </w:r>
    </w:p>
    <w:p>
      <w:pPr>
        <w:pStyle w:val="Titrearticle"/>
        <w:rPr>
          <w:noProof/>
        </w:rPr>
      </w:pPr>
      <w:r>
        <w:rPr>
          <w:noProof/>
        </w:rPr>
        <w:lastRenderedPageBreak/>
        <w:t>Artikel 2</w:t>
      </w:r>
    </w:p>
    <w:p>
      <w:pPr>
        <w:keepNext/>
        <w:keepLines/>
        <w:rPr>
          <w:noProof/>
        </w:rPr>
      </w:pPr>
      <w:r>
        <w:rPr>
          <w:noProof/>
        </w:rPr>
        <w:t>Dit besluit is gericht tot de Commissie.</w:t>
      </w: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Landen die deelnemen aan het gemeenschappelijk douanevervoer.</w:t>
      </w:r>
    </w:p>
  </w:footnote>
  <w:footnote w:id="2">
    <w:p>
      <w:pPr>
        <w:pStyle w:val="FootnoteText"/>
      </w:pPr>
      <w:r>
        <w:rPr>
          <w:rStyle w:val="FootnoteReference"/>
        </w:rPr>
        <w:footnoteRef/>
      </w:r>
      <w:r>
        <w:tab/>
        <w:t>PB L 226 van 13.8.1987, blz. 2.</w:t>
      </w:r>
    </w:p>
  </w:footnote>
  <w:footnote w:id="3">
    <w:p>
      <w:pPr>
        <w:pStyle w:val="FootnoteText"/>
      </w:pPr>
      <w:r>
        <w:rPr>
          <w:rStyle w:val="FootnoteReference"/>
        </w:rPr>
        <w:footnoteRef/>
      </w:r>
      <w:r>
        <w:tab/>
        <w:t>Artikelen 226 en 227 van Verordening (EU) nr. 952/2013 van het Europees Parlement en van de Raad van 9 oktober 2013 tot vaststelling van het douanewetboek van de Unie (PB L 269 van 10.10.2013, blz. 1).</w:t>
      </w:r>
    </w:p>
  </w:footnote>
  <w:footnote w:id="4">
    <w:p>
      <w:pPr>
        <w:pStyle w:val="FootnoteText"/>
      </w:pPr>
      <w:r>
        <w:rPr>
          <w:rStyle w:val="FootnoteReference"/>
        </w:rPr>
        <w:footnoteRef/>
      </w:r>
      <w:r>
        <w:tab/>
        <w:t>Geen enkele overeenkomstsluitende partij maakt bezwaar.</w:t>
      </w:r>
    </w:p>
  </w:footnote>
  <w:footnote w:id="5">
    <w:p>
      <w:pPr>
        <w:pStyle w:val="FootnoteText"/>
      </w:pPr>
      <w:r>
        <w:rPr>
          <w:rStyle w:val="FootnoteReference"/>
        </w:rPr>
        <w:footnoteRef/>
      </w:r>
      <w:r>
        <w:tab/>
        <w:t>Verordening (EU) nr. 952/2013 van het Europees Parlement en van de Raad van 9 oktober 2013 tot vaststelling van het douanewetboek van de Unie (PB L 269 van 10.10.2013, blz. 1).</w:t>
      </w:r>
    </w:p>
  </w:footnote>
  <w:footnote w:id="6">
    <w:p>
      <w:pPr>
        <w:pStyle w:val="FootnoteText"/>
      </w:pPr>
      <w:r>
        <w:rPr>
          <w:rStyle w:val="FootnoteReference"/>
        </w:rPr>
        <w:footnoteRef/>
      </w:r>
      <w:r>
        <w:tab/>
        <w:t>PB L 29 van 31.1.2020, blz. 7.</w:t>
      </w:r>
    </w:p>
  </w:footnote>
  <w:footnote w:id="7">
    <w:p>
      <w:pPr>
        <w:pStyle w:val="FootnoteText"/>
      </w:pPr>
      <w:r>
        <w:rPr>
          <w:rStyle w:val="FootnoteReference"/>
        </w:rPr>
        <w:footnoteRef/>
      </w:r>
      <w:r>
        <w:tab/>
        <w:t>Uitvoeringsverordening (EU) 2015/2447 van de Commissie van 24 november 2015 houdende nadere uitvoeringsvoorschriften voor enkele bepalingen van Verordening (EU) nr. 952/2013 van het Europees Parlement en de Raad tot vaststelling van het douanewetboek van de Unie (PB L 343 van 29.12.2015, blz. 558).</w:t>
      </w:r>
    </w:p>
  </w:footnote>
  <w:footnote w:id="8">
    <w:p>
      <w:pPr>
        <w:pStyle w:val="FootnoteText"/>
      </w:pPr>
      <w:r>
        <w:rPr>
          <w:rStyle w:val="FootnoteReference"/>
        </w:rPr>
        <w:footnoteRef/>
      </w:r>
      <w:r>
        <w:tab/>
        <w:t>Uitvoeringsverordening (EU) 2019/1394 van de Commissie van 10 september 2019 tot wijziging en rectificatie van Uitvoeringsverordening (EU) 2015/2447 wat betreft bepaalde voorschriften inzake toezicht bij het in het vrije verkeer brengen en het uitgaan uit het douanegebied van de Unie (PB L 234 van 11.9.2019, blz. 1).</w:t>
      </w:r>
    </w:p>
  </w:footnote>
  <w:footnote w:id="9">
    <w:p>
      <w:pPr>
        <w:pStyle w:val="FootnoteText"/>
      </w:pPr>
      <w:r>
        <w:rPr>
          <w:rStyle w:val="FootnoteReference"/>
        </w:rPr>
        <w:footnoteRef/>
      </w:r>
      <w:r>
        <w:tab/>
        <w:t>Uitvoeringsverordening (EU) 2020/893 van de Commissie van 29 juni 2020 tot wijziging van Uitvoeringsverordening (EU) 2015/2447 houdende nadere uitvoeringsvoorschriften voor enkele bepalingen van Verordening (EU) nr. 952/2013 van het Europees Parlement en de Raad tot vaststelling van het douanewetboek van de Unie (PB L 206 van 30.6.2020, blz. 8).</w:t>
      </w:r>
    </w:p>
  </w:footnote>
  <w:footnote w:id="10">
    <w:p>
      <w:pPr>
        <w:pStyle w:val="FootnoteText"/>
      </w:pPr>
      <w:r>
        <w:rPr>
          <w:rStyle w:val="FootnoteReference"/>
        </w:rPr>
        <w:footnoteRef/>
      </w:r>
      <w:r>
        <w:tab/>
        <w:t>Besluit nr. 1/2018 van de Gemengde Commissie EU-CTC van 4 december 2018 betreffende een uitnodiging aan het Verenigd Koninkrijk om toe te treden tot de Overeenkomst betreffende een gemeenschappelijke regeling inzake douanevervoer [2018/1987] (PB L 317 van 14.12.2018, blz. 47).</w:t>
      </w:r>
    </w:p>
  </w:footnote>
  <w:footnote w:id="11">
    <w:p>
      <w:pPr>
        <w:pStyle w:val="FootnoteText"/>
      </w:pPr>
      <w:r>
        <w:rPr>
          <w:rStyle w:val="FootnoteReference"/>
        </w:rPr>
        <w:footnoteRef/>
      </w:r>
      <w:r>
        <w:tab/>
        <w:t>PB L 29 van 31.1.2020, blz. 102.</w:t>
      </w:r>
    </w:p>
  </w:footnote>
  <w:footnote w:id="12">
    <w:p>
      <w:pPr>
        <w:pStyle w:val="FootnoteText"/>
      </w:pPr>
      <w:r>
        <w:rPr>
          <w:rStyle w:val="FootnoteReference"/>
        </w:rPr>
        <w:footnoteRef/>
      </w:r>
      <w:r>
        <w:tab/>
        <w:t>PB L 226 van 13.8.1987, blz. 2.</w:t>
      </w:r>
    </w:p>
  </w:footnote>
  <w:footnote w:id="13">
    <w:p>
      <w:pPr>
        <w:pStyle w:val="FootnoteText"/>
      </w:pPr>
      <w:r>
        <w:rPr>
          <w:rStyle w:val="FootnoteReference"/>
        </w:rPr>
        <w:footnoteRef/>
      </w:r>
      <w:r>
        <w:tab/>
        <w:t>Uitvoeringsverordening (EU) 2015/2447 van de Commissie van 24 november 2015 houdende nadere uitvoeringsvoorschriften voor enkele bepalingen van Verordening (EU) nr. 952/2013 van het Europees Parlement en de Raad tot vaststelling van het douanewetboek van de Unie (PB L 343 van 29.12.2015, blz. 558).</w:t>
      </w:r>
    </w:p>
  </w:footnote>
  <w:footnote w:id="14">
    <w:p>
      <w:pPr>
        <w:pStyle w:val="FootnoteText"/>
      </w:pPr>
      <w:r>
        <w:rPr>
          <w:rStyle w:val="FootnoteReference"/>
        </w:rPr>
        <w:footnoteRef/>
      </w:r>
      <w:r>
        <w:tab/>
        <w:t>Uitvoeringsverordening (EU) 2019/1394 van de Commissie van 10 september 2019 tot wijziging en rectificatie van Uitvoeringsverordening (EU) 2015/2447 wat betreft bepaalde voorschriften inzake toezicht bij het in het vrije verkeer brengen en het uitgaan uit het douanegebied van de Unie (PB L 234 van 11.9.2019, blz. 1).</w:t>
      </w:r>
    </w:p>
  </w:footnote>
  <w:footnote w:id="15">
    <w:p>
      <w:pPr>
        <w:pStyle w:val="FootnoteText"/>
      </w:pPr>
      <w:r>
        <w:rPr>
          <w:rStyle w:val="FootnoteReference"/>
        </w:rPr>
        <w:footnoteRef/>
      </w:r>
      <w:r>
        <w:tab/>
        <w:t>Uitvoeringsverordening (EU) 2020/893 van de Commissie van 29 juni 2020 tot wijziging van Uitvoeringsverordening (EU) 2015/2447 houdende nadere uitvoeringsvoorschriften voor enkele bepalingen van Verordening (EU) nr. 952/2013 van het Europees Parlement en de Raad tot vaststelling van het douanewetboek van de Unie (PB L 206 van 30.6.2020, blz. 8).</w:t>
      </w:r>
    </w:p>
  </w:footnote>
  <w:footnote w:id="16">
    <w:p>
      <w:pPr>
        <w:pStyle w:val="FootnoteText"/>
      </w:pPr>
      <w:r>
        <w:rPr>
          <w:rStyle w:val="FootnoteReference"/>
        </w:rPr>
        <w:footnoteRef/>
      </w:r>
      <w:r>
        <w:tab/>
        <w:t>Besluit nr. 1/2018 van de Gemengde Commissie EU-CTC van 4 december 2018 betreffende een uitnodiging aan het Verenigd Koninkrijk om toe te treden tot de Overeenkomst betreffende een gemeenschappelijke regeling inzake douanevervoer [2018/1987] (PB L 317 van 14.12.2018, blz. 47).</w:t>
      </w:r>
    </w:p>
  </w:footnote>
  <w:footnote w:id="17">
    <w:p>
      <w:pPr>
        <w:pStyle w:val="FootnoteText"/>
      </w:pPr>
      <w:r>
        <w:rPr>
          <w:rStyle w:val="FootnoteReference"/>
        </w:rPr>
        <w:footnoteRef/>
      </w:r>
      <w:r>
        <w:tab/>
        <w:t>PB L 29 van 31.1.2020, blz.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19CB50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732B8A8"/>
    <w:lvl w:ilvl="0">
      <w:start w:val="1"/>
      <w:numFmt w:val="decimal"/>
      <w:pStyle w:val="ListNumber3"/>
      <w:lvlText w:val="%1."/>
      <w:lvlJc w:val="left"/>
      <w:pPr>
        <w:tabs>
          <w:tab w:val="num" w:pos="926"/>
        </w:tabs>
        <w:ind w:left="926" w:hanging="360"/>
      </w:pPr>
    </w:lvl>
  </w:abstractNum>
  <w:abstractNum w:abstractNumId="2">
    <w:nsid w:val="FFFFFF7F"/>
    <w:multiLevelType w:val="singleLevel"/>
    <w:tmpl w:val="FEA47FB2"/>
    <w:lvl w:ilvl="0">
      <w:start w:val="1"/>
      <w:numFmt w:val="decimal"/>
      <w:pStyle w:val="ListNumber2"/>
      <w:lvlText w:val="%1."/>
      <w:lvlJc w:val="left"/>
      <w:pPr>
        <w:tabs>
          <w:tab w:val="num" w:pos="643"/>
        </w:tabs>
        <w:ind w:left="643" w:hanging="360"/>
      </w:pPr>
    </w:lvl>
  </w:abstractNum>
  <w:abstractNum w:abstractNumId="3">
    <w:nsid w:val="FFFFFF81"/>
    <w:multiLevelType w:val="singleLevel"/>
    <w:tmpl w:val="692C5C3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02C926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EBC3F8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EBE9FB0"/>
    <w:lvl w:ilvl="0">
      <w:start w:val="1"/>
      <w:numFmt w:val="decimal"/>
      <w:pStyle w:val="ListNumber"/>
      <w:lvlText w:val="%1."/>
      <w:lvlJc w:val="left"/>
      <w:pPr>
        <w:tabs>
          <w:tab w:val="num" w:pos="360"/>
        </w:tabs>
        <w:ind w:left="360" w:hanging="360"/>
      </w:pPr>
    </w:lvl>
  </w:abstractNum>
  <w:abstractNum w:abstractNumId="7">
    <w:nsid w:val="FFFFFF89"/>
    <w:multiLevelType w:val="singleLevel"/>
    <w:tmpl w:val="7D8E43B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12 10:25:3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7CB47A4-4ECF-4993-A401-57B6A38DEA80"/>
    <w:docVar w:name="LW_COVERPAGE_TYPE" w:val="1"/>
    <w:docVar w:name="LW_CROSSREFERENCE" w:val="&lt;UNUSED&gt;"/>
    <w:docVar w:name="LW_DocType" w:val="COM"/>
    <w:docVar w:name="LW_EMISSION" w:val="13.1.2021"/>
    <w:docVar w:name="LW_EMISSION_ISODATE" w:val="2021-01-13"/>
    <w:docVar w:name="LW_EMISSION_LOCATION" w:val="BRX"/>
    <w:docVar w:name="LW_EMISSION_PREFIX" w:val="Brussel,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002"/>
    <w:docVar w:name="LW_REF.II.NEW.CP_YEAR" w:val="2021"/>
    <w:docVar w:name="LW_REF.INST.NEW" w:val="COM"/>
    <w:docVar w:name="LW_REF.INST.NEW_ADOPTED" w:val="final"/>
    <w:docVar w:name="LW_REF.INST.NEW_TEXT" w:val="(2021) 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orstel voor een"/>
    <w:docVar w:name="LW_SUPERTITRE" w:val="&lt;UNUSED&gt;"/>
    <w:docVar w:name="LW_TITRE.OBJ.CP" w:val="betreffende het standpunt dat namens de Europese Unie moet worden ingenomen in de Gemengde Commissie EU-CTC die is ingesteld bij de overeenkomst betreffende een gemeenschappelijke regeling inzake douanevervoer van 20 mei 1987, met betrekking tot wijzigingen van deze overeenkomst"/>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D22EA-2013-4C2A-80C7-00A0C401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2295</Words>
  <Characters>13680</Characters>
  <Application>Microsoft Office Word</Application>
  <DocSecurity>0</DocSecurity>
  <Lines>231</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2021-01-06T08:36:00Z</dcterms:created>
  <dcterms:modified xsi:type="dcterms:W3CDTF">2021-01-12T09:25:00Z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