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98DD908-EE0C-4316-841A-DCECAA9B08FB" style="width:450.7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PROJEKT </w:t>
      </w:r>
      <w:r>
        <w:rPr>
          <w:noProof/>
        </w:rPr>
        <w:br/>
        <w:t xml:space="preserve">DECYZJA NR …/2021 Komisji Mieszanej UE–CTC ustanowionej na mocy Konwencji z dnia 20 maja 1987 r. o wspólnej procedurze tranzytowej </w:t>
      </w:r>
      <w:r>
        <w:rPr>
          <w:noProof/>
        </w:rPr>
        <w:br/>
        <w:t xml:space="preserve">z dnia … 2021 r. </w:t>
      </w:r>
      <w:r>
        <w:rPr>
          <w:noProof/>
        </w:rPr>
        <w:br/>
        <w:t xml:space="preserve">zmieniająca załączniki I i III do konwencji </w:t>
      </w:r>
    </w:p>
    <w:p>
      <w:pPr>
        <w:rPr>
          <w:noProof/>
        </w:rPr>
      </w:pPr>
    </w:p>
    <w:p>
      <w:pPr>
        <w:rPr>
          <w:noProof/>
        </w:rPr>
      </w:pPr>
    </w:p>
    <w:p>
      <w:pPr>
        <w:keepNext/>
        <w:spacing w:before="600"/>
        <w:rPr>
          <w:noProof/>
        </w:rPr>
      </w:pPr>
      <w:r>
        <w:rPr>
          <w:noProof/>
        </w:rPr>
        <w:t>KOMISJA MIESZANA UE–CTC,</w:t>
      </w:r>
    </w:p>
    <w:p>
      <w:pPr>
        <w:rPr>
          <w:noProof/>
        </w:rPr>
      </w:pPr>
      <w:r>
        <w:rPr>
          <w:noProof/>
        </w:rPr>
        <w:t>uwzględniając Konwencję z dnia 20 maja 1987 r. o wspólnej procedurze tranzytowej, w szczególności jej art. 15 ust. 3 lit. a),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Zgodnie z art. 15 ust. 3 lit. a) Konwencji z dnia 20 maja 1987 r. o wspólnej procedurze tranzytowej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(„konwencja”) Komisja Mieszana powołana na mocy tej konwencji może przyjmować w drodze decyzji zmiany w załącznikach do konwencji.</w:t>
      </w:r>
    </w:p>
    <w:p>
      <w:pPr>
        <w:pStyle w:val="Considrant"/>
        <w:rPr>
          <w:noProof/>
        </w:rPr>
      </w:pPr>
      <w:r>
        <w:rPr>
          <w:noProof/>
        </w:rPr>
        <w:t>Zmieniono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art. 311 rozporządzenia wykonawczego Komisji (UE) 2015/2447</w:t>
      </w:r>
      <w:r>
        <w:rPr>
          <w:rStyle w:val="FootnoteReference"/>
          <w:noProof/>
        </w:rPr>
        <w:footnoteReference w:id="3"/>
      </w:r>
      <w:r>
        <w:rPr>
          <w:noProof/>
        </w:rPr>
        <w:t>, w którym to artykule określono wniosek o przekazanie obowiązku odzyskania długu celnego. Zgodnie z nowymi ust. 3 i 4 w przypadku otrzymania przez organ celny państwa zaangażowanego w operację tranzytową dowodu, że zdarzenia powodujące powstanie długu celnego miały miejsce na terytorium tego państwa, organ ten powinien zwrócić się do państwa wyjścia o przekazanie mu obowiązku rozpoczęcia odzyskiwania należności celnych. Państwo wyjścia powinno w określonym terminie potwierdzić, czy przekazuje kompetencje do rozpoczęcia odzyskania należności celnych wnioskującemu organowi celnemu. Należy zatem wprowadzić stosowne zmiany w art. 50 załącznika I do konwencji stanowiącego powtórzenie przepisów art. 311 rozporządzenia wykonawczego Komisji (UE) 2015/2447.</w:t>
      </w:r>
    </w:p>
    <w:p>
      <w:pPr>
        <w:pStyle w:val="Considrant"/>
        <w:rPr>
          <w:noProof/>
        </w:rPr>
      </w:pPr>
      <w:r>
        <w:rPr>
          <w:noProof/>
        </w:rPr>
        <w:t>Załącznik 72-04 do rozporządzenia wykonawczego Komisji (UE) 2015/2447, w którym opisano procedurę ciągłości działania w odniesieniu do tranzytu unijnego, został zmieniony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i ma zastosowanie od dnia 30 czerwca 2020 r. Zgodnie ze zmienionym rozdziałem III pkt 19.3 przedłużono ważność papierowych poświadczeń zabezpieczenia generalnego i poświadczeń zwolnienia z obowiązku złożenia zabezpieczenia przewidzianych w załączniku 72-04 do rozporządzenia wykonawczego (UE) 2015/2447, aby umożliwić większą elastyczność w procedurze ciągłości działania w tranzycie oraz ograniczyć formalności i koszty ponoszone przez organy celne. Należy zatem odpowiednio zmienić art. 79 załącznika I do konwencji oraz dodatek II dział III pkt 19.3 załącznika I do konwencji, który stanowi odzwierciedlenie części I rozdział III pkt 19.3 załącznika 72-04 do wyżej wymienionego rozporządzenia wykonawczego. Zmiana ta również powinna mieć zastosowanie od dnia 30 czerwca 2020 r., aby zapewnić równe warunki gwarantom na mocy unijnych przepisów prawa celnego i konwencji. </w:t>
      </w:r>
    </w:p>
    <w:p>
      <w:pPr>
        <w:pStyle w:val="Considrant"/>
        <w:rPr>
          <w:noProof/>
        </w:rPr>
      </w:pPr>
      <w:r>
        <w:rPr>
          <w:noProof/>
        </w:rPr>
        <w:t>Formularze zobowiązań gwaranta określono dodatkach C1, C2, C4, C5 i C6 do załącznika III do konwencji. Formularze te zawierają wykaz państw członkowskich Unii i pozostałych umawiających się stron konwencji. Decyzją nr 2/2018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Komisji Mieszanej UE–CTC usunięto odniesienia do Zjednoczonego Królestwa jako państwa członkowskiego Unii i dodano odniesienie do Zjednoczonego Królestwa jako państwa wspólnego tranzytu od dnia, w którym przystąpienie Zjednoczonego Królestwa jako odrębnej umawiającej się strony stanie się skuteczne. Ponadto, w związku ze stosowaniem Protokołu w sprawie Irlandii/Irlandii Północnej</w:t>
      </w:r>
      <w:r>
        <w:rPr>
          <w:rStyle w:val="FootnoteReference"/>
          <w:noProof/>
        </w:rPr>
        <w:footnoteReference w:id="6"/>
      </w:r>
      <w:r>
        <w:rPr>
          <w:noProof/>
        </w:rPr>
        <w:t>, w odniesieniu do operacji tranzytu unijnego Irlandia Północna powinna jednak zostać wymieniona w wykazie w sposób wskazujący, że wszelkie zabezpieczenia ważne w państwach członkowskich UE muszą być ważne także w Irlandii Północnej.</w:t>
      </w:r>
    </w:p>
    <w:p>
      <w:pPr>
        <w:pStyle w:val="Considrant"/>
        <w:rPr>
          <w:noProof/>
        </w:rPr>
      </w:pPr>
      <w:r>
        <w:rPr>
          <w:noProof/>
        </w:rPr>
        <w:t>W wyniku stosowania Protokołu w sprawie Irlandii/Irlandii Północnej oraz zgodnie z art. 5 ust. 2 rozporządzenia (WE) nr 471/2009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wprowadzono nowy kod „XI”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w celu rozróżnienia Zjednoczonego Królestwa w odniesieniu do Irlandii Północnej. Należy odpowiednio zmienić stosowanie kodów krajów określonych w dodatku A2 i dodatku B1 do załącznika III do konwencji.</w:t>
      </w:r>
    </w:p>
    <w:p>
      <w:pPr>
        <w:pStyle w:val="Considrant"/>
        <w:rPr>
          <w:noProof/>
        </w:rPr>
      </w:pPr>
      <w:r>
        <w:rPr>
          <w:noProof/>
        </w:rPr>
        <w:t>W celu zapewnienia prawidłowego stosowania nowego kodu „XI” wszystkie oznaczenia w konwencji odnoszące się do stosowania kodów krajów powinny odnosić się do dodatku A2 lub dodatku B1 do załącznika III do konwencji.</w:t>
      </w:r>
    </w:p>
    <w:p>
      <w:pPr>
        <w:pStyle w:val="Considrant"/>
        <w:rPr>
          <w:noProof/>
        </w:rPr>
      </w:pPr>
      <w:r>
        <w:rPr>
          <w:noProof/>
        </w:rPr>
        <w:t>Decyzja nr 2/2018 Komisji Mieszanej UE–CTC wchodzi w życie z dniem 1 stycznia 2021 r., natomiast decyzja nr 1/2019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Komisji Mieszanej UE–CTC weszła w życie z dniem 4 grudnia 2019 r. Decyzją nr 1/2019 wprowadzono nową nazwę „Republika Macedonii Północnej” na formularzach zobowiązań gwaranta określonych w dodatkach C1, C2, C4, C5 i C6 do załącznika III do konwencji, natomiast decyzja nr 2/2018 wprowadziła omyłkowo starą nazwę „była jugosłowiańska republika Macedonii” w dodatkach C1, C2 i C4. W związku z tym należy przywrócić na tych formularzach nową nazwę „Republika Macedonii Północnej”.</w:t>
      </w:r>
    </w:p>
    <w:p>
      <w:pPr>
        <w:pStyle w:val="Formuledadoption"/>
        <w:rPr>
          <w:noProof/>
        </w:rPr>
      </w:pPr>
      <w:r>
        <w:rPr>
          <w:noProof/>
        </w:rPr>
        <w:t>Należy zatem odpowiednio zmienić konwencję,</w:t>
      </w:r>
    </w:p>
    <w:p>
      <w:pPr>
        <w:keepNext/>
        <w:spacing w:before="600"/>
        <w:rPr>
          <w:noProof/>
        </w:rPr>
      </w:pPr>
      <w:r>
        <w:rPr>
          <w:noProof/>
        </w:rPr>
        <w:t>PRZYJMUJE NINIEJSZĄ DECYZJĘ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załączniku I do konwencji wprowadza się zmiany zgodnie z załącznikiem A do niniejszej decyzji.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W załączniku III do konwencji wprowadza się zmiany zgodnie z załącznikiem B do niniejszej decyzji.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Niniejsza decyzja wchodzi w życie z dniem jej przyjęcia.</w:t>
      </w:r>
    </w:p>
    <w:p>
      <w:pPr>
        <w:rPr>
          <w:noProof/>
        </w:rPr>
      </w:pPr>
      <w:r>
        <w:rPr>
          <w:noProof/>
        </w:rPr>
        <w:t>Pkt 2 i 3 załącznika A stosuje się od dnia 30 czerwca 2020 r.</w:t>
      </w:r>
    </w:p>
    <w:p>
      <w:pPr>
        <w:rPr>
          <w:noProof/>
        </w:rPr>
      </w:pPr>
      <w:r>
        <w:rPr>
          <w:noProof/>
        </w:rPr>
        <w:t>Pkt 1–4 załącznika B stosuje się od dnia przystąpienia Zjednoczonego Królestwa do konwencji jako umawiająca się strona.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Sporządzono w ...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Komisji Mieszanej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p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>
      <w:pPr>
        <w:pStyle w:val="Annexetitreexpos"/>
        <w:rPr>
          <w:noProof/>
        </w:rPr>
      </w:pPr>
      <w:r>
        <w:rPr>
          <w:noProof/>
        </w:rPr>
        <w:t>Załącznik A</w:t>
      </w:r>
    </w:p>
    <w:p>
      <w:pPr>
        <w:rPr>
          <w:noProof/>
        </w:rPr>
      </w:pPr>
      <w:r>
        <w:rPr>
          <w:noProof/>
        </w:rPr>
        <w:t>W załączniku I do konwencji wprowadza się następujące zmiany: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art. 50 dodaje się ust. 3 i 4 w brzmieniu:</w:t>
      </w:r>
    </w:p>
    <w:p>
      <w:pPr>
        <w:pStyle w:val="Text1"/>
        <w:rPr>
          <w:noProof/>
        </w:rPr>
      </w:pPr>
      <w:r>
        <w:rPr>
          <w:noProof/>
        </w:rPr>
        <w:t>„3. W przypadku otrzymania przez organ celny państwa zaangażowanego we wspólną operację tranzytową dowodu, przed upływem terminu, o którym mowa w art. 114 ust. 2 lit. a), że miejsce zdarzenia, w którym powstał dług, znajduje się na jego terytorium, organ ten niezwłocznie, a w każdym razie w tym terminie, wysyła należycie uzasadniony wniosek do organu celnego państwa wyjścia o przekazanie obowiązku rozpoczęcia odzyskiwania należności celnych.</w:t>
      </w:r>
    </w:p>
    <w:p>
      <w:pPr>
        <w:pStyle w:val="Text1"/>
        <w:rPr>
          <w:noProof/>
        </w:rPr>
      </w:pPr>
      <w:r>
        <w:rPr>
          <w:noProof/>
        </w:rPr>
        <w:t>4. Organ celny państwa wyjścia potwierdza otrzymanie wniosku złożonego zgodnie z ust. 3 i informuje wzywający organ celny, w terminie 28 dni od daty wysłania wniosku, czy przyjmuje wniosek, i przekazuje organowi wnioskującemu obowiązek rozpoczęcia odzyskania należności celnych.”;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w art. 79: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ust. 2 otrzymuje brzmienie:</w:t>
      </w:r>
    </w:p>
    <w:p>
      <w:pPr>
        <w:pStyle w:val="Text2"/>
        <w:rPr>
          <w:noProof/>
        </w:rPr>
      </w:pPr>
      <w:r>
        <w:rPr>
          <w:noProof/>
        </w:rPr>
        <w:t>„2. Okres ważności poświadczenia zabezpieczenia generalnego lub poświadczenia zwolnienia z obowiązku składania zabezpieczenia nie może przekroczyć pięciu lat. Urząd celny zabezpieczenia może jednak przedłużyć ten okres jednorazowo o nie więcej niż pięć lat.”;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po ust. 2 dodaje się ust. 3 i 4 w brzmieniu:</w:t>
      </w:r>
    </w:p>
    <w:p>
      <w:pPr>
        <w:pStyle w:val="Text2"/>
        <w:rPr>
          <w:noProof/>
        </w:rPr>
      </w:pPr>
      <w:r>
        <w:rPr>
          <w:noProof/>
        </w:rPr>
        <w:t xml:space="preserve">„3. Jeżeli w okresie ważności poświadczenia urząd celny zabezpieczenia zostanie poinformowany, że w wyniku licznych zmian poświadczenie nie jest wystarczająco czytelne i może zostać odrzucone przez urząd celny wyjścia, urząd celny zabezpieczenia unieważnia poświadczenie i w razie potrzeby wydaje nowe. </w:t>
      </w:r>
    </w:p>
    <w:p>
      <w:pPr>
        <w:pStyle w:val="Text2"/>
        <w:rPr>
          <w:noProof/>
        </w:rPr>
      </w:pPr>
      <w:r>
        <w:rPr>
          <w:noProof/>
        </w:rPr>
        <w:t>4. Poświadczenia o okresie ważności wynoszącym dwa lata zachowują ważność. Urząd celny zabezpieczenia może przedłużyć ich okres ważności o drugi okres nie dłuższy niż pięć lat.”;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w dodatku II dział III pkt 19.3 otrzymuje brzmienie:</w:t>
      </w:r>
    </w:p>
    <w:p>
      <w:pPr>
        <w:pStyle w:val="Text1"/>
        <w:rPr>
          <w:noProof/>
        </w:rPr>
      </w:pPr>
      <w:r>
        <w:rPr>
          <w:noProof/>
        </w:rPr>
        <w:t xml:space="preserve">„19.3 Okres ważności poświadczenia zabezpieczenia generalnego lub poświadczenia zwolnienia z obowiązku składania zabezpieczenia nie może przekroczyć pięciu lat. Urząd celny zabezpieczenia może jednak przedłużyć ten okres jednorazowo o nie więcej niż pięć lat. </w:t>
      </w:r>
    </w:p>
    <w:p>
      <w:pPr>
        <w:pStyle w:val="Text1"/>
        <w:rPr>
          <w:noProof/>
        </w:rPr>
      </w:pPr>
      <w:r>
        <w:rPr>
          <w:noProof/>
        </w:rPr>
        <w:t xml:space="preserve">Jeżeli w okresie ważności poświadczenia urząd celny zabezpieczenia zostanie poinformowany, że w wyniku licznych zmian poświadczenie nie jest wystarczająco czytelne i może zostać odrzucone przez urząd celny wyjścia, urząd celny zabezpieczenia unieważnia poświadczenie i w razie potrzeby wydaje nowe. </w:t>
      </w:r>
    </w:p>
    <w:p>
      <w:pPr>
        <w:pStyle w:val="Text1"/>
        <w:rPr>
          <w:noProof/>
        </w:rPr>
      </w:pPr>
      <w:r>
        <w:rPr>
          <w:noProof/>
        </w:rPr>
        <w:t>Poświadczenia o okresie ważności wynoszącym dwa lata zachowują ważność. Urząd celny zabezpieczenia może przedłużyć ich okres ważności o drugi okres nie dłuższy niż pięć lat.”.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expos"/>
        <w:rPr>
          <w:noProof/>
        </w:rPr>
      </w:pPr>
      <w:r>
        <w:rPr>
          <w:noProof/>
        </w:rPr>
        <w:t>Załącznik B</w:t>
      </w:r>
    </w:p>
    <w:p>
      <w:pPr>
        <w:rPr>
          <w:noProof/>
        </w:rPr>
      </w:pPr>
      <w:r>
        <w:rPr>
          <w:noProof/>
        </w:rPr>
        <w:t>W załączniku III do konwencji wprowadza się następujące zmiany: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dodatku A1 tytuł II dział II pkt B dotyczący danych umieszczonych w zgłoszeniu tranzytowym tiret „NUMER GWARANCJI” słowa „(kod kraju ISO alfa 2)” w treści pola 2 zastępuje się słowami:</w:t>
      </w:r>
    </w:p>
    <w:p>
      <w:pPr>
        <w:pStyle w:val="Text1"/>
        <w:rPr>
          <w:noProof/>
        </w:rPr>
      </w:pPr>
      <w:r>
        <w:rPr>
          <w:noProof/>
        </w:rPr>
        <w:t>„(kod kraju zawarty w dodatku A2)”;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w dodatku A2 pkt 1 dodaje się zdanie w brzmieniu:</w:t>
      </w:r>
    </w:p>
    <w:p>
      <w:pPr>
        <w:pStyle w:val="Text1"/>
        <w:rPr>
          <w:noProof/>
        </w:rPr>
      </w:pPr>
      <w:r>
        <w:rPr>
          <w:noProof/>
        </w:rPr>
        <w:t>„XI stosuje się w odniesieniu do Irlandii Północnej.”;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w dodatku A4 pkt 1 słowa „(kod kraju ISO alpha 2)” w treści pola 2 zastępuje się słowami:</w:t>
      </w:r>
    </w:p>
    <w:p>
      <w:pPr>
        <w:pStyle w:val="Text1"/>
        <w:rPr>
          <w:noProof/>
        </w:rPr>
      </w:pPr>
      <w:r>
        <w:rPr>
          <w:noProof/>
        </w:rPr>
        <w:t>„(kod kraju zawarty w dodatku A2)”;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w dodatku B1 pole 51 wprowadza się następujące zmiany: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słowa „GB</w:t>
      </w:r>
      <w:r>
        <w:rPr>
          <w:noProof/>
        </w:rPr>
        <w:tab/>
        <w:t>Zjednoczone Królestwo” zastępuje się słowami:</w:t>
      </w:r>
    </w:p>
    <w:p>
      <w:pPr>
        <w:pStyle w:val="Text2"/>
        <w:rPr>
          <w:noProof/>
        </w:rPr>
      </w:pPr>
      <w:r>
        <w:rPr>
          <w:noProof/>
        </w:rPr>
        <w:t>„GB</w:t>
      </w:r>
      <w:r>
        <w:rPr>
          <w:noProof/>
        </w:rPr>
        <w:tab/>
        <w:t>Zjednoczone Królestwo (z wyłączeniem Irlandii Północnej)”;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do wykazu dodaje się pozycję w brzmieniu:</w:t>
      </w:r>
    </w:p>
    <w:p>
      <w:pPr>
        <w:pStyle w:val="Text2"/>
        <w:rPr>
          <w:noProof/>
        </w:rPr>
      </w:pPr>
      <w:r>
        <w:rPr>
          <w:noProof/>
        </w:rPr>
        <w:t>„XI</w:t>
      </w:r>
      <w:r>
        <w:rPr>
          <w:noProof/>
        </w:rPr>
        <w:tab/>
        <w:t>Irlandia Północna”;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w dodatku C1 pkt 1 wprowadza się następujące zmiany: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słowa „byłej jugosłowiańskiej republiki Macedonii” zastępuje się słowami „Republiki Macedonii Północnej”;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do słów „Zjednoczone Królestwo Wielkiej Brytanii i Irlandii Północnej</w:t>
      </w:r>
      <w:r>
        <w:rPr>
          <w:noProof/>
          <w:vertAlign w:val="superscript"/>
        </w:rPr>
        <w:t>3</w:t>
      </w:r>
      <w:r>
        <w:rPr>
          <w:noProof/>
        </w:rPr>
        <w:t xml:space="preserve">” dodaje się, przed przypisem końcowym 3, przypis końcowy 3a w brzmieniu: </w:t>
      </w:r>
    </w:p>
    <w:p>
      <w:pPr>
        <w:pStyle w:val="Text2"/>
        <w:rPr>
          <w:noProof/>
        </w:rPr>
      </w:pPr>
      <w:r>
        <w:rPr>
          <w:noProof/>
        </w:rPr>
        <w:t>„</w:t>
      </w:r>
      <w:r>
        <w:rPr>
          <w:noProof/>
          <w:sz w:val="20"/>
        </w:rPr>
        <w:t>Na podstawie Protokołu w sprawie Irlandii/Irlandii Północnej do Umowy o wystąpieniu Zjednoczonego Królestwa Wielkiej Brytanii i Irlandii Północnej z Unii Europejskiej i Europejskiej Wspólnoty Energii Atomowej do celów niniejszego zabezpieczenia Irlandię Północną uznaje się za część Unii Europejskiej. W związku z tym gwarant mający siedzibę na obszarze celnym Unii Europejskiej wskazuje adres do doręczeń lub wyznacza przedstawiciela w Irlandii Północnej, jeżeli zabezpieczenie może być tam wykorzystane. Jeżeli jednak zabezpieczenie, w kontekście wspólnego tranzytu, jest ważne w Unii Europejskiej oraz w Zjednoczonym Królestwie, jeden adres do doręczeń lub wyznaczony przedstawiciel w Zjednoczonym Królestwie może obejmować wszystkie części Zjednoczonego Królestwa, w tym Irlandię Północną.</w:t>
      </w:r>
      <w:r>
        <w:rPr>
          <w:noProof/>
        </w:rPr>
        <w:t>”;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w dodatku C2 pkt 1 wprowadza się następujące zmiany: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słowa „byłej jugosłowiańskiej republiki Macedonii” zastępuje się słowami „Republiki Macedonii Północnej”;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do słów „Zjednoczone Królestwo Wielkiej Brytanii i Irlandii Północnej” dodaje się przypis końcowy 2a w brzmieniu: </w:t>
      </w:r>
    </w:p>
    <w:p>
      <w:pPr>
        <w:pStyle w:val="Text2"/>
        <w:rPr>
          <w:noProof/>
        </w:rPr>
      </w:pPr>
      <w:r>
        <w:rPr>
          <w:noProof/>
        </w:rPr>
        <w:t>„</w:t>
      </w:r>
      <w:r>
        <w:rPr>
          <w:noProof/>
          <w:sz w:val="20"/>
        </w:rPr>
        <w:t>Na podstawie Protokołu w sprawie Irlandii/Irlandii Północnej do Umowy o wystąpieniu Zjednoczonego Królestwa Wielkiej Brytanii i Irlandii Północnej z Unii Europejskiej i Europejskiej Wspólnoty Energii Atomowej do celów niniejszego zabezpieczenia Irlandię Północną uznaje się za część Unii Europejskiej. W związku z tym gwarant mający siedzibę na obszarze celnym Unii Europejskiej wskazuje adres do doręczeń lub wyznacza przedstawiciela w Irlandii Północnej, jeżeli zabezpieczenie może być tam wykorzystane. Jeżeli jednak zabezpieczenie, w kontekście wspólnego tranzytu, jest ważne w Unii Europejskiej oraz w Zjednoczonym Królestwie, jeden adres do doręczeń lub wyznaczony przedstawiciel w Zjednoczonym Królestwie może obejmować wszystkie części Zjednoczonego Królestwa, w tym Irlandię Północną.</w:t>
      </w:r>
      <w:r>
        <w:rPr>
          <w:noProof/>
        </w:rPr>
        <w:t>”;</w:t>
      </w:r>
    </w:p>
    <w:p>
      <w:pPr>
        <w:pStyle w:val="Point0"/>
        <w:rPr>
          <w:noProof/>
        </w:rPr>
      </w:pPr>
      <w:r>
        <w:rPr>
          <w:noProof/>
        </w:rPr>
        <w:t>7)</w:t>
      </w:r>
      <w:r>
        <w:rPr>
          <w:noProof/>
        </w:rPr>
        <w:tab/>
        <w:t>w dodatku C4 pkt 1 wprowadza się następujące zmiany: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słowa „byłej jugosłowiańskiej republiki Macedonii” zastępuje się słowami „Republiki Macedonii Północnej”;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do słów „Zjednoczone Królestwo Wielkiej Brytanii i Irlandii Północnej</w:t>
      </w:r>
      <w:r>
        <w:rPr>
          <w:noProof/>
          <w:vertAlign w:val="superscript"/>
        </w:rPr>
        <w:t>3</w:t>
      </w:r>
      <w:r>
        <w:rPr>
          <w:noProof/>
        </w:rPr>
        <w:t xml:space="preserve">” dodaje się, przed przypisem końcowym 3, przypis końcowy 3a w brzmieniu: </w:t>
      </w:r>
    </w:p>
    <w:p>
      <w:pPr>
        <w:pStyle w:val="Text2"/>
        <w:rPr>
          <w:noProof/>
        </w:rPr>
      </w:pPr>
      <w:r>
        <w:rPr>
          <w:noProof/>
        </w:rPr>
        <w:t>„</w:t>
      </w:r>
      <w:r>
        <w:rPr>
          <w:noProof/>
          <w:sz w:val="20"/>
        </w:rPr>
        <w:t>Na podstawie Protokołu w sprawie Irlandii/Irlandii Północnej do Umowy o wystąpieniu Zjednoczonego Królestwa Wielkiej Brytanii i Irlandii Północnej z Unii Europejskiej i Europejskiej Wspólnoty Energii Atomowej do celów niniejszego zabezpieczenia Irlandię Północną uznaje się za część Unii Europejskiej. W związku z tym gwarant mający siedzibę na obszarze celnym Unii Europejskiej wskazuje adres do doręczeń lub wyznacza przedstawiciela w Irlandii Północnej, jeżeli zabezpieczenie może być tam wykorzystane. Jeżeli jednak zabezpieczenie, w kontekście wspólnego tranzytu, jest ważne w Unii Europejskiej oraz w Zjednoczonym Królestwie, jeden adres do doręczeń lub wyznaczony przedstawiciel w Zjednoczonym Królestwie może obejmować wszystkie części Zjednoczonego Królestwa, w tym Irlandię Północną.</w:t>
      </w:r>
      <w:r>
        <w:rPr>
          <w:noProof/>
        </w:rPr>
        <w:t>”;</w:t>
      </w:r>
    </w:p>
    <w:p>
      <w:pPr>
        <w:pStyle w:val="Point0"/>
        <w:rPr>
          <w:noProof/>
        </w:rPr>
      </w:pPr>
      <w:r>
        <w:rPr>
          <w:noProof/>
        </w:rPr>
        <w:t>8)</w:t>
      </w:r>
      <w:r>
        <w:rPr>
          <w:noProof/>
        </w:rPr>
        <w:tab/>
        <w:t xml:space="preserve">w dodatku C5 wiersz 7 wprowadza się następujące zmiany: 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do słów „Zjednoczone Królestwo” dodaje się przypis (**) w brzmieniu: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„(**) Na podstawie Protokołu w sprawie Irlandii/Irlandii Północnej do Umowy o wystąpieniu Zjednoczonego Królestwa Wielkiej Brytanii i Irlandii Północnej z Unii Europejskiej i Europejskiej Wspólnoty Energii Atomowej do celów niniejszego zabezpieczenia Irlandię Północną należy uznać za część Unii Europejskiej.”;</w:t>
      </w:r>
    </w:p>
    <w:p>
      <w:pPr>
        <w:pStyle w:val="Point0"/>
        <w:rPr>
          <w:noProof/>
        </w:rPr>
      </w:pPr>
      <w:r>
        <w:rPr>
          <w:noProof/>
        </w:rPr>
        <w:t>9)</w:t>
      </w:r>
      <w:r>
        <w:rPr>
          <w:noProof/>
        </w:rPr>
        <w:tab/>
        <w:t xml:space="preserve">w dodatku C6 wiersz 6 wprowadza się następujące zmiany: 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do słów „Zjednoczone Królestwo” dodaje się przypis (**) w brzmieniu: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„(**) Na podstawie Protokołu w sprawie Irlandii/Irlandii Północnej do Umowy o wystąpieniu Zjednoczonego Królestwa Wielkiej Brytanii i Irlandii Północnej z Unii Europejskiej i Europejskiej Wspólnoty Energii Atomowej do celów niniejszego zabezpieczenia Irlandię Północną należy uznać za część Unii Europejskiej.”.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226 z 13.8.1987, s. 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Rozporządzenie wykonawcze Komisji (UE) 2019/1394 z dnia 10 września 2019 r. w sprawie zmiany i sprostowania rozporządzenia wykonawczego (UE) 2015/2447 w odniesieniu do niektórych przepisów dotyczących nadzoru nad dopuszczaniem do obrotu i wyprowadzenia z obszaru celnego Unii (Dz.U. L 234 z 11.9.2019, s.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Rozporządzenie wykonawcze Komisji (UE) 2015/2447 z dnia 24 listopada 2015 r. ustanawiające szczegółowe zasady wykonania niektórych przepisów rozporządzenia Parlamentu Europejskiego i Rady (UE) nr 952/2013 ustanawiającego unijny kodeks celny (Dz.U. L 343 z 29.12.2015, s. 558).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Rozporządzenie wykonawcze Komisji (UE) 2020/893 z dnia 29 czerwca 2020 r. w sprawie zmiany rozporządzenia wykonawczego Komisji (UE) 2015/2447 ustanawiającego szczegółowe zasady wykonania niektórych przepisów rozporządzenia Parlamentu Europejskiego i Rady (UE) nr 952/2013 ustanawiającego unijny kodeks celny (Dz.U. L 206 z 30.6.2020, s. 8).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L 317 z 14.12.2018, s. 48.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Protokół w sprawie Irlandii/Irlandii Północnej do Umowy o wystąpieniu Zjednoczonego Królestwa Wielkiej Brytanii i Irlandii Północnej z Unii Europejskiej i Europejskiej Wspólnoty Energii Atomowej, Dz.U. L 29 z 31.1.2020, s. 102.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(WE) nr 471/2009 z dnia 6 maja 2009 r. w sprawie statystyk Wspólnoty dotyczących handlu zagranicznego z państwami trzecimi, uchylające rozporządzenie Rady (WE) nr 1172/95 (Dz.U. L 152 z 16.6.2009, s. 23).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Rozporządzenie wykonawcze Komisji (UE) 2020/1470 z dnia 12 października 2020 r. w sprawie nazewnictwa krajów i terytoriów dla celów statystyki europejskiej dotyczącej międzynarodowego handlu towarami oraz w sprawie podziału geograficznego w odniesieniu do innych statystyk gospodarczych (Dz.U. L 334 z 13.10.2020, s. 2).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Dz.U. L 103 z 3.4.2020, s. 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EAAA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A3EB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77AA7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3E27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A866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83665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CEC01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6F4A9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R_RefLast" w:val="0"/>
    <w:docVar w:name="DQCDateTime" w:val="2021-01-12 10:29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98DD908-EE0C-4316-841A-DCECAA9B08FB"/>
    <w:docVar w:name="LW_COVERPAGE_TYPE" w:val="1"/>
    <w:docVar w:name="LW_CROSSREFERENCE" w:val="&lt;UNUSED&gt;"/>
    <w:docVar w:name="LW_DocType" w:val="ANNEX"/>
    <w:docVar w:name="LW_EMISSION" w:val="13.1.2021"/>
    <w:docVar w:name="LW_EMISSION_ISODATE" w:val="2021-01-1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w Komisji Mieszanej UE\u8211?CTC ustanowionej na mocy Konwencji z dnia 20 maja 1987 r. o wspólnej procedurze tranzytowej, dotycz\u261?cego zmian w tej konwencji"/>
    <w:docVar w:name="LW_OBJETACTEPRINCIPAL.CP" w:val="w sprawie stanowiska, jakie ma zosta\u263? zaj\u281?te w imieniu Unii Europejskiej w Komisji Mieszanej UE\u8211?CTC ustanowionej na mocy Konwencji z dnia 20 maja 1987 r. o wspólnej procedurze tranzytowej, dotycz\u261?cego zmian w tej konwencji"/>
    <w:docVar w:name="LW_PART_NBR" w:val="1"/>
    <w:docVar w:name="LW_PART_NBR_TOTAL" w:val="1"/>
    <w:docVar w:name="LW_REF.INST.NEW" w:val="COM"/>
    <w:docVar w:name="LW_REF.INST.NEW_ADOPTED" w:val="final"/>
    <w:docVar w:name="LW_REF.INST.NEW_TEXT" w:val="(2021) 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A292DC-7458-47A4-9819-7D2C56AB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1774</Words>
  <Characters>10807</Characters>
  <Application>Microsoft Office Word</Application>
  <DocSecurity>0</DocSecurity>
  <Lines>203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Ann (TAXUD)</dc:creator>
  <cp:keywords/>
  <dc:description/>
  <cp:lastModifiedBy>WES PDFC Administrator</cp:lastModifiedBy>
  <cp:revision>9</cp:revision>
  <cp:lastPrinted>2020-12-07T09:13:00Z</cp:lastPrinted>
  <dcterms:created xsi:type="dcterms:W3CDTF">2021-01-06T15:29:00Z</dcterms:created>
  <dcterms:modified xsi:type="dcterms:W3CDTF">2021-01-12T09:29:00Z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