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0EB3ABE-CC59-43B9-B1B8-BC816A33AF95" style="width:450.7pt;height:397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NÁVRH </w:t>
      </w:r>
      <w:r>
        <w:rPr>
          <w:noProof/>
        </w:rPr>
        <w:br/>
        <w:t xml:space="preserve">ROZHODNUTÍ č. …/2021 Smíšeného výboru EU-CTC zřízeného Úmluvou o společném tranzitním režimu ze dne 20. května 1987 </w:t>
      </w:r>
      <w:r>
        <w:rPr>
          <w:noProof/>
        </w:rPr>
        <w:br/>
        <w:t xml:space="preserve">ze dne …..2021 </w:t>
      </w:r>
      <w:r>
        <w:rPr>
          <w:noProof/>
        </w:rPr>
        <w:br/>
        <w:t xml:space="preserve">o změně dodatků I a III k uvedené úmluvě </w:t>
      </w:r>
    </w:p>
    <w:p>
      <w:pPr>
        <w:rPr>
          <w:noProof/>
        </w:rPr>
      </w:pPr>
    </w:p>
    <w:p>
      <w:pPr>
        <w:rPr>
          <w:noProof/>
        </w:rPr>
      </w:pPr>
    </w:p>
    <w:p>
      <w:pPr>
        <w:keepNext/>
        <w:spacing w:before="600"/>
        <w:rPr>
          <w:noProof/>
        </w:rPr>
      </w:pPr>
      <w:r>
        <w:rPr>
          <w:noProof/>
        </w:rPr>
        <w:t>SMÍŠENÝ VÝBOR EU-CTC,</w:t>
      </w:r>
    </w:p>
    <w:p>
      <w:pPr>
        <w:rPr>
          <w:noProof/>
        </w:rPr>
      </w:pPr>
      <w:r>
        <w:rPr>
          <w:noProof/>
        </w:rPr>
        <w:t>s ohledem na Úmluvu o společném tranzitním režimu ze dne 20. května 1987, a zejména na čl. 15 odst. 3 písm. a) této úmluvy,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Podle čl. 15 odst. 3 písm. a) Úmluvy o společném tranzitním režimu ze dne 20. května 1987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(dále jen „úmluva“) smíšený výbor zřízený uvedenou úmluvou přijímá formou rozhodnutí změny dodatků k úmluvě.</w:t>
      </w:r>
    </w:p>
    <w:p>
      <w:pPr>
        <w:pStyle w:val="Considrant"/>
        <w:rPr>
          <w:noProof/>
        </w:rPr>
      </w:pPr>
      <w:r>
        <w:rPr>
          <w:noProof/>
        </w:rPr>
        <w:t>Článek 311 prováděcího nařízení Komise (EU) 2015/2447</w:t>
      </w:r>
      <w:r>
        <w:rPr>
          <w:rStyle w:val="FootnoteReference"/>
          <w:noProof/>
        </w:rPr>
        <w:footnoteReference w:id="2"/>
      </w:r>
      <w:r>
        <w:rPr>
          <w:noProof/>
        </w:rPr>
        <w:t>, který stanoví žádost o převod vymáhání celního dluhu, byl změněn</w:t>
      </w:r>
      <w:r>
        <w:rPr>
          <w:rStyle w:val="FootnoteReference"/>
          <w:noProof/>
        </w:rPr>
        <w:footnoteReference w:id="3"/>
      </w:r>
      <w:r>
        <w:rPr>
          <w:noProof/>
        </w:rPr>
        <w:t>. Podle nových odstavců 3 a 4 by v případě, kdy celní orgán země zapojené do tranzitní operace získá důkaz, že k událostem, které vedly ke vzniku celního dluhu, došlo na jeho území, tento orgán měl požádat zemi odeslání, aby mu předala odpovědnost za zahájení řízení o vymáhání celního dluhu. Země odeslání by měla ve stanovené lhůtě potvrdit, zda předává pravomoc k zahájení řízení o vymáhání celního dluhu žádajícímu celnímu orgánu. Článek 50 dodatku I k úmluvě, který odráží ustanovení článku 311 prováděcího nařízení Komise (EU) 2015/2447, by proto měl být odpovídajícím způsobem změněn.</w:t>
      </w:r>
    </w:p>
    <w:p>
      <w:pPr>
        <w:pStyle w:val="Considrant"/>
        <w:rPr>
          <w:noProof/>
        </w:rPr>
      </w:pPr>
      <w:r>
        <w:rPr>
          <w:noProof/>
        </w:rPr>
        <w:t>Příloha 72-04 prováděcího nařízení Komise (EU) 2015/2447, která popisuje záložní postup pro tranzit Unie, byla pozměněna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 používá se od 30. června 2020. Aby se zajistila větší flexibilita záložního postupu pro tranzit a snížil objem formalit a nákladů vznikajících celním orgánům, byla podle pozměněného bodu 19.3 kapitoly III prodloužena platnost osvědčení o souborné jistotě a osvědčení o zproštění povinnosti poskytnout jistotu v listinné podobě stanovených v příloze 72-04 prováděcího nařízení (EU) 2015/2447. Článek 79 dodatku I k úmluvě a bod 19.3 kapitoly III přílohy II dodatku I k úmluvě, který odráží znění bodu 19.3 kapitoly III části I přílohy 72-04 výše uvedeného prováděcího nařízení, by proto měly být odpovídajícím způsobem změněny. Změna by se rovněž měla použít od 30. června 2020, aby byly ručitelům podle celních předpisů Unie a úmluvy poskytnuty rovnocenné podmínky. </w:t>
      </w:r>
    </w:p>
    <w:p>
      <w:pPr>
        <w:pStyle w:val="Considrant"/>
        <w:rPr>
          <w:noProof/>
        </w:rPr>
      </w:pPr>
      <w:r>
        <w:rPr>
          <w:noProof/>
        </w:rPr>
        <w:lastRenderedPageBreak/>
        <w:t>Tiskopisy závazků ručitele jsou stanoveny v přílohách C1, C2, C4, C5 a C6 dodatku III k úmluvě. Tyto tiskopisy uvádějí seznam členských států Unie a ostatních smluvních stran úmluvy. Rozhodnutí č. 2/2018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Smíšeného výboru EU-CTC odstraňuje odkazy na Spojené království jakožto členský stát Unie a vkládá odkaz na Spojené království jakožto zemi společného tranzitního režimu ode dne, kdy nabude účinnosti přistoupení Spojeného království jakožto samostatné smluvní strany. Kromě toho by však v důsledku uplatňování Protokolu o Irsku/Severním Irsku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mělo být Severní Irsko v případě operací tranzitu Unie uvedeno na seznamu způsobem, ze kterého vyplývá, že jakákoli jistota platná v členských státech EU musí platit také v Severním Irsku.</w:t>
      </w:r>
    </w:p>
    <w:p>
      <w:pPr>
        <w:pStyle w:val="Considrant"/>
        <w:rPr>
          <w:noProof/>
        </w:rPr>
      </w:pPr>
      <w:r>
        <w:rPr>
          <w:noProof/>
        </w:rPr>
        <w:t>V důsledku uplatňování Protokolu o Irsku/Severním Irsku a v souladu s čl. 5 odst. 2 nařízení (ES) č. 471/2009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byl zaveden nový kód „XI“</w:t>
      </w:r>
      <w:r>
        <w:rPr>
          <w:rStyle w:val="FootnoteReference"/>
          <w:noProof/>
        </w:rPr>
        <w:footnoteReference w:id="8"/>
      </w:r>
      <w:r>
        <w:rPr>
          <w:noProof/>
        </w:rPr>
        <w:t>, aby se rozlišilo Spojené království s ohledem na Severní Irsko. Používání kódů zemí vymezených v příloze A2 a příloze B1 dodatku III k úmluvě by mělo být odpovídajícím způsobem změněno.</w:t>
      </w:r>
    </w:p>
    <w:p>
      <w:pPr>
        <w:pStyle w:val="Considrant"/>
        <w:rPr>
          <w:noProof/>
        </w:rPr>
      </w:pPr>
      <w:r>
        <w:rPr>
          <w:noProof/>
        </w:rPr>
        <w:t>Aby se zajistilo správné uplatňování nového kódu „XI“, měly by všechny údaje v úmluvě ve vztahu k používání kódů zemí odkazovat na přílohu A2 nebo přílohu B1 dodatku III k úmluvě.</w:t>
      </w:r>
    </w:p>
    <w:p>
      <w:pPr>
        <w:pStyle w:val="Considrant"/>
        <w:rPr>
          <w:noProof/>
        </w:rPr>
      </w:pPr>
      <w:r>
        <w:rPr>
          <w:noProof/>
        </w:rPr>
        <w:t>Rozhodnutí č. 2/2018 Smíšeného výboru EU-CTC vstupuje v platnost dne 1. ledna 2021 poté, co rozhodnutí č. 1/2019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Smíšeného výboru EU-CTC vstoupilo v platnost dne 4. prosince 2019. Jelikož rozhodnutí č. 2/2018 v přílohách C1, C2 a C4 omylem opětovně zavedlo starý název „Bývalá jugoslávská republika Makedonie“, zavedlo rozhodnutí č. 1/2019 na tiskopisech závazků ručitele stanovených v přílohách C1, C2, C4, C5 a C6 dodatku III k úmluvě nový název „Republika Severní Makedonie“. V těchto tiskopisech by proto měl být opětovně zaveden nový název „Republika Severní Makedonie“.</w:t>
      </w:r>
    </w:p>
    <w:p>
      <w:pPr>
        <w:pStyle w:val="Formuledadoption"/>
        <w:rPr>
          <w:noProof/>
        </w:rPr>
      </w:pPr>
      <w:r>
        <w:rPr>
          <w:noProof/>
        </w:rPr>
        <w:t>Úmluva by proto měla být odpovídajícím způsobem změněna,</w:t>
      </w:r>
    </w:p>
    <w:p>
      <w:pPr>
        <w:keepNext/>
        <w:spacing w:before="600"/>
        <w:rPr>
          <w:noProof/>
        </w:rPr>
      </w:pPr>
      <w:r>
        <w:rPr>
          <w:noProof/>
        </w:rPr>
        <w:t>PŘIJAL TOTO ROZHODNUTÍ: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Dodatek I k úmluvě se mění v souladu s přílohou A tohoto rozhodnutí.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Dodatek III k úmluvě se mění v souladu s přílohou B tohoto rozhodnutí.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>Toto rozhodnutí vstupuje v platnost dnem přijetí.</w:t>
      </w:r>
    </w:p>
    <w:p>
      <w:pPr>
        <w:rPr>
          <w:noProof/>
        </w:rPr>
      </w:pPr>
      <w:r>
        <w:rPr>
          <w:noProof/>
        </w:rPr>
        <w:t>Body 2 a 3 přílohy A se použijí ode dne 30. června 2020.</w:t>
      </w:r>
    </w:p>
    <w:p>
      <w:pPr>
        <w:rPr>
          <w:noProof/>
        </w:rPr>
      </w:pPr>
      <w:r>
        <w:rPr>
          <w:noProof/>
        </w:rPr>
        <w:t>Body 1 až 4 přílohy B se použijí ode dne, kdy Spojené království přistoupí k úmluvě jakožto smluvní strana.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V …….. dne</w:t>
      </w:r>
    </w:p>
    <w:p>
      <w:pPr>
        <w:pStyle w:val="Institutionquisigne"/>
        <w:rPr>
          <w:noProof/>
        </w:rPr>
      </w:pPr>
      <w:r>
        <w:rPr>
          <w:noProof/>
        </w:rPr>
        <w:tab/>
        <w:t>Za smíšený výbor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p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>
      <w:pPr>
        <w:pStyle w:val="Annexetitreexpos"/>
        <w:rPr>
          <w:noProof/>
        </w:rPr>
      </w:pPr>
      <w:r>
        <w:rPr>
          <w:noProof/>
        </w:rPr>
        <w:t>Příloha A</w:t>
      </w:r>
    </w:p>
    <w:p>
      <w:pPr>
        <w:rPr>
          <w:noProof/>
        </w:rPr>
      </w:pPr>
      <w:r>
        <w:rPr>
          <w:noProof/>
        </w:rPr>
        <w:t>Dodatek I k úmluvě se mění takto: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v článku 50 se doplňují nové odstavce 3 a 4, které znějí:</w:t>
      </w:r>
    </w:p>
    <w:p>
      <w:pPr>
        <w:pStyle w:val="Text1"/>
        <w:rPr>
          <w:noProof/>
        </w:rPr>
      </w:pPr>
      <w:r>
        <w:rPr>
          <w:noProof/>
        </w:rPr>
        <w:t>„3. Pokud celní orgán země, která se účastní operace společného tranzitního režimu, získá před uplynutím lhůty uvedené v čl. 114 odst. 2 písm. a) důkaz, že místo, kde došlo k událostem rozhodným pro vznik dluhu, došlo na jeho území, zašle tento orgán bezodkladně a v každém případě v této lhůtě řádně odůvodněnou žádost celnímu orgánu země odeslání, aby předal odpovědnost za zahájení řízení o vymáhání celního dluhu žádajícímu celnímu orgánu.</w:t>
      </w:r>
    </w:p>
    <w:p>
      <w:pPr>
        <w:pStyle w:val="Text1"/>
        <w:rPr>
          <w:noProof/>
        </w:rPr>
      </w:pPr>
      <w:r>
        <w:rPr>
          <w:noProof/>
        </w:rPr>
        <w:t>4. Celní orgán země odeslání potvrdí přijetí žádosti podané podle odstavce 3 a informuje žádající celní orgán do 28 dnů ode dne, kdy byla žádost odeslána, zda souhlasí s tím, že žádosti vyhoví a předá žádajícímu orgánu odpovědnost za zahájení řízení o vymáhání celního dluhu.“;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v článku 79: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odstavec 2 se nahrazuje tímto:</w:t>
      </w:r>
    </w:p>
    <w:p>
      <w:pPr>
        <w:pStyle w:val="Text2"/>
        <w:rPr>
          <w:noProof/>
        </w:rPr>
      </w:pPr>
      <w:r>
        <w:rPr>
          <w:noProof/>
        </w:rPr>
        <w:t>„2. Doba platnosti osvědčení o souborné jistotě nebo osvědčení o zproštění povinnosti poskytnout jistotu nesmí přesáhnout pět let. Celní úřad záruky však může tuto dobu prodloužit o jedno další období nepřesahující pět let.“;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za odstavcem 2 se doplňují nové odstavce 3 a 4, které znějí:</w:t>
      </w:r>
    </w:p>
    <w:p>
      <w:pPr>
        <w:pStyle w:val="Text2"/>
        <w:rPr>
          <w:noProof/>
        </w:rPr>
      </w:pPr>
      <w:r>
        <w:rPr>
          <w:noProof/>
        </w:rPr>
        <w:t xml:space="preserve">„3. Pokud je během doby platnosti osvědčení celní úřad záruky informován o tom, že toto osvědčení již není v důsledku četných změn dostatečně čitelné a může být celním úřadem odeslání odmítnuto, celní úřad záruky platnost osvědčení zruší a v příslušných případech vydá nové osvědčení. </w:t>
      </w:r>
    </w:p>
    <w:p>
      <w:pPr>
        <w:pStyle w:val="Text2"/>
        <w:rPr>
          <w:noProof/>
        </w:rPr>
      </w:pPr>
      <w:r>
        <w:rPr>
          <w:noProof/>
        </w:rPr>
        <w:t>4. Osvědčení s dvouletou dobou platnosti zůstávají v platnosti. Celní úřad záruky může tuto dobu platnosti prodloužit na druhé období nepřesahující pět let.“;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v příloze II kapitole III se bod 19.3 nahrazuje tímto:</w:t>
      </w:r>
    </w:p>
    <w:p>
      <w:pPr>
        <w:pStyle w:val="Text1"/>
        <w:rPr>
          <w:noProof/>
        </w:rPr>
      </w:pPr>
      <w:r>
        <w:rPr>
          <w:noProof/>
        </w:rPr>
        <w:t xml:space="preserve">„19.3 Doba platnosti osvědčení o souborné jistotě nebo osvědčení o zproštění povinnosti poskytnout jistotu nesmí přesáhnout pět let. Celní úřad záruky však může tuto dobu prodloužit o jedno další období nepřesahující pět let. </w:t>
      </w:r>
    </w:p>
    <w:p>
      <w:pPr>
        <w:pStyle w:val="Text1"/>
        <w:rPr>
          <w:noProof/>
        </w:rPr>
      </w:pPr>
      <w:r>
        <w:rPr>
          <w:noProof/>
        </w:rPr>
        <w:t xml:space="preserve">Pokud je během doby platnosti osvědčení celní úřad záruky informován o tom, že toto osvědčení již není v důsledku četných změn dostatečně čitelné a může být celním úřadem odeslání odmítnuto, celní úřad záruky platnost osvědčení zruší a v příslušných případech vydá nové osvědčení. </w:t>
      </w:r>
    </w:p>
    <w:p>
      <w:pPr>
        <w:pStyle w:val="Text1"/>
        <w:rPr>
          <w:noProof/>
        </w:rPr>
      </w:pPr>
      <w:r>
        <w:rPr>
          <w:noProof/>
        </w:rPr>
        <w:t>Osvědčení s dvouletou dobou platnosti zůstávají v platnosti. Celní úřad záruky může tuto dobu platnosti prodloužit na druhé období nepřesahující pět let.“.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Annexetitreexpos"/>
        <w:rPr>
          <w:noProof/>
        </w:rPr>
      </w:pPr>
      <w:r>
        <w:rPr>
          <w:noProof/>
        </w:rPr>
        <w:t>Příloha B</w:t>
      </w:r>
    </w:p>
    <w:p>
      <w:pPr>
        <w:rPr>
          <w:noProof/>
        </w:rPr>
      </w:pPr>
      <w:r>
        <w:rPr>
          <w:noProof/>
        </w:rPr>
        <w:t>Dodatek III k úmluvě se mění takto: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v příloze A1, hlavě II kapitole II bodě B o údajích uváděných v tranzitním prohlášení se v odrážce „ZNAČKA JISTOTY“ text „(kód země ISO alfa-2)“ v obsahu kolonky 2 nahrazuje tímto:</w:t>
      </w:r>
    </w:p>
    <w:p>
      <w:pPr>
        <w:pStyle w:val="Text1"/>
        <w:rPr>
          <w:noProof/>
        </w:rPr>
      </w:pPr>
      <w:r>
        <w:rPr>
          <w:noProof/>
        </w:rPr>
        <w:t>„(kód země uvedený v příloze A2)“;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v příloze A2 se v bodě 1 doplňuje nová věta, která zní:</w:t>
      </w:r>
    </w:p>
    <w:p>
      <w:pPr>
        <w:pStyle w:val="Text1"/>
        <w:rPr>
          <w:noProof/>
        </w:rPr>
      </w:pPr>
      <w:r>
        <w:rPr>
          <w:noProof/>
        </w:rPr>
        <w:t>„Kód XI se používá pro Severní Irsko.“;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v příloze A4 se v bodě 1 text „(kód země ISO alfa-2)“ v obsahu kolonky 2 nahrazuje tímto:</w:t>
      </w:r>
    </w:p>
    <w:p>
      <w:pPr>
        <w:pStyle w:val="Text1"/>
        <w:rPr>
          <w:noProof/>
        </w:rPr>
      </w:pPr>
      <w:r>
        <w:rPr>
          <w:noProof/>
        </w:rPr>
        <w:t>„(kód země uvedený v příloze A2)“;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v příloze B1 se kolonka 51 mění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text „GB</w:t>
      </w:r>
      <w:r>
        <w:rPr>
          <w:noProof/>
        </w:rPr>
        <w:tab/>
        <w:t>Spojené království“ se nahrazuje textem:</w:t>
      </w:r>
    </w:p>
    <w:p>
      <w:pPr>
        <w:pStyle w:val="Text2"/>
        <w:rPr>
          <w:noProof/>
        </w:rPr>
      </w:pPr>
      <w:r>
        <w:rPr>
          <w:noProof/>
        </w:rPr>
        <w:t>„GB</w:t>
      </w:r>
      <w:r>
        <w:rPr>
          <w:noProof/>
        </w:rPr>
        <w:tab/>
        <w:t>Spojené království (vyjma Severního Irska);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 seznamu se doplňuje nová položka, která zní:</w:t>
      </w:r>
    </w:p>
    <w:p>
      <w:pPr>
        <w:pStyle w:val="Text2"/>
        <w:rPr>
          <w:noProof/>
        </w:rPr>
      </w:pPr>
      <w:r>
        <w:rPr>
          <w:noProof/>
        </w:rPr>
        <w:t>„XI</w:t>
      </w:r>
      <w:r>
        <w:rPr>
          <w:noProof/>
        </w:rPr>
        <w:tab/>
        <w:t>Severní Irsko“;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v příloze C1 se bod 1 mění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text „Bývalé jugoslávské republiky Makedonie“ se nahrazuje textem „Republiky Severní Makedonie“;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k textu „Spojené království Velké Británie a Severního Irska</w:t>
      </w:r>
      <w:r>
        <w:rPr>
          <w:noProof/>
          <w:vertAlign w:val="superscript"/>
        </w:rPr>
        <w:t>3“</w:t>
      </w:r>
      <w:r>
        <w:rPr>
          <w:noProof/>
        </w:rPr>
        <w:t xml:space="preserve"> se před poznámku na konci textu 3 vkládá poznámka na konci textu 3a, která zní: </w:t>
      </w:r>
    </w:p>
    <w:p>
      <w:pPr>
        <w:pStyle w:val="Text2"/>
        <w:rPr>
          <w:noProof/>
        </w:rPr>
      </w:pPr>
      <w:r>
        <w:rPr>
          <w:noProof/>
          <w:sz w:val="20"/>
        </w:rPr>
        <w:t xml:space="preserve">„Podle </w:t>
      </w:r>
      <w:r>
        <w:rPr>
          <w:i/>
          <w:noProof/>
          <w:sz w:val="20"/>
        </w:rPr>
        <w:t>Protokolu o Irsku/Severním Irsku k Dohodě o vystoupení Spojeného království Velké Británie a Severního Irska z Evropské unie a Evropského společenství pro atomovou energii</w:t>
      </w:r>
      <w:r>
        <w:rPr>
          <w:noProof/>
          <w:sz w:val="20"/>
        </w:rPr>
        <w:t xml:space="preserve"> se Severní Irsko pro účely této jistoty považuje za součást Evropské unie. Proto pokud smí být jistota v Severním Irsku použita, uvede ručitel usazený na celním území Evropské unie doručovací adresu v Severním Irsku nebo v něm jmenuje zástupce. Jestliže je však jistota v souvislosti se společným tranzitním režimem platná v Evropské Unii i ve Spojeném království, může jedna doručovací adresa nebo jmenovaný zástupce ve Spojeném království pokrýt všechny části Spojeného království včetně Severního Irska.“</w:t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>v příloze C2 se bod 1 mění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text „Bývalé jugoslávské republiky Makedonie“ se nahrazuje textem „Republiky Severní Makedonie“;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k textu „Spojené království Velké Británie a Severního Irska“ se vkládá poznámka na konci textu 2a, která zní: </w:t>
      </w:r>
    </w:p>
    <w:p>
      <w:pPr>
        <w:pStyle w:val="Text2"/>
        <w:rPr>
          <w:noProof/>
        </w:rPr>
      </w:pPr>
      <w:r>
        <w:rPr>
          <w:noProof/>
          <w:sz w:val="20"/>
        </w:rPr>
        <w:t xml:space="preserve">„Podle </w:t>
      </w:r>
      <w:r>
        <w:rPr>
          <w:i/>
          <w:noProof/>
          <w:sz w:val="20"/>
        </w:rPr>
        <w:t>Protokolu o Irsku/Severním Irsku k Dohodě o vystoupení Spojeného království Velké Británie a Severního Irska z Evropské unie a Evropského společenství pro atomovou energii</w:t>
      </w:r>
      <w:r>
        <w:rPr>
          <w:noProof/>
          <w:sz w:val="20"/>
        </w:rPr>
        <w:t xml:space="preserve"> se Severní Irsko pro účely této jistoty považuje za součást Evropské unie. Proto pokud smí být jistota v Severním Irsku použita, uvede ručitel usazený na celním území Evropské unie doručovací adresu v Severním Irsku nebo v něm jmenuje zástupce. Jestliže je však jistota v souvislosti se společným tranzitním režimem platná v Evropské Unii i ve Spojeném království, může jedna doručovací adresa nebo jmenovaný zástupce ve Spojeném království pokrýt všechny části Spojeného království včetně Severního Irska.“</w:t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rPr>
          <w:noProof/>
        </w:rPr>
        <w:t>7)</w:t>
      </w:r>
      <w:r>
        <w:rPr>
          <w:noProof/>
        </w:rPr>
        <w:tab/>
        <w:t>v příloze C4 se bod 1 mění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text „Bývalé jugoslávské republiky Makedonie“ se nahrazuje textem „Republiky Severní Makedonie“;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k textu „Spojené království Velké Británie a Severního Irska</w:t>
      </w:r>
      <w:r>
        <w:rPr>
          <w:noProof/>
          <w:vertAlign w:val="superscript"/>
        </w:rPr>
        <w:t>3“</w:t>
      </w:r>
      <w:r>
        <w:rPr>
          <w:noProof/>
        </w:rPr>
        <w:t xml:space="preserve"> se před poznámku na konci textu 3 vkládá poznámka na konci textu 3a, která zní: </w:t>
      </w:r>
    </w:p>
    <w:p>
      <w:pPr>
        <w:pStyle w:val="Text2"/>
        <w:rPr>
          <w:noProof/>
        </w:rPr>
      </w:pPr>
      <w:r>
        <w:rPr>
          <w:noProof/>
          <w:sz w:val="20"/>
        </w:rPr>
        <w:t xml:space="preserve">„Podle </w:t>
      </w:r>
      <w:r>
        <w:rPr>
          <w:i/>
          <w:noProof/>
          <w:sz w:val="20"/>
        </w:rPr>
        <w:t>Protokolu o Irsku/Severním Irsku k Dohodě o vystoupení Spojeného království Velké Británie a Severního Irska z Evropské unie a Evropského společenství pro atomovou energii</w:t>
      </w:r>
      <w:r>
        <w:rPr>
          <w:noProof/>
          <w:sz w:val="20"/>
        </w:rPr>
        <w:t xml:space="preserve"> se Severní Irsko pro účely této jistoty považuje za součást Evropské unie. Proto pokud smí být jistota v Severním Irsku použita, uvede ručitel usazený na celním území Evropské unie doručovací adresu v Severním Irsku nebo v něm jmenuje zástupce. Jestliže je však jistota v souvislosti se společným tranzitním režimem platná v Evropské Unii i ve Spojeném království, může jedna doručovací adresa nebo jmenovaný zástupce ve Spojeném království pokrýt všechny části Spojeného království včetně Severního Irska.“</w:t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rPr>
          <w:noProof/>
        </w:rPr>
        <w:t>8)</w:t>
      </w:r>
      <w:r>
        <w:rPr>
          <w:noProof/>
        </w:rPr>
        <w:tab/>
        <w:t xml:space="preserve">v příloze C5 se řádek 7 mění takto: </w:t>
      </w:r>
    </w:p>
    <w:p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>k textu „Spojené království“ se doplňuje poznámka pod čarou (**), která zní:</w:t>
      </w:r>
    </w:p>
    <w:p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„(**) Podle Protokolu o Irsku/Severním Irsku k Dohodě o vystoupení Spojeného království Velké Británie a Severního Irska z Evropské unie a Evropského společenství pro atomovou energii by se Severní Irsko pro účely této jistoty mělo považovat za součást Evropské unie.“;</w:t>
      </w:r>
    </w:p>
    <w:p>
      <w:pPr>
        <w:pStyle w:val="Point0"/>
        <w:rPr>
          <w:noProof/>
        </w:rPr>
      </w:pPr>
      <w:r>
        <w:rPr>
          <w:noProof/>
        </w:rPr>
        <w:t>9)</w:t>
      </w:r>
      <w:r>
        <w:rPr>
          <w:noProof/>
        </w:rPr>
        <w:tab/>
        <w:t xml:space="preserve">v příloze C6 se řádek 6 mění takto: </w:t>
      </w:r>
    </w:p>
    <w:p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>k textu „Spojené království“ se doplňuje poznámka pod čarou (**), která zní:</w:t>
      </w:r>
    </w:p>
    <w:p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„(**) Podle Protokolu o Irsku/Severním Irsku k Dohodě o vystoupení Spojeného království Velké Británie a Severního Irska z Evropské unie a Evropského společenství pro atomovou energii by se Severní Irsko pro účely této jistoty mělo považovat za součást Evropské unie.“.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Úř. věst. L 226, 13.8.1987, s. 2.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Prováděcí nařízení Komise (EU) 2015/2447 ze dne 24. listopadu 2015, kterým se stanoví prováděcí pravidla k některým ustanovením nařízení Evropského parlamentu a Rady (EU) č. 952/2013, kterým se stanoví celní kodex Unie (Úř. věst. L 343, 29.12.2015, s. 558).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Prováděcí nařízení Komise (EU) 2019/1394 ze dne 10. září 2019, kterým se mění a opravuje prováděcí nařízení (EU) 2015/2447, pokud jde o některá pravidla týkající se dohledu za účelem propuštění do volného oběhu a výstupu z celního území Unie (Úř. věst. L 234, 11.9.2019, s. 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Prováděcí nařízení Komise (EU) 2020/893 ze dne 29. června 2020, kterým se mění prováděcí nařízení (EU) 2015/2447, kterým se stanoví prováděcí pravidla k některým ustanovením nařízení Evropského parlamentu a Rady (EU) č. 952/2013, kterým se stanoví celní kodex Unie (Úř. věst. L 206, 30.6.2020, s. 8).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Úř. věst. L 317, 14.12.2018, s. 48.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Protokol o Irsku/Severním Irsku k Dohodě o vystoupení Spojeného království Velké Británie a Severního Irska z Evropské unie a Evropského společenství pro atomovou energii (Úř. věst. L 29, 31.1.2020, s. 102).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(ES) č. 471/2009 ze dne 6. května 2009 o statistice Společenství týkající se zahraničního obchodu se třetími zeměmi a o zrušení nařízení Rady (ES) č. 1172/95 (Úř. věst. L 152, 16.6.2009, s. 23).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Prováděcí nařízení Komise (EU) 2020/1470 ze dne 12. října 2020 o klasifikaci zemí a území pro evropské statistiky mezinárodního obchodu se zbožím a o geografickém členění pro jiné podnikové statistiky (Úř. věst. L 334, 13.10.2020, s. 2).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Úř. věst. L 103, 3.4.2020, s. 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FEAAA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A3EBB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77AA7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33E27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0A866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83665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CEC01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6F4A9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R_RefLast" w:val="0"/>
    <w:docVar w:name="DQCDateTime" w:val="2021-01-12 10:28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 "/>
    <w:docVar w:name="LW_ACCOMPAGNANT.CP" w:val=" 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0EB3ABE-CC59-43B9-B1B8-BC816A33AF95"/>
    <w:docVar w:name="LW_COVERPAGE_TYPE" w:val="1"/>
    <w:docVar w:name="LW_CROSSREFERENCE" w:val="&lt;UNUSED&gt;"/>
    <w:docVar w:name="LW_DocType" w:val="ANNEX"/>
    <w:docVar w:name="LW_EMISSION" w:val="13.1.2021"/>
    <w:docVar w:name="LW_EMISSION_ISODATE" w:val="2021-01-13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 postoji, který má být zaujat jménem Evropské unie v rámci Smí\u353?eného výboru EU a zemí spole\u269?ného tranzitního re\u382?imu z\u345?ízeného Úmluvou o spole\u269?ném tranzitním re\u382?imu ze dne 20. kv\u283?tna 1987, pokud jde o zm\u283?ny uvedené úmluvy"/>
    <w:docVar w:name="LW_OBJETACTEPRINCIPAL.CP" w:val="o postoji, který má být zaujat jménem Evropské unie v rámci Smí\u353?eného výboru EU a zemí spole\u269?ného tranzitního re\u382?imu z\u345?ízeného Úmluvou o spole\u269?ném tranzitním re\u382?imu ze dne 20. kv\u283?tna 1987, pokud jde o zm\u283?ny uvedené úmluvy"/>
    <w:docVar w:name="LW_PART_NBR" w:val="1"/>
    <w:docVar w:name="LW_PART_NBR_TOTAL" w:val="1"/>
    <w:docVar w:name="LW_REF.INST.NEW" w:val="COM"/>
    <w:docVar w:name="LW_REF.INST.NEW_ADOPTED" w:val="final"/>
    <w:docVar w:name="LW_REF.INST.NEW_TEXT" w:val="(2021) 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rozhodnutí Rady"/>
    <w:docVar w:name="LW_TYPEACTEPRINCIPAL.CP" w:val="návrhu 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6E259B-FC4F-4686-BF25-B19008F2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7</Pages>
  <Words>1770</Words>
  <Characters>9440</Characters>
  <Application>Microsoft Office Word</Application>
  <DocSecurity>0</DocSecurity>
  <Lines>185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Ann (TAXUD)</dc:creator>
  <cp:keywords/>
  <dc:description/>
  <cp:lastModifiedBy>WES PDFC Administrator</cp:lastModifiedBy>
  <cp:revision>9</cp:revision>
  <cp:lastPrinted>2020-12-07T09:13:00Z</cp:lastPrinted>
  <dcterms:created xsi:type="dcterms:W3CDTF">2021-01-06T08:36:00Z</dcterms:created>
  <dcterms:modified xsi:type="dcterms:W3CDTF">2021-01-12T09:28:00Z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