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9FC7E2B-870D-4E7B-960D-E0FE80FB2E3E"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ΣΧΕΔΙΟ </w:t>
      </w:r>
      <w:r>
        <w:rPr>
          <w:noProof/>
        </w:rPr>
        <w:br/>
        <w:t xml:space="preserve">ΑΠΟΦΑΣΗ αριθ.      /2021 της μεικτής επιτροπής ΕΕ-ΧΚΔ που έχει συσταθεί δυνάμει της σύμβασης, της 20ής Μαΐου 1987, περί κοινού καθεστώτος διαμετακόμισης </w:t>
      </w:r>
      <w:r>
        <w:rPr>
          <w:noProof/>
        </w:rPr>
        <w:br/>
        <w:t xml:space="preserve">της …..2021 </w:t>
      </w:r>
      <w:r>
        <w:rPr>
          <w:noProof/>
        </w:rPr>
        <w:br/>
        <w:t xml:space="preserve">για την τροποποίηση των προσαρτημάτων I και III της σύμβασης  </w:t>
      </w:r>
    </w:p>
    <w:p>
      <w:pPr>
        <w:rPr>
          <w:noProof/>
        </w:rPr>
      </w:pPr>
    </w:p>
    <w:p>
      <w:pPr>
        <w:rPr>
          <w:noProof/>
        </w:rPr>
      </w:pPr>
    </w:p>
    <w:p>
      <w:pPr>
        <w:keepNext/>
        <w:spacing w:before="600"/>
        <w:rPr>
          <w:noProof/>
        </w:rPr>
      </w:pPr>
      <w:r>
        <w:rPr>
          <w:noProof/>
        </w:rPr>
        <w:t>Η ΜΕΙΚΤΗ ΕΠΙΤΡΟΠΗ ΕΕ-ΧΚΔ</w:t>
      </w:r>
    </w:p>
    <w:p>
      <w:pPr>
        <w:rPr>
          <w:noProof/>
        </w:rPr>
      </w:pPr>
      <w:r>
        <w:rPr>
          <w:noProof/>
        </w:rPr>
        <w:t>Έχοντας υπόψη τη σύμβαση, της 20ής Μαΐου 1987, περί κοινού καθεστώτος διαμετακόμισης και, ιδίως, το άρθρο 15 παράγραφος 3 στοιχείο α),</w:t>
      </w:r>
    </w:p>
    <w:p>
      <w:pPr>
        <w:rPr>
          <w:noProof/>
        </w:rPr>
      </w:pPr>
    </w:p>
    <w:p>
      <w:pPr>
        <w:rPr>
          <w:noProof/>
        </w:rPr>
      </w:pPr>
      <w:r>
        <w:rPr>
          <w:noProof/>
        </w:rPr>
        <w:t>Εκτιμώντας τα ακόλουθα:</w:t>
      </w:r>
    </w:p>
    <w:p>
      <w:pPr>
        <w:pStyle w:val="Considrant"/>
        <w:numPr>
          <w:ilvl w:val="0"/>
          <w:numId w:val="2"/>
        </w:numPr>
        <w:rPr>
          <w:noProof/>
        </w:rPr>
      </w:pPr>
      <w:r>
        <w:rPr>
          <w:noProof/>
        </w:rPr>
        <w:t>Σύμφωνα με το άρθρο 15 παράγραφος 3 στοιχείο α) της σύμβασης, της 20ής Μαΐου 1987, περί κοινού καθεστώτος διαμετακόμισης</w:t>
      </w:r>
      <w:r>
        <w:rPr>
          <w:rStyle w:val="FootnoteReference"/>
          <w:noProof/>
        </w:rPr>
        <w:footnoteReference w:id="1"/>
      </w:r>
      <w:r>
        <w:rPr>
          <w:noProof/>
        </w:rPr>
        <w:t xml:space="preserve"> (στο εξής: σύμβαση), η μεικτή επιτροπή που συστάθηκε δυνάμει της εν λόγω σύμβασης πρόκειται να εγκρίνει, με απόφαση, τροποποιήσεις των προσαρτημάτων της σύμβασης.</w:t>
      </w:r>
    </w:p>
    <w:p>
      <w:pPr>
        <w:pStyle w:val="Considrant"/>
        <w:rPr>
          <w:noProof/>
        </w:rPr>
      </w:pPr>
      <w:r>
        <w:rPr>
          <w:noProof/>
        </w:rPr>
        <w:t>Το άρθρο 311 του εκτελεστικού κανονισμού (ΕΕ) 2015/2447 της Επιτροπής</w:t>
      </w:r>
      <w:r>
        <w:rPr>
          <w:rStyle w:val="FootnoteReference"/>
          <w:noProof/>
        </w:rPr>
        <w:footnoteReference w:id="2"/>
      </w:r>
      <w:r>
        <w:rPr>
          <w:noProof/>
        </w:rPr>
        <w:t>, το οποίο προβλέπει το αίτημα μεταφοράς της είσπραξης της τελωνειακής οφειλής, έχει τροποποιηθεί</w:t>
      </w:r>
      <w:r>
        <w:rPr>
          <w:rStyle w:val="FootnoteReference"/>
          <w:noProof/>
        </w:rPr>
        <w:footnoteReference w:id="3"/>
      </w:r>
      <w:r>
        <w:rPr>
          <w:noProof/>
        </w:rPr>
        <w:t>. Σύμφωνα με τις νέες παραγράφους 3 και 4, εάν η τελωνειακή αρχή χώρας που συμμετέχει σε πράξη διαμετακόμισης λάβει στοιχεία που αποδεικνύουν ότι τα γεγονότα από τα οποία γεννάται η τελωνειακή οφειλή συνέβησαν στο έδαφός της, η εν λόγω αρχή θα πρέπει να ζητήσει από τη χώρα αναχώρησης να της μεταβιβάσει την αρμοδιότητα εκκίνησης της διαδικασίας είσπραξης. Η χώρα αναχώρησης θα πρέπει να επιβεβαιώσει εντός ορισμένου χρονικού διαστήματος εάν μεταβιβάζει την αρμοδιότητα εκκίνησης της διαδικασίας είσπραξης στην τελωνειακή αρχή που υποβάλλει το αίτημα. Ως εκ τούτου, το άρθρο 50 του προσαρτήματος I της σύμβασης, το οποίο αντανακλά τις διατάξεις του άρθρου 311 του εκτελεστικού κανονισμού (ΕΕ) 2015/2447 της Επιτροπής, θα πρέπει να τροποποιηθεί αναλόγως.</w:t>
      </w:r>
    </w:p>
    <w:p>
      <w:pPr>
        <w:pStyle w:val="Considrant"/>
        <w:rPr>
          <w:noProof/>
        </w:rPr>
      </w:pPr>
      <w:r>
        <w:rPr>
          <w:noProof/>
        </w:rPr>
        <w:t>Το παράρτημα 72-04 του εκτελεστικού κανονισμού (ΕΕ) 2015/2447 της Επιτροπής, το οποίο περιγράφει τη διαδικασία συνέχειας δραστηριοτήτων για την ενωσιακή διαμετακόμιση, τροποποιήθηκε</w:t>
      </w:r>
      <w:r>
        <w:rPr>
          <w:rStyle w:val="FootnoteReference"/>
          <w:noProof/>
        </w:rPr>
        <w:footnoteReference w:id="4"/>
      </w:r>
      <w:r>
        <w:rPr>
          <w:noProof/>
        </w:rPr>
        <w:t xml:space="preserve"> και εφαρμόζεται από τις 30 Ιουνίου 2020. Σύμφωνα με το τροποποιημένο κεφάλαιο III σημείο 19.3, η ισχύς των έντυπων πιστοποιητικών συνολικής εγγύησης και των έντυπων πιστοποιητικών απαλλαγής από την υποχρέωση </w:t>
      </w:r>
      <w:r>
        <w:rPr>
          <w:noProof/>
        </w:rPr>
        <w:lastRenderedPageBreak/>
        <w:t xml:space="preserve">σύστασης εγγύησης που προβλέπονται στο παράρτημα 72-04 του εκτελεστικού κανονισμού (ΕΕ) 2015/2447 έχει παραταθεί προκειμένου να επιτευχθεί μεγαλύτερη ευελιξία στη διαδικασία συνέχειας δραστηριοτήτων κατά τη διαμετακόμιση και να μειωθούν οι διατυπώσεις και το κόστος για τις τελωνειακές αρχές. Ως εκ τούτου, το προσάρτημα Ι άρθρο 79 της σύμβασης και το προσάρτημα Ι παράρτημα ΙΙ κεφάλαιο III σημείο 19.3 της σύμβασης, το οποίο αντανακλά το παράρτημα 72-04 μέρος Ι κεφάλαιο III σημείο 19.3 του προαναφερόμενου εκτελεστικού κανονισμού, θα πρέπει να τροποποιηθούν αναλόγως. Η εν λόγω τροποποίηση θα πρέπει επίσης να εφαρμόζεται από τις 30 Ιουνίου 2020 ώστε να παρέχονται ίσοι όροι στους τριτεγγυητές βάσει της ενωσιακής τελωνειακής νομοθεσίας και της σύμβασης. </w:t>
      </w:r>
    </w:p>
    <w:p>
      <w:pPr>
        <w:pStyle w:val="Considrant"/>
        <w:rPr>
          <w:noProof/>
        </w:rPr>
      </w:pPr>
      <w:r>
        <w:rPr>
          <w:noProof/>
        </w:rPr>
        <w:t>Τα έντυπα για τις αναλήψεις υποχρέωσης τριτεγγυητή παρατίθενται στα παραρτήματα Γ1, Γ2, Γ4, Γ5 και Γ6 του προσαρτήματος ΙΙΙ της σύμβασης. Στα έντυπα αυτά απαριθμούνται τα κράτη μέλη της Ένωσης και τα άλλα συμβαλλόμενα μέρη της σύμβασης. Η απόφαση αριθ. 2/2018</w:t>
      </w:r>
      <w:r>
        <w:rPr>
          <w:rStyle w:val="FootnoteReference"/>
          <w:noProof/>
        </w:rPr>
        <w:footnoteReference w:id="5"/>
      </w:r>
      <w:r>
        <w:rPr>
          <w:noProof/>
        </w:rPr>
        <w:t xml:space="preserve"> της μεικτής επιτροπής ΕΕ-ΧΚΔ απαλείφει τις αναφορές στο Ηνωμένο Βασίλειο ως κράτος μέλος της Ένωσης και εισαγάγει την αναφορά στο Ηνωμένο Βασίλειο ως χώρα κοινής διαμετακόμισης από την ημερομηνία κατά την οποία τίθεται σε ισχύ η προσχώρηση του Ηνωμένου Βασιλείου ως χωριστού συμβαλλόμενου μέρους. Ωστόσο, επιπροσθέτως, ως συνέπεια της εφαρμογής του πρωτοκόλλου για τις Ιρλανδία/Βόρεια Ιρλανδία</w:t>
      </w:r>
      <w:r>
        <w:rPr>
          <w:rStyle w:val="FootnoteReference"/>
          <w:noProof/>
        </w:rPr>
        <w:footnoteReference w:id="6"/>
      </w:r>
      <w:r>
        <w:rPr>
          <w:noProof/>
        </w:rPr>
        <w:t>, για τις πράξεις ενωσιακής διαμετακόμισης η Βόρεια Ιρλανδία θα πρέπει να αναφέρεται κατά τρόπο που να υποδηλώνει ότι κάθε εγγύηση που ισχύει στα κράτη μέλη της ΕΕ πρέπει επίσης να ισχύει στη Βόρεια Ιρλανδία.</w:t>
      </w:r>
    </w:p>
    <w:p>
      <w:pPr>
        <w:pStyle w:val="Considrant"/>
        <w:rPr>
          <w:noProof/>
        </w:rPr>
      </w:pPr>
      <w:r>
        <w:rPr>
          <w:noProof/>
        </w:rPr>
        <w:t>Ως συνέπεια της εφαρμογής του πρωτοκόλλου για τις Ιρλανδία/Βόρεια Ιρλανδία και σύμφωνα με το άρθρο 5 παράγραφος 2 του κανονισμού (ΕΚ) αριθ. 471/2009</w:t>
      </w:r>
      <w:r>
        <w:rPr>
          <w:rStyle w:val="FootnoteReference"/>
          <w:noProof/>
        </w:rPr>
        <w:footnoteReference w:id="7"/>
      </w:r>
      <w:r>
        <w:rPr>
          <w:noProof/>
        </w:rPr>
        <w:t>, εισήχθη</w:t>
      </w:r>
      <w:r>
        <w:rPr>
          <w:rStyle w:val="FootnoteReference"/>
          <w:noProof/>
        </w:rPr>
        <w:footnoteReference w:id="8"/>
      </w:r>
      <w:r>
        <w:rPr>
          <w:noProof/>
        </w:rPr>
        <w:t xml:space="preserve"> ο νέος κωδικός «XI» για να γίνεται διάκριση του Ηνωμένου Βασιλείου σε σχέση με τη Βόρεια Ιρλανδία. Η χρήση των κωδικών χώρας που ορίζονται στο παράρτημα Α2 και στο παράρτημα Β1 του προσαρτήματος ΙΙΙ της σύμβασης θα πρέπει να τροποποιηθεί αναλόγως.</w:t>
      </w:r>
    </w:p>
    <w:p>
      <w:pPr>
        <w:pStyle w:val="Considrant"/>
        <w:rPr>
          <w:noProof/>
        </w:rPr>
      </w:pPr>
      <w:r>
        <w:rPr>
          <w:noProof/>
        </w:rPr>
        <w:t>Για να εξασφαλιστεί η ορθή εφαρμογή του νέου κωδικού «XI», όλες οι αναφορές της σύμβασης στη χρήση κωδικών χώρας θα πρέπει να παραπέμπουν στο παράρτημα Α2 ή στο παράρτημα Β1 του προσαρτήματος III της σύμβασης.</w:t>
      </w:r>
    </w:p>
    <w:p>
      <w:pPr>
        <w:pStyle w:val="Considrant"/>
        <w:rPr>
          <w:noProof/>
        </w:rPr>
      </w:pPr>
      <w:r>
        <w:rPr>
          <w:noProof/>
        </w:rPr>
        <w:t>Η απόφαση αριθ. 2/2018 της μεικτής επιτροπής ΕΕ-ΧΚΔ αρχίζει να ισχύει την 1η Ιανουαρίου 2021 μετά την έναρξη ισχύος της απόφασης αριθ. 1/2019</w:t>
      </w:r>
      <w:r>
        <w:rPr>
          <w:rStyle w:val="FootnoteReference"/>
          <w:noProof/>
        </w:rPr>
        <w:footnoteReference w:id="9"/>
      </w:r>
      <w:r>
        <w:rPr>
          <w:noProof/>
        </w:rPr>
        <w:t xml:space="preserve"> της μεικτής επιτροπής ΕΕ-ΧΚΔ στις 4 Δεκεμβρίου 2019. Η απόφαση αριθ. 1/2019 εισήγαγε τη νέα ονομασία «Δημοκρατία της Βόρειας Μακεδονίας» στα έντυπα για τις αναλήψεις υποχρέωσης τριτεγγυητή που παρατίθενται στα παραρτήματα Γ1, Γ2, Γ4, Γ5 και Γ6 του προσαρτήματος III της σύμβασης, ενώ η απόφαση αριθ. 2/2018 εισήγαγε εκ παραδρομής την παλαιά ονομασία «πρώην Γιουγκοσλαβική Δημοκρατία της Μακεδονίας» στα παραρτήματα Γ1, Γ2 και Γ4. Ως εκ τούτου, η νέα ονομασία «Δημοκρατία της Βόρειας Μακεδονίας» θα πρέπει να επανεισαχθεί στα εν λόγω έντυπα.</w:t>
      </w:r>
    </w:p>
    <w:p>
      <w:pPr>
        <w:pStyle w:val="Formuledadoption"/>
        <w:rPr>
          <w:noProof/>
        </w:rPr>
      </w:pPr>
      <w:r>
        <w:rPr>
          <w:noProof/>
        </w:rPr>
        <w:t>Ως εκ τούτου, η σύμβαση θα πρέπει να τροποποιηθεί αναλόγως,</w:t>
      </w:r>
    </w:p>
    <w:p>
      <w:pPr>
        <w:keepNext/>
        <w:spacing w:before="600"/>
        <w:rPr>
          <w:noProof/>
        </w:rPr>
      </w:pPr>
      <w:r>
        <w:rPr>
          <w:noProof/>
        </w:rPr>
        <w:t>ΕΞΕΔΩΣΕ ΤΗΝ ΠΑΡΟΥΣΑ ΑΠΟΦΑΣΗ:</w:t>
      </w:r>
    </w:p>
    <w:p>
      <w:pPr>
        <w:pStyle w:val="Titrearticle"/>
        <w:rPr>
          <w:noProof/>
        </w:rPr>
      </w:pPr>
      <w:r>
        <w:rPr>
          <w:noProof/>
        </w:rPr>
        <w:t>Άρθρο 1</w:t>
      </w:r>
    </w:p>
    <w:p>
      <w:pPr>
        <w:pStyle w:val="Point0number"/>
        <w:numPr>
          <w:ilvl w:val="0"/>
          <w:numId w:val="3"/>
        </w:numPr>
        <w:rPr>
          <w:noProof/>
        </w:rPr>
      </w:pPr>
      <w:r>
        <w:rPr>
          <w:noProof/>
        </w:rPr>
        <w:t>Το προσάρτημα I της σύμβασης τροποποιείται σύμφωνα με το παράρτημα Α της παρούσας απόφασης.</w:t>
      </w:r>
    </w:p>
    <w:p>
      <w:pPr>
        <w:pStyle w:val="Point0number"/>
        <w:rPr>
          <w:noProof/>
        </w:rPr>
      </w:pPr>
      <w:r>
        <w:rPr>
          <w:noProof/>
        </w:rPr>
        <w:t>Το προσάρτημα III της σύμβασης τροποποιείται σύμφωνα με το παράρτημα Β της παρούσας απόφασης.</w:t>
      </w:r>
    </w:p>
    <w:p>
      <w:pPr>
        <w:pStyle w:val="Titrearticle"/>
        <w:rPr>
          <w:noProof/>
        </w:rPr>
      </w:pPr>
      <w:r>
        <w:rPr>
          <w:noProof/>
        </w:rPr>
        <w:t>Άρθρο 2</w:t>
      </w:r>
    </w:p>
    <w:p>
      <w:pPr>
        <w:rPr>
          <w:noProof/>
        </w:rPr>
      </w:pPr>
      <w:r>
        <w:rPr>
          <w:noProof/>
        </w:rPr>
        <w:t>Η παρούσα απόφαση αρχίζει να ισχύει από την ημέρα της έκδοσής της.</w:t>
      </w:r>
    </w:p>
    <w:p>
      <w:pPr>
        <w:rPr>
          <w:noProof/>
        </w:rPr>
      </w:pPr>
      <w:r>
        <w:rPr>
          <w:noProof/>
        </w:rPr>
        <w:t>Τα σημεία 2 και 3 του παραρτήματος Α εφαρμόζονται από τις 30 Ιουνίου 2020.</w:t>
      </w:r>
    </w:p>
    <w:p>
      <w:pPr>
        <w:rPr>
          <w:noProof/>
        </w:rPr>
      </w:pPr>
      <w:r>
        <w:rPr>
          <w:noProof/>
        </w:rPr>
        <w:t>Τα σημεία 1 έως 4 του παραρτήματος Β εφαρμόζονται από την ημερομηνία προσχώρησης του Ηνωμένου Βασιλείου στη σύμβαση ως συμβαλλόμενου μέρους.</w:t>
      </w:r>
    </w:p>
    <w:p>
      <w:pPr>
        <w:rPr>
          <w:noProof/>
        </w:rPr>
      </w:pPr>
    </w:p>
    <w:p>
      <w:pPr>
        <w:pStyle w:val="Fait"/>
        <w:rPr>
          <w:noProof/>
        </w:rPr>
      </w:pPr>
      <w:r>
        <w:rPr>
          <w:noProof/>
        </w:rPr>
        <w:t>Έγινε στ...</w:t>
      </w:r>
    </w:p>
    <w:p>
      <w:pPr>
        <w:pStyle w:val="Institutionquisigne"/>
        <w:rPr>
          <w:noProof/>
        </w:rPr>
      </w:pPr>
      <w:r>
        <w:rPr>
          <w:noProof/>
        </w:rPr>
        <w:tab/>
        <w:t>Για τη μεικτή επιτροπή</w:t>
      </w:r>
    </w:p>
    <w:p>
      <w:pPr>
        <w:pStyle w:val="Personnequisigne"/>
        <w:rPr>
          <w:noProof/>
        </w:rPr>
      </w:pPr>
      <w:r>
        <w:rPr>
          <w:noProof/>
        </w:rPr>
        <w:tab/>
        <w:t>Ο Πρόεδρος</w:t>
      </w:r>
    </w:p>
    <w:p>
      <w:pPr>
        <w:spacing w:before="0" w:after="200" w:line="276" w:lineRule="auto"/>
        <w:jc w:val="left"/>
        <w:rPr>
          <w:b/>
          <w:noProof/>
          <w:u w:val="single"/>
        </w:rPr>
      </w:pPr>
      <w:r>
        <w:rPr>
          <w:noProof/>
        </w:rPr>
        <w:br w:type="page"/>
      </w:r>
    </w:p>
    <w:p>
      <w:pPr>
        <w:pStyle w:val="Annexetitreexpos"/>
        <w:rPr>
          <w:noProof/>
        </w:rPr>
      </w:pPr>
      <w:r>
        <w:rPr>
          <w:noProof/>
        </w:rPr>
        <w:t>Παράρτημα A</w:t>
      </w:r>
    </w:p>
    <w:p>
      <w:pPr>
        <w:rPr>
          <w:noProof/>
        </w:rPr>
      </w:pPr>
      <w:r>
        <w:rPr>
          <w:noProof/>
        </w:rPr>
        <w:t>Το προσάρτημα I της σύμβασης τροποποιείται ως εξής:</w:t>
      </w:r>
    </w:p>
    <w:p>
      <w:pPr>
        <w:pStyle w:val="Point0number"/>
        <w:numPr>
          <w:ilvl w:val="0"/>
          <w:numId w:val="1"/>
        </w:numPr>
        <w:rPr>
          <w:noProof/>
        </w:rPr>
      </w:pPr>
      <w:r>
        <w:rPr>
          <w:noProof/>
        </w:rPr>
        <w:t>Στο άρθρο 50, προστίθενται οι ακόλουθες παράγραφοι 3 και 4:</w:t>
      </w:r>
    </w:p>
    <w:p>
      <w:pPr>
        <w:pStyle w:val="Text1"/>
        <w:rPr>
          <w:noProof/>
        </w:rPr>
      </w:pPr>
      <w:r>
        <w:rPr>
          <w:noProof/>
        </w:rPr>
        <w:t>«3. Εάν η τελωνειακή αρχή χώρας που συμμετέχει σε πράξη κοινής διαμετακόμισης λάβει στοιχεία, πριν από την παρέλευση της προθεσμίας που αναφέρεται στο άρθρο 114 παράγραφος 2 στοιχείο α), που αποδεικνύουν ότι τα γεγονότα από τα οποία γεννάται η τελωνειακή οφειλή συνέβησαν στο έδαφός της, η εν λόγω αρχή αποστέλλει προς την τελωνειακή αρχή της χώρας αναχώρησης αμέσως και σε κάθε περίπτωση εντός της συγκεκριμένης προθεσμίας δεόντως αιτιολογημένο αίτημα μεταβίβασης της αρμοδιότητας εκκίνησης της διαδικασίας είσπραξης στην τελωνειακή αρχή που υποβάλλει το αίτημα.</w:t>
      </w:r>
    </w:p>
    <w:p>
      <w:pPr>
        <w:pStyle w:val="Text1"/>
        <w:rPr>
          <w:noProof/>
        </w:rPr>
      </w:pPr>
      <w:r>
        <w:rPr>
          <w:noProof/>
        </w:rPr>
        <w:t>4. Η τελωνειακή αρχή της χώρας αναχώρησης βεβαιώνει την παραλαβή του αιτήματος που υποβάλλεται σύμφωνα με την παράγραφο 3 και ενημερώνει την τελωνειακή αρχή που υποβάλλει το αίτημα, εντός 28 ημερών από την ημερομηνία αποστολής του αιτήματος, εάν συμφωνεί με την ικανοποίηση του αιτήματος και τη μεταβίβαση της αρμοδιότητας εκκίνησης της διαδικασίας είσπραξης στην αρχή που υποβάλλει το αίτημα.»</w:t>
      </w:r>
    </w:p>
    <w:p>
      <w:pPr>
        <w:pStyle w:val="Point0number"/>
        <w:numPr>
          <w:ilvl w:val="0"/>
          <w:numId w:val="1"/>
        </w:numPr>
        <w:rPr>
          <w:noProof/>
        </w:rPr>
      </w:pPr>
      <w:r>
        <w:rPr>
          <w:noProof/>
        </w:rPr>
        <w:t>Στο άρθρο 79:</w:t>
      </w:r>
    </w:p>
    <w:p>
      <w:pPr>
        <w:pStyle w:val="Point1"/>
        <w:rPr>
          <w:noProof/>
        </w:rPr>
      </w:pPr>
      <w:r>
        <w:rPr>
          <w:noProof/>
        </w:rPr>
        <w:t>α)</w:t>
      </w:r>
      <w:r>
        <w:rPr>
          <w:noProof/>
        </w:rPr>
        <w:tab/>
        <w:t>η παράγραφος 2 αντικαθίσταται από το ακόλουθο κείμενο:</w:t>
      </w:r>
    </w:p>
    <w:p>
      <w:pPr>
        <w:pStyle w:val="Text2"/>
        <w:rPr>
          <w:noProof/>
        </w:rPr>
      </w:pPr>
      <w:r>
        <w:rPr>
          <w:noProof/>
        </w:rPr>
        <w:t>«2. Η διάρκεια ισχύος του πιστοποιητικού συνολικής εγγύησης ή του πιστοποιητικού απαλλαγής από την υποχρέωση σύστασης εγγύησης δεν υπερβαίνει τα πέντε έτη. Ωστόσο, το τελωνείο εγγύησης έχει τη δυνατότητα να παρατείνει την εν λόγω χρονική περίοδο άπαξ κατά πέντε έτη το πολύ.»</w:t>
      </w:r>
    </w:p>
    <w:p>
      <w:pPr>
        <w:pStyle w:val="Point1"/>
        <w:rPr>
          <w:noProof/>
        </w:rPr>
      </w:pPr>
      <w:r>
        <w:rPr>
          <w:noProof/>
        </w:rPr>
        <w:t>β)</w:t>
      </w:r>
      <w:r>
        <w:rPr>
          <w:noProof/>
        </w:rPr>
        <w:tab/>
        <w:t>μετά την παράγραφο 2 προστίθενται οι παράγραφοι 3 και 4:</w:t>
      </w:r>
    </w:p>
    <w:p>
      <w:pPr>
        <w:pStyle w:val="Text2"/>
        <w:rPr>
          <w:noProof/>
        </w:rPr>
      </w:pPr>
      <w:r>
        <w:rPr>
          <w:noProof/>
        </w:rPr>
        <w:t xml:space="preserve">«3. Όταν, κατά τη διάρκεια ισχύος του πιστοποιητικού, το τελωνείο εγγύησης πληροφορείται ότι το πιστοποιητικό, ως αποτέλεσμα πολλαπλών αλλαγών, δεν είναι αρκετά ευανάγνωστο και μπορεί να απορριφθεί από το τελωνείο αναχώρησης, το τελωνείο εγγύησης ακυρώνει το πιστοποιητικό και εκδίδει νέο πιστοποιητικό, κατά περίπτωση. </w:t>
      </w:r>
    </w:p>
    <w:p>
      <w:pPr>
        <w:pStyle w:val="Text2"/>
        <w:rPr>
          <w:noProof/>
        </w:rPr>
      </w:pPr>
      <w:r>
        <w:rPr>
          <w:noProof/>
        </w:rPr>
        <w:t>4. Τα πιστοποιητικά με περίοδο ισχύος δύο ετών παραμένουν έγκυρα. Το τελωνείο εγγύησης έχει τη δυνατότητα να παρατείνει την περίοδο ισχύος τους άπαξ κατά πέντε έτη το πολύ.»</w:t>
      </w:r>
    </w:p>
    <w:p>
      <w:pPr>
        <w:pStyle w:val="Point0number"/>
        <w:numPr>
          <w:ilvl w:val="0"/>
          <w:numId w:val="1"/>
        </w:numPr>
        <w:rPr>
          <w:noProof/>
        </w:rPr>
      </w:pPr>
      <w:r>
        <w:rPr>
          <w:noProof/>
        </w:rPr>
        <w:t>Στο παράρτημα ΙΙ κεφάλαιο III, το σημείο 19.3 αντικαθίσταται από το ακόλουθο κείμενο:</w:t>
      </w:r>
    </w:p>
    <w:p>
      <w:pPr>
        <w:pStyle w:val="Text1"/>
        <w:rPr>
          <w:noProof/>
        </w:rPr>
      </w:pPr>
      <w:r>
        <w:rPr>
          <w:noProof/>
        </w:rPr>
        <w:t xml:space="preserve">«19.3 Η διάρκεια ισχύος του πιστοποιητικού συνολικής εγγύησης ή του πιστοποιητικού απαλλαγής από την υποχρέωση σύστασης εγγύησης δεν υπερβαίνει τα πέντε έτη. Ωστόσο, το τελωνείο εγγύησης έχει τη δυνατότητα να παρατείνει την εν λόγω χρονική περίοδο άπαξ κατά πέντε έτη το πολύ. </w:t>
      </w:r>
    </w:p>
    <w:p>
      <w:pPr>
        <w:pStyle w:val="Text1"/>
        <w:rPr>
          <w:noProof/>
        </w:rPr>
      </w:pPr>
      <w:r>
        <w:rPr>
          <w:noProof/>
        </w:rPr>
        <w:t xml:space="preserve">Όταν, κατά τη διάρκεια ισχύος του πιστοποιητικού, το τελωνείο εγγύησης πληροφορείται ότι το πιστοποιητικό, ως αποτέλεσμα πολλαπλών αλλαγών, δεν είναι αρκετά ευανάγνωστο και μπορεί να απορριφθεί από το τελωνείο αναχώρησης, το τελωνείο εγγύησης ακυρώνει το πιστοποιητικό και εκδίδει νέο πιστοποιητικό, κατά περίπτωση. </w:t>
      </w:r>
    </w:p>
    <w:p>
      <w:pPr>
        <w:pStyle w:val="Text1"/>
        <w:rPr>
          <w:noProof/>
        </w:rPr>
      </w:pPr>
      <w:r>
        <w:rPr>
          <w:noProof/>
        </w:rPr>
        <w:t>Τα πιστοποιητικά με περίοδο ισχύος δύο ετών παραμένουν έγκυρα. Το τελωνείο εγγύησης έχει τη δυνατότητα να παρατείνει την περίοδο ισχύος τους άπαξ κατά πέντε έτη το πολύ.»</w:t>
      </w:r>
    </w:p>
    <w:p>
      <w:pPr>
        <w:spacing w:before="0" w:after="200" w:line="276" w:lineRule="auto"/>
        <w:jc w:val="left"/>
        <w:rPr>
          <w:noProof/>
        </w:rPr>
      </w:pPr>
      <w:r>
        <w:rPr>
          <w:noProof/>
        </w:rPr>
        <w:br w:type="page"/>
      </w:r>
    </w:p>
    <w:p>
      <w:pPr>
        <w:pStyle w:val="Annexetitreexpos"/>
        <w:rPr>
          <w:noProof/>
        </w:rPr>
      </w:pPr>
      <w:r>
        <w:rPr>
          <w:noProof/>
        </w:rPr>
        <w:t>Παράρτημα B</w:t>
      </w:r>
    </w:p>
    <w:p>
      <w:pPr>
        <w:rPr>
          <w:noProof/>
        </w:rPr>
      </w:pPr>
      <w:r>
        <w:rPr>
          <w:noProof/>
        </w:rPr>
        <w:t>Το προσάρτημα III της σύμβασης τροποποιείται ως εξής:</w:t>
      </w:r>
    </w:p>
    <w:p>
      <w:pPr>
        <w:pStyle w:val="Point0"/>
        <w:rPr>
          <w:noProof/>
        </w:rPr>
      </w:pPr>
      <w:r>
        <w:rPr>
          <w:noProof/>
        </w:rPr>
        <w:t>(1)</w:t>
      </w:r>
      <w:r>
        <w:rPr>
          <w:noProof/>
        </w:rPr>
        <w:tab/>
        <w:t>Στο παράρτημα A1 τίτλος II κεφάλαιο II σημείο B «Πληροφοριακά στοιχεία τα οποία περιλαμβάνει η δήλωση διαμετακόμισης», εδάφιο «ΣΤΟΙΧΕΙΑ ΑΝΑΦΟΡΑΣ ΕΓΓΥΗΣΗΣ», το κείμενο «(κωδικός χώρας ISO άλφα 2)» στο «Περιεχόμενο» του πεδίου 2 αντικαθίσταται από το ακόλουθο κείμενο:</w:t>
      </w:r>
    </w:p>
    <w:p>
      <w:pPr>
        <w:pStyle w:val="Text1"/>
        <w:rPr>
          <w:noProof/>
        </w:rPr>
      </w:pPr>
      <w:r>
        <w:rPr>
          <w:noProof/>
        </w:rPr>
        <w:t>«(ο κωδικός χώρας παρατίθεται στο παράρτημα Α2)».</w:t>
      </w:r>
    </w:p>
    <w:p>
      <w:pPr>
        <w:pStyle w:val="Point0"/>
        <w:rPr>
          <w:noProof/>
        </w:rPr>
      </w:pPr>
      <w:r>
        <w:rPr>
          <w:noProof/>
        </w:rPr>
        <w:t>(2)</w:t>
      </w:r>
      <w:r>
        <w:rPr>
          <w:noProof/>
        </w:rPr>
        <w:tab/>
        <w:t>Στο παράρτημα A2 σημείο 1, προστίθεται η ακόλουθη πρόταση:</w:t>
      </w:r>
    </w:p>
    <w:p>
      <w:pPr>
        <w:pStyle w:val="Text1"/>
        <w:rPr>
          <w:noProof/>
        </w:rPr>
      </w:pPr>
      <w:r>
        <w:rPr>
          <w:noProof/>
        </w:rPr>
        <w:t>«Ο κωδικός χώρας XI χρησιμοποιείται για τη Βόρεια Ιρλανδία.».</w:t>
      </w:r>
    </w:p>
    <w:p>
      <w:pPr>
        <w:pStyle w:val="Point0"/>
        <w:rPr>
          <w:noProof/>
        </w:rPr>
      </w:pPr>
      <w:r>
        <w:rPr>
          <w:noProof/>
        </w:rPr>
        <w:t>(3)</w:t>
      </w:r>
      <w:r>
        <w:rPr>
          <w:noProof/>
        </w:rPr>
        <w:tab/>
        <w:t>Στο παράρτημα A4 σημείο 1, το κείμενο «(κωδικός χώρας ISO άλφα 2)» στο «Περιεχόμενο» του πεδίου 2 αντικαθίσταται από το ακόλουθο κείμενο:</w:t>
      </w:r>
    </w:p>
    <w:p>
      <w:pPr>
        <w:pStyle w:val="Text1"/>
        <w:rPr>
          <w:noProof/>
        </w:rPr>
      </w:pPr>
      <w:r>
        <w:rPr>
          <w:noProof/>
        </w:rPr>
        <w:t>«(ο κωδικός χώρας παρατίθεται στο παράρτημα Α2)».</w:t>
      </w:r>
    </w:p>
    <w:p>
      <w:pPr>
        <w:pStyle w:val="Point0"/>
        <w:rPr>
          <w:noProof/>
        </w:rPr>
      </w:pPr>
      <w:r>
        <w:rPr>
          <w:noProof/>
        </w:rPr>
        <w:t>(4)</w:t>
      </w:r>
      <w:r>
        <w:rPr>
          <w:noProof/>
        </w:rPr>
        <w:tab/>
        <w:t>Στο παράρτημα B1, η θέση 51 τροποποιείται ως εξής:</w:t>
      </w:r>
    </w:p>
    <w:p>
      <w:pPr>
        <w:pStyle w:val="Point1"/>
        <w:rPr>
          <w:noProof/>
        </w:rPr>
      </w:pPr>
      <w:r>
        <w:rPr>
          <w:noProof/>
        </w:rPr>
        <w:t>α)</w:t>
      </w:r>
      <w:r>
        <w:rPr>
          <w:noProof/>
        </w:rPr>
        <w:tab/>
        <w:t>η φράση «GB</w:t>
      </w:r>
      <w:r>
        <w:rPr>
          <w:noProof/>
        </w:rPr>
        <w:tab/>
        <w:t>Ηνωμένο Βασίλειο» αντικαθίσταται από το κείμενο:</w:t>
      </w:r>
    </w:p>
    <w:p>
      <w:pPr>
        <w:pStyle w:val="Text2"/>
        <w:rPr>
          <w:noProof/>
        </w:rPr>
      </w:pPr>
      <w:r>
        <w:rPr>
          <w:noProof/>
        </w:rPr>
        <w:t>«GB</w:t>
      </w:r>
      <w:r>
        <w:rPr>
          <w:noProof/>
        </w:rPr>
        <w:tab/>
        <w:t>Ηνωμένο Βασίλειο (πλην της Βόρειας Ιρλανδίας)»·</w:t>
      </w:r>
    </w:p>
    <w:p>
      <w:pPr>
        <w:pStyle w:val="Point1"/>
        <w:rPr>
          <w:noProof/>
        </w:rPr>
      </w:pPr>
      <w:r>
        <w:rPr>
          <w:noProof/>
        </w:rPr>
        <w:t>β)</w:t>
      </w:r>
      <w:r>
        <w:rPr>
          <w:noProof/>
        </w:rPr>
        <w:tab/>
        <w:t>το ακόλουθο σημείο προστίθεται στον πίνακα:</w:t>
      </w:r>
    </w:p>
    <w:p>
      <w:pPr>
        <w:pStyle w:val="Text2"/>
        <w:rPr>
          <w:noProof/>
        </w:rPr>
      </w:pPr>
      <w:r>
        <w:rPr>
          <w:noProof/>
        </w:rPr>
        <w:t>«XI</w:t>
      </w:r>
      <w:r>
        <w:rPr>
          <w:noProof/>
        </w:rPr>
        <w:tab/>
        <w:t>Βόρεια Ιρλανδία».</w:t>
      </w:r>
    </w:p>
    <w:p>
      <w:pPr>
        <w:pStyle w:val="Point0"/>
        <w:rPr>
          <w:noProof/>
        </w:rPr>
      </w:pPr>
      <w:r>
        <w:rPr>
          <w:noProof/>
        </w:rPr>
        <w:t>(5)</w:t>
      </w:r>
      <w:r>
        <w:rPr>
          <w:noProof/>
        </w:rPr>
        <w:tab/>
        <w:t>Στο παράρτημα Γ1, το σημείο 1 τροποποιείται ως εξής:</w:t>
      </w:r>
    </w:p>
    <w:p>
      <w:pPr>
        <w:pStyle w:val="Point1"/>
        <w:rPr>
          <w:noProof/>
        </w:rPr>
      </w:pPr>
      <w:r>
        <w:rPr>
          <w:noProof/>
        </w:rPr>
        <w:t>α)</w:t>
      </w:r>
      <w:r>
        <w:rPr>
          <w:noProof/>
        </w:rPr>
        <w:tab/>
        <w:t>η φράση «της πρώην Γιουγκοσλαβικής Δημοκρατίας της Μακεδονίας» αντικαθίσταται από τη φράση «της Δημοκρατίας της Βόρειας Μακεδονίας»·</w:t>
      </w:r>
    </w:p>
    <w:p>
      <w:pPr>
        <w:pStyle w:val="Point1"/>
        <w:rPr>
          <w:noProof/>
        </w:rPr>
      </w:pPr>
      <w:r>
        <w:rPr>
          <w:noProof/>
        </w:rPr>
        <w:t>β)</w:t>
      </w:r>
      <w:r>
        <w:rPr>
          <w:noProof/>
        </w:rPr>
        <w:tab/>
        <w:t>προστίθεται η τελική σημείωση 3α στη φράση «το Ηνωμένο Βασίλειο της Μεγάλης Βρετανίας και της Βόρειας Ιρλανδίας</w:t>
      </w:r>
      <w:r>
        <w:rPr>
          <w:noProof/>
          <w:vertAlign w:val="superscript"/>
        </w:rPr>
        <w:t>3</w:t>
      </w:r>
      <w:r>
        <w:rPr>
          <w:noProof/>
        </w:rPr>
        <w:t xml:space="preserve">», πριν από την τελική σημείωση 3, η οποία περιλαμβάνει το ακόλουθο κείμενο: </w:t>
      </w:r>
    </w:p>
    <w:p>
      <w:pPr>
        <w:pStyle w:val="Text2"/>
        <w:rPr>
          <w:noProof/>
        </w:rPr>
      </w:pPr>
      <w:r>
        <w:rPr>
          <w:noProof/>
        </w:rPr>
        <w:t>«</w:t>
      </w:r>
      <w:r>
        <w:rPr>
          <w:noProof/>
          <w:sz w:val="20"/>
        </w:rPr>
        <w:t xml:space="preserve">Σύμφωνα με το </w:t>
      </w:r>
      <w:r>
        <w:rPr>
          <w:i/>
          <w:noProof/>
          <w:sz w:val="20"/>
        </w:rPr>
        <w:t>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Pr>
          <w:noProof/>
          <w:sz w:val="20"/>
        </w:rPr>
        <w:t>, η Βόρεια Ιρλανδία θεωρείται μέρος της Ευρωπαϊκής Ένωσης για τους σκοπούς της παρούσας εγγύησης. Ως εκ τούτου, ο τριτεγγυητής που είναι εγκατεστημένος στο τελωνειακό έδαφος της Ευρωπαϊκής Ένωσης επιλέγει διεύθυνση κατοικίας ή ορίζει αντίκλητο στη Βόρεια Ιρλανδία, εάν η εγγύηση μπορεί να χρησιμοποιηθεί σε αυτήν. Ωστόσο εάν, στο πλαίσιο της κοινής διαμετακόμισης, γίνει δεκτή εγγύηση στην Ευρωπαϊκή Ένωση και στο Ηνωμένο Βασίλειο, μια μοναδική διεύθυνση κατοικίας ή ένας διορισμένος αντίκλητος στο Ηνωμένο Βασίλειο μπορεί να καλύπτει όλα τα μέρη του Ηνωμένου Βασιλείου, συμπεριλαμβανομένης της Βόρειας Ιρλανδίας.</w:t>
      </w:r>
      <w:r>
        <w:rPr>
          <w:noProof/>
        </w:rPr>
        <w:t>».</w:t>
      </w:r>
    </w:p>
    <w:p>
      <w:pPr>
        <w:pStyle w:val="Point0"/>
        <w:rPr>
          <w:noProof/>
        </w:rPr>
      </w:pPr>
      <w:r>
        <w:rPr>
          <w:noProof/>
        </w:rPr>
        <w:t>(6)</w:t>
      </w:r>
      <w:r>
        <w:rPr>
          <w:noProof/>
        </w:rPr>
        <w:tab/>
        <w:t>Στο παράρτημα Γ2, το σημείο 1 τροποποιείται ως εξής:</w:t>
      </w:r>
    </w:p>
    <w:p>
      <w:pPr>
        <w:pStyle w:val="Point1"/>
        <w:rPr>
          <w:noProof/>
        </w:rPr>
      </w:pPr>
      <w:r>
        <w:rPr>
          <w:noProof/>
        </w:rPr>
        <w:t>α)</w:t>
      </w:r>
      <w:r>
        <w:rPr>
          <w:noProof/>
        </w:rPr>
        <w:tab/>
        <w:t>η φράση «της πρώην Γιουγκοσλαβικής Δημοκρατίας της Μακεδονίας» αντικαθίσταται από τη φράση «της Δημοκρατίας της Βόρειας Μακεδονίας»·</w:t>
      </w:r>
    </w:p>
    <w:p>
      <w:pPr>
        <w:pStyle w:val="Point1"/>
        <w:rPr>
          <w:noProof/>
        </w:rPr>
      </w:pPr>
      <w:r>
        <w:rPr>
          <w:noProof/>
        </w:rPr>
        <w:t>β)</w:t>
      </w:r>
      <w:r>
        <w:rPr>
          <w:noProof/>
        </w:rPr>
        <w:tab/>
        <w:t xml:space="preserve">προστίθεται η τελική σημείωση 2α στη φράση «το Ηνωμένο Βασίλειο της Μεγάλης Βρετανίας και Βόρειας Ιρλανδίας», η οποία περιλαμβάνει το ακόλουθο κείμενο: </w:t>
      </w:r>
    </w:p>
    <w:p>
      <w:pPr>
        <w:pStyle w:val="Text2"/>
        <w:rPr>
          <w:noProof/>
        </w:rPr>
      </w:pPr>
      <w:r>
        <w:rPr>
          <w:noProof/>
        </w:rPr>
        <w:t>«</w:t>
      </w:r>
      <w:r>
        <w:rPr>
          <w:noProof/>
          <w:sz w:val="20"/>
        </w:rPr>
        <w:t xml:space="preserve">Σύμφωνα με το </w:t>
      </w:r>
      <w:r>
        <w:rPr>
          <w:i/>
          <w:noProof/>
          <w:sz w:val="20"/>
        </w:rPr>
        <w:t>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Pr>
          <w:noProof/>
          <w:sz w:val="20"/>
        </w:rPr>
        <w:t>, η Βόρεια Ιρλανδία θεωρείται μέρος της Ευρωπαϊκής Ένωσης για τους σκοπούς της παρούσας εγγύησης.</w:t>
      </w:r>
      <w:r>
        <w:rPr>
          <w:noProof/>
        </w:rPr>
        <w:t xml:space="preserve"> </w:t>
      </w:r>
      <w:r>
        <w:rPr>
          <w:noProof/>
          <w:sz w:val="20"/>
        </w:rPr>
        <w:t>Ως εκ τούτου, ο τριτεγγυητής που είναι εγκατεστημένος στο τελωνειακό έδαφος της Ευρωπαϊκής Ένωσης επιλέγει διεύθυνση κατοικίας ή ορίζει αντίκλητο στη Βόρεια Ιρλανδία, εάν η εγγύηση μπορεί να χρησιμοποιηθεί σε αυτήν. Ωστόσο εάν, στο πλαίσιο της κοινής διαμετακόμισης, γίνει δεκτή εγγύηση στην Ευρωπαϊκή Ένωση και στο Ηνωμένο Βασίλειο, μια μοναδική διεύθυνση κατοικίας ή ένας διορισμένος αντίκλητος στο Ηνωμένο Βασίλειο μπορεί να καλύπτει όλα τα μέρη του Ηνωμένου Βασιλείου, συμπεριλαμβανομένης της Βόρειας Ιρλανδίας.</w:t>
      </w:r>
      <w:r>
        <w:rPr>
          <w:noProof/>
        </w:rPr>
        <w:t>».</w:t>
      </w:r>
    </w:p>
    <w:p>
      <w:pPr>
        <w:pStyle w:val="Point0"/>
        <w:rPr>
          <w:noProof/>
        </w:rPr>
      </w:pPr>
      <w:r>
        <w:rPr>
          <w:noProof/>
        </w:rPr>
        <w:t>(7)</w:t>
      </w:r>
      <w:r>
        <w:rPr>
          <w:noProof/>
        </w:rPr>
        <w:tab/>
        <w:t>Στο παράρτημα Γ4, το σημείο 1 τροποποιείται ως εξής:</w:t>
      </w:r>
    </w:p>
    <w:p>
      <w:pPr>
        <w:pStyle w:val="Point1"/>
        <w:rPr>
          <w:noProof/>
        </w:rPr>
      </w:pPr>
      <w:r>
        <w:rPr>
          <w:noProof/>
        </w:rPr>
        <w:t>α)</w:t>
      </w:r>
      <w:r>
        <w:rPr>
          <w:noProof/>
        </w:rPr>
        <w:tab/>
        <w:t>η φράση «της πρώην Γιουγκοσλαβικής Δημοκρατίας της Μακεδονίας» αντικαθίσταται από τη φράση «της Δημοκρατίας της Βόρειας Μακεδονίας»·</w:t>
      </w:r>
    </w:p>
    <w:p>
      <w:pPr>
        <w:pStyle w:val="Point1"/>
        <w:rPr>
          <w:noProof/>
        </w:rPr>
      </w:pPr>
      <w:r>
        <w:rPr>
          <w:noProof/>
        </w:rPr>
        <w:t>β)</w:t>
      </w:r>
      <w:r>
        <w:rPr>
          <w:noProof/>
        </w:rPr>
        <w:tab/>
        <w:t>προστίθεται η τελική σημείωση 3α στη φράση «το Ηνωμένο Βασίλειο της Μεγάλης Βρετανίας και της Βόρειας Ιρλανδίας</w:t>
      </w:r>
      <w:r>
        <w:rPr>
          <w:noProof/>
          <w:vertAlign w:val="superscript"/>
        </w:rPr>
        <w:t>3</w:t>
      </w:r>
      <w:r>
        <w:rPr>
          <w:noProof/>
        </w:rPr>
        <w:t xml:space="preserve">», πριν από την τελική σημείωση 3, η οποία περιλαμβάνει το ακόλουθο κείμενο: </w:t>
      </w:r>
    </w:p>
    <w:p>
      <w:pPr>
        <w:pStyle w:val="Text2"/>
        <w:rPr>
          <w:noProof/>
        </w:rPr>
      </w:pPr>
      <w:r>
        <w:rPr>
          <w:noProof/>
        </w:rPr>
        <w:t>«</w:t>
      </w:r>
      <w:r>
        <w:rPr>
          <w:noProof/>
          <w:sz w:val="20"/>
        </w:rPr>
        <w:t xml:space="preserve">Σύμφωνα με το </w:t>
      </w:r>
      <w:r>
        <w:rPr>
          <w:i/>
          <w:noProof/>
          <w:sz w:val="20"/>
        </w:rPr>
        <w:t>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Pr>
          <w:noProof/>
          <w:sz w:val="20"/>
        </w:rPr>
        <w:t>, η Βόρεια Ιρλανδία θεωρείται μέρος της Ευρωπαϊκής Ένωσης για τους σκοπούς της παρούσας εγγύησης. Ως εκ τούτου, ο τριτεγγυητής που είναι εγκατεστημένος στο τελωνειακό έδαφος της Ευρωπαϊκής Ένωσης επιλέγει διεύθυνση κατοικίας ή ορίζει αντίκλητο στη Βόρεια Ιρλανδία, εάν η εγγύηση μπορεί να χρησιμοποιηθεί σε αυτήν. Ωστόσο εάν, στο πλαίσιο της κοινής διαμετακόμισης, γίνει δεκτή εγγύηση στην Ευρωπαϊκή Ένωση και στο Ηνωμένο Βασίλειο, μια μοναδική διεύθυνση κατοικίας ή ένας διορισμένος αντίκλητος στο Ηνωμένο Βασίλειο μπορεί να καλύπτει όλα τα μέρη του Ηνωμένου Βασιλείου, συμπεριλαμβανομένης της Βόρειας Ιρλανδίας.</w:t>
      </w:r>
      <w:r>
        <w:rPr>
          <w:noProof/>
        </w:rPr>
        <w:t>».</w:t>
      </w:r>
    </w:p>
    <w:p>
      <w:pPr>
        <w:pStyle w:val="Point0"/>
        <w:rPr>
          <w:noProof/>
        </w:rPr>
      </w:pPr>
      <w:r>
        <w:rPr>
          <w:noProof/>
        </w:rPr>
        <w:t>(8)</w:t>
      </w:r>
      <w:r>
        <w:rPr>
          <w:noProof/>
        </w:rPr>
        <w:tab/>
        <w:t xml:space="preserve">Στο παράρτημα Γ5, η σειρά 7 τροποποιείται ως εξής: </w:t>
      </w:r>
    </w:p>
    <w:p>
      <w:pPr>
        <w:pStyle w:val="Point1number"/>
        <w:numPr>
          <w:ilvl w:val="2"/>
          <w:numId w:val="12"/>
        </w:numPr>
        <w:rPr>
          <w:noProof/>
        </w:rPr>
      </w:pPr>
      <w:r>
        <w:rPr>
          <w:noProof/>
        </w:rPr>
        <w:t>προστίθεται η υποσημείωση (**) στη φράση «Ηνωμένο Βασίλειο», η οποία περιλαμβάνει το ακόλουθο κείμενο:</w:t>
      </w:r>
    </w:p>
    <w:p>
      <w:pPr>
        <w:pStyle w:val="Point1number"/>
        <w:numPr>
          <w:ilvl w:val="2"/>
          <w:numId w:val="12"/>
        </w:numPr>
        <w:rPr>
          <w:noProof/>
        </w:rPr>
      </w:pPr>
      <w:r>
        <w:rPr>
          <w:noProof/>
        </w:rPr>
        <w:t>«</w:t>
      </w:r>
      <w:r>
        <w:rPr>
          <w:noProof/>
          <w:sz w:val="20"/>
          <w:szCs w:val="20"/>
        </w:rPr>
        <w:t>(**) Σύμφωνα με το 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η Βόρεια Ιρλανδία θα πρέπει να θεωρείται μέρος της Ευρωπαϊκής Ένωσης για τους σκοπούς της παρούσας εγγύησης.</w:t>
      </w:r>
      <w:r>
        <w:rPr>
          <w:noProof/>
        </w:rPr>
        <w:t>»</w:t>
      </w:r>
      <w:r>
        <w:rPr>
          <w:noProof/>
          <w:sz w:val="20"/>
          <w:szCs w:val="20"/>
        </w:rPr>
        <w:t>.</w:t>
      </w:r>
    </w:p>
    <w:p>
      <w:pPr>
        <w:pStyle w:val="Point0"/>
        <w:rPr>
          <w:noProof/>
        </w:rPr>
      </w:pPr>
      <w:r>
        <w:rPr>
          <w:noProof/>
        </w:rPr>
        <w:t>(9)</w:t>
      </w:r>
      <w:r>
        <w:rPr>
          <w:noProof/>
        </w:rPr>
        <w:tab/>
        <w:t xml:space="preserve">Στο παράρτημα Γ6, η σειρά 6 τροποποιείται ως εξής: </w:t>
      </w:r>
    </w:p>
    <w:p>
      <w:pPr>
        <w:pStyle w:val="Point1"/>
        <w:rPr>
          <w:noProof/>
        </w:rPr>
      </w:pPr>
      <w:r>
        <w:rPr>
          <w:noProof/>
        </w:rPr>
        <w:t>(1)</w:t>
      </w:r>
      <w:r>
        <w:rPr>
          <w:noProof/>
        </w:rPr>
        <w:tab/>
        <w:t>προστίθεται η υποσημείωση (**) στη φράση «Ηνωμένο Βασίλειο», η οποία περιλαμβάνει το ακόλουθο κείμενο:</w:t>
      </w:r>
    </w:p>
    <w:p>
      <w:pPr>
        <w:pStyle w:val="Point1"/>
        <w:rPr>
          <w:noProof/>
        </w:rPr>
      </w:pPr>
      <w:r>
        <w:rPr>
          <w:noProof/>
        </w:rPr>
        <w:t>(2)</w:t>
      </w:r>
      <w:r>
        <w:rPr>
          <w:noProof/>
        </w:rPr>
        <w:tab/>
        <w:t>«(**)Σύμφωνα με το 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η Βόρεια Ιρλανδία θα πρέπει να θεωρείται μέρος της Ευρωπαϊκής Ένωσης για τους σκοπούς της παρούσας εγγύησης.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226 της 13.8.1987, σ. 2</w:t>
      </w:r>
    </w:p>
  </w:footnote>
  <w:footnote w:id="2">
    <w:p>
      <w:pPr>
        <w:pStyle w:val="FootnoteText"/>
      </w:pPr>
      <w:r>
        <w:rPr>
          <w:rStyle w:val="FootnoteReference"/>
        </w:rPr>
        <w:footnoteRef/>
      </w:r>
      <w:r>
        <w:tab/>
        <w:t>Εκτελεστικός κανονισμός (ΕΕ) 2015/2447 της Επιτροπής, της 24ης Νοεμβρίου 2015,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 (ΕΕ L 343 της 29.12.2015, σ. 558)</w:t>
      </w:r>
    </w:p>
  </w:footnote>
  <w:footnote w:id="3">
    <w:p>
      <w:pPr>
        <w:pStyle w:val="FootnoteText"/>
      </w:pPr>
      <w:r>
        <w:rPr>
          <w:rStyle w:val="FootnoteReference"/>
        </w:rPr>
        <w:footnoteRef/>
      </w:r>
      <w:r>
        <w:tab/>
        <w:t>Εκτελεστικός κανονισμός (ΕΕ) 2019/1394 της Επιτροπής, της 10ης Σεπτεμβρίου 2019, για την τροποποίηση και διόρθωση του εκτελεστικού κανονισμού (ΕΕ) 2015/2447 σχετικά με ορισμένους κανόνες για την επιτήρηση για θέση σε ελεύθερη κυκλοφορία και την έξοδο από το τελωνειακό έδαφος της Ένωσης (ΕΕ L 234 της 11.9.2019, σ. 1)</w:t>
      </w:r>
    </w:p>
  </w:footnote>
  <w:footnote w:id="4">
    <w:p>
      <w:pPr>
        <w:pStyle w:val="FootnoteText"/>
      </w:pPr>
      <w:r>
        <w:rPr>
          <w:rStyle w:val="FootnoteReference"/>
        </w:rPr>
        <w:footnoteRef/>
      </w:r>
      <w:r>
        <w:tab/>
        <w:t>Εκτελεστικός κανονισμός (ΕΕ) 2020/893 της Επιτροπής. της 29ης Ιουνίου 2020. για την τροποποίηση του εκτελεστικού κανονισμού (ΕΕ) 2015/2447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 (ΕΕ L 206 της 30.6.2020, σ. 8)</w:t>
      </w:r>
    </w:p>
  </w:footnote>
  <w:footnote w:id="5">
    <w:p>
      <w:pPr>
        <w:pStyle w:val="FootnoteText"/>
      </w:pPr>
      <w:r>
        <w:rPr>
          <w:rStyle w:val="FootnoteReference"/>
        </w:rPr>
        <w:footnoteRef/>
      </w:r>
      <w:r>
        <w:tab/>
        <w:t>ΕΕ L 317 της 14.12.2018, σ. 48</w:t>
      </w:r>
    </w:p>
  </w:footnote>
  <w:footnote w:id="6">
    <w:p>
      <w:pPr>
        <w:pStyle w:val="FootnoteText"/>
      </w:pPr>
      <w:r>
        <w:rPr>
          <w:rStyle w:val="FootnoteReference"/>
        </w:rPr>
        <w:footnoteRef/>
      </w:r>
      <w:r>
        <w:tab/>
        <w:t>Πρωτόκολλο για τις Ιρλανδία/Βόρεια Ιρλανδία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L 29 της 31.1.2020, σ. 102</w:t>
      </w:r>
    </w:p>
  </w:footnote>
  <w:footnote w:id="7">
    <w:p>
      <w:pPr>
        <w:pStyle w:val="FootnoteText"/>
      </w:pPr>
      <w:r>
        <w:rPr>
          <w:rStyle w:val="FootnoteReference"/>
        </w:rPr>
        <w:footnoteRef/>
      </w:r>
      <w:r>
        <w:tab/>
        <w:t>Κανονισμός (ΕΚ) αριθ. 471/2009 του Ευρωπαϊκού Κοινοβουλίου και του Συμβουλίου, της 6ης Μαΐου 2009, για τις κοινοτικές στατιστικές του εξωτερικού εμπορίου με τις τρίτες χώρες και για την κατάργηση του κανονισμού (ΕΚ) αριθ. 1172/95 του Συμβουλίου (ΕΕ L 152 της 16.6.2009, σ. 23)</w:t>
      </w:r>
    </w:p>
  </w:footnote>
  <w:footnote w:id="8">
    <w:p>
      <w:pPr>
        <w:pStyle w:val="FootnoteText"/>
      </w:pPr>
      <w:r>
        <w:rPr>
          <w:rStyle w:val="FootnoteReference"/>
        </w:rPr>
        <w:footnoteRef/>
      </w:r>
      <w:r>
        <w:tab/>
        <w:t>Εκτελεστικός κανονισμός (ΕΕ) 2020/1470 της Επιτροπής, της 12ης Οκτωβρίου 2020, σχετικά με την ονοματολογία των χωρών και εδαφών για τις ευρωπαϊκές στατιστικές σχετικά με το διεθνές εμπόριο αγαθών και τη γεωγραφική κατανομή για άλλες στατιστικές για τις επιχειρήσεις (ΕΕ L 334 της 13.10.2020, σ. 2)</w:t>
      </w:r>
    </w:p>
  </w:footnote>
  <w:footnote w:id="9">
    <w:p>
      <w:pPr>
        <w:pStyle w:val="FootnoteText"/>
      </w:pPr>
      <w:r>
        <w:rPr>
          <w:rStyle w:val="FootnoteReference"/>
        </w:rPr>
        <w:footnoteRef/>
      </w:r>
      <w:r>
        <w:tab/>
        <w:t>ΕΕ L 103 της 3.4.2020, σ.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EAAA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3EB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7AA7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3E2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A866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3665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EC0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36F4A9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oNotTrackMove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1-01-12 10:27: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E9FC7E2B-870D-4E7B-960D-E0FE80FB2E3E"/>
    <w:docVar w:name="LW_COVERPAGE_TYPE" w:val="1"/>
    <w:docVar w:name="LW_CROSSREFERENCE" w:val="&lt;UNUSED&gt;"/>
    <w:docVar w:name="LW_DocType" w:val="ANNEX"/>
    <w:docVar w:name="LW_EMISSION" w:val="13.1.2021"/>
    <w:docVar w:name="LW_EMISSION_ISODATE" w:val="2021-01-13"/>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Font=Calibri Greek&gt;\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17?\u917?-\u935?\u922?\u916? \u960?\u959?\u965? \u941?\u967?\u949?\u953? \u963?\u965?\u963?\u964?\u945?\u952?\u949?\u943? \u948?\u965?\u957?\u940?\u956?\u949?\u953? \u964?\u951?\u962? \u963?\u973?\u956?\u946?\u945?\u963?\u951?\u962?, \u964?\u951?\u962? 20\u942?\u962? \u924?\u945?\u912?\u959?\u965? 1987, \u960?\u949?\u961?\u943? \u954?\u959?\u953?\u957?\u959?\u973? \u954?\u945?\u952?\u949?\u963?\u964?\u974?\u964?\u959?\u962? \u948?\u953?\u945?\u956?\u949?\u964?\u945?\u954?\u972?\u956?\u953?\u963?\u951?\u962?, \u972?\u963?\u959?\u957? \u945?\u966?\u959?\u961?\u940? \u964?\u961?\u959?\u960?\u959?\u960?\u959?\u953?\u942?\u963?\u949?\u953?\u962? \u964?\u951?\u962? \u949?\u957? \u955?\u972?\u947?\u969? \u963?\u973?\u956?\u946?\u945?\u963?\u951?\u962?&lt;/FMT&gt;"/>
    <w:docVar w:name="LW_OBJETACTEPRINCIPAL.CP" w:val="&lt;FMT:Font=Calibri Greek&gt;\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17?\u917?-\u935?\u922?\u916? \u960?\u959?\u965? \u941?\u967?\u949?\u953? \u963?\u965?\u963?\u964?\u945?\u952?\u949?\u943? \u948?\u965?\u957?\u940?\u956?\u949?\u953? \u964?\u951?\u962? \u963?\u973?\u956?\u946?\u945?\u963?\u951?\u962?, \u964?\u951?\u962? 20\u942?\u962? \u924?\u945?\u912?\u959?\u965? 1987, \u960?\u949?\u961?\u943? \u954?\u959?\u953?\u957?\u959?\u973? \u954?\u945?\u952?\u949?\u963?\u964?\u974?\u964?\u959?\u962? \u948?\u953?\u945?\u956?\u949?\u964?\u945?\u954?\u972?\u956?\u953?\u963?\u951?\u962?, \u972?\u963?\u959?\u957? \u945?\u966?\u959?\u961?\u940? \u964?\u961?\u959?\u960?\u959?\u960?\u959?\u953?\u942?\u963?\u949?\u953?\u962? \u964?\u951?\u962? \u949?\u957? \u955?\u972?\u947?\u969? \u963?\u973?\u956?\u946?\u945?\u963?\u951?\u962?&lt;/FMT&gt;"/>
    <w:docVar w:name="LW_PART_NBR" w:val="1"/>
    <w:docVar w:name="LW_PART_NBR_TOTAL" w:val="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45?\u960?\u972?\u966?\u945?\u963?\u951?\u962? \u964?\u959?\u965? \u931?\u965?\u956?\u946?\u959?\u965?\u955?\u943?\u959?\u965?"/>
    <w:docVar w:name="LW_TYPEACTEPRINCIPAL.CP" w:val="\u928?\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l-GR"/>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39BFBE-CEF4-4C6B-8F6B-8E2B0FF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2093</Words>
  <Characters>11957</Characters>
  <Application>Microsoft Office Word</Application>
  <DocSecurity>0</DocSecurity>
  <Lines>229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Ann (TAXUD)</dc:creator>
  <cp:keywords/>
  <dc:description/>
  <cp:lastModifiedBy>WES PDFC Administrator</cp:lastModifiedBy>
  <cp:revision>9</cp:revision>
  <cp:lastPrinted>2020-12-07T09:13:00Z</cp:lastPrinted>
  <dcterms:created xsi:type="dcterms:W3CDTF">2021-01-05T14:59:00Z</dcterms:created>
  <dcterms:modified xsi:type="dcterms:W3CDTF">2021-01-12T09:27:00Z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