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F6DE111-B676-4D4B-9427-13BEDFEE77F5"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rPr>
          <w:rFonts w:eastAsia="Calibri"/>
          <w:noProof/>
        </w:rPr>
      </w:pPr>
      <w:r>
        <w:rPr>
          <w:noProof/>
        </w:rPr>
        <w:t>На 1 февруари 2020 г. Обединеното кралство Великобритания и Северна Ирландия (наричано по-нататък „Обединеното кралство“) напусна Европейския съюз (ЕС) и Европейската общност за атомна енергия (Евратом) — наричани по-нататък заедно „Съюзът“. Споразумението за оттегляне</w:t>
      </w:r>
      <w:r>
        <w:rPr>
          <w:rStyle w:val="FootnoteReference0"/>
          <w:rFonts w:eastAsia="Calibri"/>
          <w:noProof/>
        </w:rPr>
        <w:footnoteReference w:id="1"/>
      </w:r>
      <w:r>
        <w:rPr>
          <w:noProof/>
        </w:rPr>
        <w:t xml:space="preserve">, сключено между Съюза и Обединеното кралство, влезе в сила на тази дата, като с него се гарантира организираното оттегляне на Обединеното кралство и се осигурява правна сигурност във важни области, включително правата на гражданите, финансовото споразумение и избягването на твърда граница на остров Ирландия. </w:t>
      </w:r>
    </w:p>
    <w:p>
      <w:pPr>
        <w:pBdr>
          <w:top w:val="nil"/>
          <w:left w:val="nil"/>
          <w:bottom w:val="nil"/>
          <w:right w:val="nil"/>
          <w:between w:val="nil"/>
          <w:bar w:val="nil"/>
        </w:pBdr>
        <w:rPr>
          <w:noProof/>
          <w:szCs w:val="24"/>
        </w:rPr>
      </w:pPr>
      <w:r>
        <w:rPr>
          <w:noProof/>
        </w:rPr>
        <w:t>Съгласно Споразумението за оттегляне беше договорен преходен период, който следва да продължи до 31 декември 2020 г. и с който се гарантира поддържане — както в ЕС, така и в Обединеното кралство, на обичайните условия за гражданите, потребителите, предприятията, инвеститорите, студентите, изследователите и др. ЕС и Обединеното кралство се споразумяха за нова рамка на отношения въз основа на Политическата декларация, договорена между ЕС и Обединеното кралство</w:t>
      </w:r>
      <w:r>
        <w:rPr>
          <w:rStyle w:val="FootnoteReference0"/>
          <w:rFonts w:eastAsia="Calibri"/>
          <w:noProof/>
        </w:rPr>
        <w:footnoteReference w:id="2"/>
      </w:r>
      <w:r>
        <w:rPr>
          <w:noProof/>
        </w:rPr>
        <w:t xml:space="preserve">. </w:t>
      </w:r>
    </w:p>
    <w:p>
      <w:pPr>
        <w:pBdr>
          <w:top w:val="nil"/>
          <w:left w:val="nil"/>
          <w:bottom w:val="nil"/>
          <w:right w:val="nil"/>
          <w:between w:val="nil"/>
          <w:bar w:val="nil"/>
        </w:pBdr>
        <w:rPr>
          <w:noProof/>
          <w:szCs w:val="24"/>
        </w:rPr>
      </w:pPr>
      <w:r>
        <w:rPr>
          <w:noProof/>
        </w:rPr>
        <w:t xml:space="preserve">Независимо от вида на евентуалното бъдещо споразумение фактът, че от края на преходния период Обединеното кралство няма да участва в политиките на Съюза, ще породи несъществували досега пречки пред търговията със стоки и услуги и пред трансграничните мобилност и обмен. Това ще се случи и в двете посоки, т.е. от Обединеното кралство към Съюза, както и от Съюза към Обединеното кралство. </w:t>
      </w:r>
    </w:p>
    <w:p>
      <w:pPr>
        <w:pBdr>
          <w:top w:val="nil"/>
          <w:left w:val="nil"/>
          <w:bottom w:val="nil"/>
          <w:right w:val="nil"/>
          <w:between w:val="nil"/>
          <w:bar w:val="nil"/>
        </w:pBdr>
        <w:rPr>
          <w:rFonts w:eastAsia="Calibri"/>
          <w:noProof/>
          <w:szCs w:val="24"/>
        </w:rPr>
      </w:pPr>
      <w:r>
        <w:rPr>
          <w:noProof/>
        </w:rPr>
        <w:t xml:space="preserve">Заради десетилетията тясно партньорство в ЕС съществува важна икономическа, търговска и социална взаимна зависимост между Обединеното кралство, от една страна, и държавите — членки на ЕС, от друга. Затова, въпреки въведените както от Комисията, така и от държавите членки мерки за готовност, в края на преходния периоди много икономически сектори и предприятия, особено дружествата със значителна експозиция към Обединеното кралство, ще се изправят пред трудности вследствие на загубата на улеснен достъп до неговите пазари или ще бъдат засегнати по друг начин от усложнените търговски и икономически отношения. Това може да доведе до загуба на работни места. На така очертания фон е възможно държавите членки да решат да предприемат мерки за противодействие на неблагоприятните последици, като въведат специални схеми за подпомагане на засегнатите региони и предприятия с цел управление на промените или като въведат мерки, допринасящи за запазването на равнищата на заетост. Един от секторите, които ще бъдат засегнати най-силно, е рибарството поради произтичащите ограничения върху риболовните дейности. </w:t>
      </w:r>
    </w:p>
    <w:p>
      <w:pPr>
        <w:pBdr>
          <w:top w:val="nil"/>
          <w:left w:val="nil"/>
          <w:bottom w:val="nil"/>
          <w:right w:val="nil"/>
          <w:between w:val="nil"/>
          <w:bar w:val="nil"/>
        </w:pBdr>
        <w:rPr>
          <w:rFonts w:eastAsia="Calibri"/>
          <w:noProof/>
        </w:rPr>
      </w:pPr>
      <w:r>
        <w:rPr>
          <w:noProof/>
        </w:rPr>
        <w:t xml:space="preserve">Освен това публичните администрации на държавите членки също са засегнати, тъй като трябваше да изградят допълнителни съоръжения и инфраструктури и да наемат допълнителен персонал. Така например в областта на митниците и косвеното данъчно облагане някои национални администрации вложиха значителни инвестиции в инфраструктура и човешки ресурси, главно в държавите членки, които се явяват </w:t>
      </w:r>
      <w:r>
        <w:rPr>
          <w:noProof/>
        </w:rPr>
        <w:lastRenderedPageBreak/>
        <w:t xml:space="preserve">основните входни и изходни пунктове за търговията на Европейския съюз с Обединеното кралство. Във връзка със санитарния и фитосанитарния контрол държавите членки трябваше да създадат нови гранични инспекционни пунктове или да разширят съществуващи такива на входните пунктове за внос от Обединеното кралство в ЕС. Възможно е да се наложи държавите членки да въведат мерки за контрол в морето и на пристанищата с цел допълнително наблюдение и инспекции. Администрациите на държавите членки трябваше да приспособят правилата за издаване на сертификати и разрешителни за продукти, за изисквания за установяване, за етикетиране и маркиране, както и да предвидят и актуализират специални мерки за повишаване на осведомеността относно последиците от оттеглянето за гражданите и предприятията. </w:t>
      </w:r>
    </w:p>
    <w:p>
      <w:pPr>
        <w:pBdr>
          <w:top w:val="nil"/>
          <w:left w:val="nil"/>
          <w:bottom w:val="nil"/>
          <w:right w:val="nil"/>
          <w:between w:val="nil"/>
          <w:bar w:val="nil"/>
        </w:pBdr>
        <w:rPr>
          <w:rFonts w:eastAsia="Calibri"/>
          <w:noProof/>
        </w:rPr>
      </w:pPr>
      <w:r>
        <w:rPr>
          <w:noProof/>
        </w:rPr>
        <w:t xml:space="preserve">От провеждането на референдума в Обединеното кралство през 2016 г. досега държавите членки и ЕС активно се подготвят в политическо и икономическо отношение за оттеглянето. Те въведоха мерки за готовност, отчитащи възможното въздействие от оттеглянето на Обединеното кралство от Съюза върху всички засегнати заинтересовани страни. Комисията многократно прикани всички участници да предприемат необходимите мерки за избягване или намаляване на евентуалните последици. Въпреки вече предприетите или планираните мерки оттеглянето на Обединеното кралство от Съюза е безпрецедентна ситуация за всички държави членки, изискваща специални, целенасочени и бързи действия. Редно е да се предположи, че заради изключително тесните икономически и търговски връзки с държавите членки, развити през 47-годишното членство на Обединеното кралство в ЕС, някои държави членки, региони и сектори ще бъдат по-силно засегнати от оттеглянето и се очаква да претърпят икономически и финансови загуби, които все още не може да бъдат определени количествено. Вероятно тези допълнителни действия ще се отразят значително върху публичните разходи, особено в краткосрочен план и в най-силно засегнатите държави членки и региони, което води до спешна нужда от допълнително публично финансиране с цел компенсиране на тези последици, особено през първите години след оттеглянето. </w:t>
      </w:r>
    </w:p>
    <w:p>
      <w:pPr>
        <w:pBdr>
          <w:top w:val="nil"/>
          <w:left w:val="nil"/>
          <w:bottom w:val="nil"/>
          <w:right w:val="nil"/>
          <w:between w:val="nil"/>
          <w:bar w:val="nil"/>
        </w:pBdr>
        <w:rPr>
          <w:rFonts w:eastAsia="Calibri"/>
          <w:noProof/>
        </w:rPr>
      </w:pPr>
      <w:r>
        <w:rPr>
          <w:noProof/>
        </w:rPr>
        <w:t>Затова в заключенията на Европейския съвет, приети на неговото извънредно заседание от 17—21 юли 2020 г., се предвижда създаването на нов специалeн резерв за приспособяване във връзка с последиците от Брексит („резерва“) в рамките на специалните инструменти извън бюджетния таван на ЕС от многогодишната финансова рамка „с цел противодействие на непредвидени и неблагоприятни последици в най-силно засегнатите от Брексит държави членки и сектори“</w:t>
      </w:r>
      <w:r>
        <w:rPr>
          <w:rStyle w:val="FootnoteReference0"/>
          <w:rFonts w:eastAsia="Calibri"/>
          <w:noProof/>
        </w:rPr>
        <w:footnoteReference w:id="3"/>
      </w:r>
      <w:r>
        <w:rPr>
          <w:noProof/>
        </w:rPr>
        <w:t>. Европейският съвет прикани Комисията да представи предложение.</w:t>
      </w:r>
    </w:p>
    <w:p>
      <w:pPr>
        <w:pBdr>
          <w:top w:val="nil"/>
          <w:left w:val="nil"/>
          <w:bottom w:val="nil"/>
          <w:right w:val="nil"/>
          <w:between w:val="nil"/>
          <w:bar w:val="nil"/>
        </w:pBdr>
        <w:rPr>
          <w:rFonts w:eastAsia="Arial Unicode MS"/>
          <w:noProof/>
        </w:rPr>
      </w:pPr>
      <w:r>
        <w:rPr>
          <w:noProof/>
        </w:rPr>
        <w:t>Чрез резерва, създаден съгласно настоящия регламент, ще се оказва подкрепа на държавите членки, регионите и секторите, по-специално на най-силно засегнатите от неблагоприятните последици от оттеглянето на Обединеното кралство от Съюза, с което да се смекчи въздействието му върху икономическото, социалното и териториалното сближаване. С резерва ще бъде предоставена финансова подкрепа за покриване на всички или част от допълнителните публични разходи, направени от държавите членки за мерки, пряко свързани с оттеглянето, особено от държавите, които разчитат в най-голяма степен на търговските и икономически връзки с Обединеното кралство. С резерва се допълват други съществуващи инструменти по линия на инструмента Next Generation EU и следващия дългосрочен бюджет на ЕС.</w:t>
      </w:r>
    </w:p>
    <w:p>
      <w:pPr>
        <w:pStyle w:val="ManualHeading2"/>
        <w:rPr>
          <w:rFonts w:eastAsia="Arial Unicode MS"/>
          <w:noProof/>
          <w:color w:val="000000"/>
          <w:u w:color="000000"/>
          <w:bdr w:val="nil"/>
        </w:rPr>
      </w:pPr>
      <w:r>
        <w:rPr>
          <w:noProof/>
          <w:color w:val="000000"/>
          <w:u w:color="000000"/>
          <w:bdr w:val="nil"/>
        </w:rPr>
        <w:lastRenderedPageBreak/>
        <w:t>•</w:t>
      </w:r>
      <w:r>
        <w:rPr>
          <w:noProof/>
        </w:rPr>
        <w:tab/>
        <w:t>Съгласуваност с действащите разпоредби в тази област на политиката и с други политики на ЕС</w:t>
      </w:r>
    </w:p>
    <w:p>
      <w:pPr>
        <w:pBdr>
          <w:top w:val="nil"/>
          <w:left w:val="nil"/>
          <w:bottom w:val="nil"/>
          <w:right w:val="nil"/>
          <w:between w:val="nil"/>
          <w:bar w:val="nil"/>
        </w:pBdr>
        <w:rPr>
          <w:rFonts w:eastAsia="Arial Unicode MS"/>
          <w:noProof/>
        </w:rPr>
      </w:pPr>
      <w:r>
        <w:rPr>
          <w:noProof/>
        </w:rPr>
        <w:t>Резервът ще има допълващ характер и ще бъде в полезно взаимодействие с други инструменти за финансиране и програми на Съюза. С многогодишната финансова рамка за периода 2021—2027 година, инструмента NextGenerationEU и съпътстващите програми, включително Помощ за възстановяване в полза на сближаването и териториите на Европа (REACT-EU) по линия на структурните и кохезионните фондове, фондовете в областта на политиката на сближаване след 2020 г., Фонда за справедлив преход,  Механизма за възстановяване и устойчивост, както и с фонда InvestEU ще се акцентира по-силно върху преодоляването на последиците от извънредното положение, причинено от COVID-19, и ще се осигури подкрепа за подобряване на гъвкавостта, устойчивостта и подготвеността за бъдещето на икономиките на държавите членки. Ресурсите от резерва ще бъдат съсредоточени конкретно и изключително върху преките последици от извънредното и безпрецедентно оттегляне на Обединеното кралство от Съюза с цел намаляване на последиците от гледна точка на териториалното сближаване.</w:t>
      </w:r>
    </w:p>
    <w:p>
      <w:pPr>
        <w:pBdr>
          <w:top w:val="nil"/>
          <w:left w:val="nil"/>
          <w:bottom w:val="nil"/>
          <w:right w:val="nil"/>
          <w:between w:val="nil"/>
          <w:bar w:val="nil"/>
        </w:pBdr>
        <w:rPr>
          <w:rFonts w:eastAsia="Arial Unicode MS"/>
          <w:noProof/>
        </w:rPr>
      </w:pPr>
      <w:r>
        <w:rPr>
          <w:noProof/>
        </w:rPr>
        <w:t>Наред с това в основата на предложения инструмент е залегнал дългогодишният опит от работата по фонд „Солидарност“ на Европейския съюз</w:t>
      </w:r>
      <w:r>
        <w:rPr>
          <w:rStyle w:val="FootnoteReference0"/>
          <w:rFonts w:eastAsia="Arial Unicode MS"/>
          <w:noProof/>
        </w:rPr>
        <w:footnoteReference w:id="4"/>
      </w:r>
      <w:r>
        <w:rPr>
          <w:noProof/>
        </w:rPr>
        <w:t>.</w:t>
      </w:r>
    </w:p>
    <w:p>
      <w:pPr>
        <w:pBdr>
          <w:top w:val="nil"/>
          <w:left w:val="nil"/>
          <w:bottom w:val="nil"/>
          <w:right w:val="nil"/>
          <w:between w:val="nil"/>
          <w:bar w:val="nil"/>
        </w:pBdr>
        <w:rPr>
          <w:rFonts w:eastAsia="Arial Unicode MS"/>
          <w:noProof/>
        </w:rPr>
      </w:pPr>
      <w:r>
        <w:rPr>
          <w:noProof/>
        </w:rPr>
        <w:t>Понастоящем не съществува инструмент за оказване на финансова подкрепа на държавите членки, конкретно и пряко свързан с икономическите и социалните последици от оттеглянето на Обединеното кралство от Съюза.</w:t>
      </w:r>
    </w:p>
    <w:p>
      <w:pPr>
        <w:pBdr>
          <w:top w:val="nil"/>
          <w:left w:val="nil"/>
          <w:bottom w:val="nil"/>
          <w:right w:val="nil"/>
          <w:between w:val="nil"/>
          <w:bar w:val="nil"/>
        </w:pBdr>
        <w:rPr>
          <w:rFonts w:eastAsia="Arial Unicode MS"/>
          <w:noProof/>
        </w:rPr>
      </w:pPr>
      <w:r>
        <w:rPr>
          <w:noProof/>
        </w:rPr>
        <w:t>Предложението е част от подготовката за настъпването на края на преходния период между Обединеното кралство и Съюза. То надгражда и допълва постигнатото от институциите на ЕС и държавите членки във връзка с мерките за готовност, предприети по линия на съответните политики на Съюза по време на преговорите по член 50 от ДЕС, и усилията на Комисията да допринесе за обезпечаването на готовност на националните администрации на държавите членки за края на преходния период. В неговата структура е отразена безпрецедентната ситуация за държавите членки, нейният извънреден характер и необходимостта те да реагират бързо и гъвкаво на възникващите предизвикателства пред своите икономики.</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rPr>
        <w:tab/>
      </w:r>
      <w:r>
        <w:rPr>
          <w:noProof/>
          <w:u w:color="000000"/>
          <w:bdr w:val="nil"/>
        </w:rPr>
        <w:t>Правно основание</w:t>
      </w:r>
    </w:p>
    <w:p>
      <w:pPr>
        <w:pBdr>
          <w:top w:val="nil"/>
          <w:left w:val="nil"/>
          <w:bottom w:val="nil"/>
          <w:right w:val="nil"/>
          <w:between w:val="nil"/>
          <w:bar w:val="nil"/>
        </w:pBdr>
        <w:rPr>
          <w:rFonts w:eastAsia="Calibri"/>
          <w:noProof/>
        </w:rPr>
      </w:pPr>
      <w:r>
        <w:rPr>
          <w:noProof/>
        </w:rPr>
        <w:t>Настоящото предложение се основава на членове 175 и 322 от Договора за функционирането на Европейския съюз (ДФЕС).</w:t>
      </w:r>
    </w:p>
    <w:p>
      <w:pPr>
        <w:pBdr>
          <w:top w:val="nil"/>
          <w:left w:val="nil"/>
          <w:bottom w:val="nil"/>
          <w:right w:val="nil"/>
          <w:between w:val="nil"/>
          <w:bar w:val="nil"/>
        </w:pBdr>
        <w:rPr>
          <w:rFonts w:eastAsia="Calibri"/>
          <w:noProof/>
        </w:rPr>
      </w:pPr>
      <w:r>
        <w:rPr>
          <w:noProof/>
        </w:rPr>
        <w:t>В член 174 от ДФЕС се предвижда, че за да насърчи цялостното си хармонично развитие, Съюзът разработва и осъществява свои инициативи, които водят до укрепването на неговото икономическо, социално и териториално сближаване.</w:t>
      </w:r>
    </w:p>
    <w:p>
      <w:pPr>
        <w:pBdr>
          <w:top w:val="nil"/>
          <w:left w:val="nil"/>
          <w:bottom w:val="nil"/>
          <w:right w:val="nil"/>
          <w:between w:val="nil"/>
          <w:bar w:val="nil"/>
        </w:pBdr>
        <w:rPr>
          <w:rFonts w:eastAsia="Calibri"/>
          <w:noProof/>
        </w:rPr>
      </w:pPr>
      <w:r>
        <w:rPr>
          <w:noProof/>
        </w:rPr>
        <w:t xml:space="preserve">Правото да преследва тази цел е заложено в член 175, трета алинея от ДФЕС, в който се определя, че ако се окажат необходими специфични действия извън рамките на тези фондове, и без да се накърняват мерките, за които е взето решение в рамките на друга политика на Съюза, тези действия могат да бъдат одобрени от Европейския парламент </w:t>
      </w:r>
      <w:r>
        <w:rPr>
          <w:noProof/>
        </w:rPr>
        <w:lastRenderedPageBreak/>
        <w:t xml:space="preserve">и Съвета в съответствие с обикновената законодателна процедура и след консултация с Икономическия и социален комитет и с Комитета на регионите. </w:t>
      </w:r>
    </w:p>
    <w:p>
      <w:pPr>
        <w:pBdr>
          <w:top w:val="nil"/>
          <w:left w:val="nil"/>
          <w:bottom w:val="nil"/>
          <w:right w:val="nil"/>
          <w:between w:val="nil"/>
          <w:bar w:val="nil"/>
        </w:pBdr>
        <w:rPr>
          <w:rFonts w:eastAsia="Calibri"/>
          <w:noProof/>
        </w:rPr>
      </w:pPr>
      <w:r>
        <w:rPr>
          <w:noProof/>
        </w:rPr>
        <w:t>В съответствие с член 175, трета алинея от ДФЕС в предложението се предвижда резервът да има за цел засилване на икономическото, социалното и териториалното сближаване чрез осигуряване на финансова подкрепа за най-силно засегнатите държави членки, региони и сектори с цел преодоляване на неблагоприятните последици от оттеглянето на Обединеното кралство от Съюза, с което да се гарантира солидарност в ЕС и укрепване на устойчивостта.</w:t>
      </w:r>
    </w:p>
    <w:p>
      <w:pPr>
        <w:pBdr>
          <w:top w:val="nil"/>
          <w:left w:val="nil"/>
          <w:bottom w:val="nil"/>
          <w:right w:val="nil"/>
          <w:between w:val="nil"/>
          <w:bar w:val="nil"/>
        </w:pBdr>
        <w:rPr>
          <w:rFonts w:eastAsia="Calibri"/>
          <w:noProof/>
        </w:rPr>
      </w:pPr>
      <w:r>
        <w:rPr>
          <w:noProof/>
        </w:rPr>
        <w:t>Също така предложението се основава на член 322 от ДФЕС, тъй като съдържа специални правила за пренасяне на бюджетни кредити в дерогация на принципа на ежегодност, предвиден в Регламент (ЕС, Евратом) 2018/1046 на Европейския парламент и на Съвета („Финансовия регламент“)</w:t>
      </w:r>
      <w:r>
        <w:rPr>
          <w:rStyle w:val="FootnoteReference0"/>
          <w:rFonts w:eastAsia="Calibri"/>
          <w:noProof/>
        </w:rPr>
        <w:footnoteReference w:id="5"/>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Субсидиарност и пропорционалност </w:t>
      </w:r>
    </w:p>
    <w:p>
      <w:pPr>
        <w:pBdr>
          <w:top w:val="nil"/>
          <w:left w:val="nil"/>
          <w:bottom w:val="nil"/>
          <w:right w:val="nil"/>
          <w:between w:val="nil"/>
          <w:bar w:val="nil"/>
        </w:pBdr>
        <w:rPr>
          <w:rFonts w:eastAsia="Calibri"/>
          <w:noProof/>
        </w:rPr>
      </w:pPr>
      <w:r>
        <w:rPr>
          <w:noProof/>
        </w:rPr>
        <w:t xml:space="preserve">В съответствие с член 4, параграф 2 от ДФЕС Съюзът има споделена с държавите членки компетентност в областта на икономическото, социалното и териториалното сближаване, както и за някои аспекти на социалната политика. С финансирането на предложените дейности чрез предложения регламент в съответствие с принципите на споделено управление се съблюдават принципите на европейска добавена стойност и субсидиарност. Финансирането от бюджета на Съюза се съсредоточава върху дейности, чиито цели не могат да бъдат постигнати в достатъчна степен самостоятелно от държавите членки и когато намесата на Съюза може да придаде допълнителна стойност в сравнение със самостоятелните действия на държавите членки. </w:t>
      </w:r>
    </w:p>
    <w:p>
      <w:pPr>
        <w:pBdr>
          <w:top w:val="nil"/>
          <w:left w:val="nil"/>
          <w:bottom w:val="nil"/>
          <w:right w:val="nil"/>
          <w:between w:val="nil"/>
          <w:bar w:val="nil"/>
        </w:pBdr>
        <w:rPr>
          <w:rFonts w:eastAsia="Calibri"/>
          <w:noProof/>
        </w:rPr>
      </w:pPr>
      <w:r>
        <w:rPr>
          <w:noProof/>
        </w:rPr>
        <w:t>Предвид гореизложеното с резерва, който се създава с регламента, следва да се окаже подкрепа на държавите членки с цел противодействие на неблагоприятните последици от оттеглянето на Обединеното кралство от Съюза. Съответно неговата обща цел е засилване на сближаването чрез мерки, които дават възможност за смекчаване на икономическите, социалните и териториалните последици от оттеглянето върху икономиките на държавите членки и запазване на равнищата на заетост.</w:t>
      </w:r>
    </w:p>
    <w:p>
      <w:pPr>
        <w:pBdr>
          <w:top w:val="nil"/>
          <w:left w:val="nil"/>
          <w:bottom w:val="nil"/>
          <w:right w:val="nil"/>
          <w:between w:val="nil"/>
          <w:bar w:val="nil"/>
        </w:pBdr>
        <w:rPr>
          <w:rFonts w:eastAsia="Arial Unicode MS"/>
          <w:noProof/>
        </w:rPr>
      </w:pPr>
      <w:r>
        <w:rPr>
          <w:noProof/>
        </w:rPr>
        <w:t>Наред с това принципът на субсидиарност е отразен във факта, че резервът ще се изпълнява при споделено управление. Интервенциите не се управляват пряко от Европейската комисия, а вместо това се изпълняват в партньорство с държавите членки. Поради това действията на Съюза се ограничават до необходимото за постигане на заложените в Договорите цели на Съюза. В съответствие с принципа на субсидиарност той определя ясни критерии за допустимост във връзка с мобилизирането на резерва и допуска гъвкавост при използването му, съответстваща на извънредния характер на ситуацията.</w:t>
      </w:r>
    </w:p>
    <w:p>
      <w:pPr>
        <w:pBdr>
          <w:top w:val="nil"/>
          <w:left w:val="nil"/>
          <w:bottom w:val="nil"/>
          <w:right w:val="nil"/>
          <w:between w:val="nil"/>
          <w:bar w:val="nil"/>
        </w:pBdr>
        <w:rPr>
          <w:rFonts w:eastAsia="Arial Unicode MS"/>
          <w:noProof/>
        </w:rPr>
      </w:pPr>
      <w:r>
        <w:rPr>
          <w:noProof/>
        </w:rPr>
        <w:t>Предложението е в съответствие с принципа на пропорционалност, тъй като не излиза извън минимума, необходим за постигането на заявената цел на европейско равнище, и на необходимото за тази цел.</w:t>
      </w:r>
    </w:p>
    <w:p>
      <w:pPr>
        <w:pStyle w:val="ManualHeading2"/>
        <w:rPr>
          <w:rFonts w:eastAsia="Arial Unicode MS"/>
          <w:noProof/>
          <w:u w:color="000000"/>
          <w:bdr w:val="nil"/>
        </w:rPr>
      </w:pPr>
      <w:r>
        <w:rPr>
          <w:noProof/>
          <w:u w:color="000000"/>
          <w:bdr w:val="nil"/>
        </w:rPr>
        <w:t>•</w:t>
      </w:r>
      <w:r>
        <w:rPr>
          <w:noProof/>
        </w:rPr>
        <w:tab/>
      </w:r>
      <w:r>
        <w:rPr>
          <w:noProof/>
          <w:u w:color="000000"/>
          <w:bdr w:val="nil"/>
        </w:rPr>
        <w:t>Избор на инструмент</w:t>
      </w:r>
    </w:p>
    <w:p>
      <w:pPr>
        <w:pBdr>
          <w:top w:val="nil"/>
          <w:left w:val="nil"/>
          <w:bottom w:val="nil"/>
          <w:right w:val="nil"/>
          <w:between w:val="nil"/>
          <w:bar w:val="nil"/>
        </w:pBdr>
        <w:rPr>
          <w:rFonts w:eastAsia="Calibri"/>
          <w:noProof/>
        </w:rPr>
      </w:pPr>
      <w:r>
        <w:rPr>
          <w:noProof/>
        </w:rPr>
        <w:t xml:space="preserve">Предлага се създаването на нов инструмент, тъй като целите, описани в предходните раздели, не може да бъдат постигнати в достатъчна степен чрез самостоятелни действия на държавите членки. За да се гарантира еднакво третиране на държавите членки, избраният инструмент съгласно политиката за сближаване е регламент на </w:t>
      </w:r>
      <w:r>
        <w:rPr>
          <w:noProof/>
        </w:rPr>
        <w:lastRenderedPageBreak/>
        <w:t xml:space="preserve">Европейския парламент и на Съвета в съответствие с обикновената законодателна процедура, определена в член 175, трета алинея от ДФЕС. В основата на предложения инструмент е залегнал дългогодишният опит с фонд „Солидарност“ на Европейския съюз и политиката на сближаване, като същевременно се предвиждат мерки за приспособяване към напълно новите обстоятелства и целта да се противодейства на последиците от оттеглянето на Обединеното кралство от Европейския съюз. </w:t>
      </w:r>
    </w:p>
    <w:p>
      <w:pPr>
        <w:pStyle w:val="ManualHeading1"/>
        <w:rPr>
          <w:noProof/>
        </w:rPr>
      </w:pPr>
      <w:r>
        <w:rPr>
          <w:noProof/>
        </w:rPr>
        <w:t>3.</w:t>
      </w:r>
      <w:r>
        <w:rPr>
          <w:noProof/>
        </w:rPr>
        <w:tab/>
        <w:t>РЕЗУЛТАТИ ОТ ПОСЛЕДВАЩИ ОЦЕНКИ, КОНСУЛТАЦИИ СЪС ЗАИНТЕРЕСОВАНИТЕ СТРАНИ И ОЦЕНКИ НА ВЪЗДЕЙСТВИЕТО</w:t>
      </w:r>
    </w:p>
    <w:p>
      <w:pPr>
        <w:pStyle w:val="ManualHeading2"/>
        <w:rPr>
          <w:rFonts w:eastAsia="Arial Unicode MS"/>
          <w:noProof/>
          <w:u w:color="000000"/>
          <w:bdr w:val="nil"/>
        </w:rPr>
      </w:pPr>
      <w:r>
        <w:rPr>
          <w:noProof/>
          <w:u w:color="000000"/>
          <w:bdr w:val="nil"/>
        </w:rPr>
        <w:t>•</w:t>
      </w:r>
      <w:r>
        <w:rPr>
          <w:noProof/>
        </w:rPr>
        <w:tab/>
      </w:r>
      <w:r>
        <w:rPr>
          <w:noProof/>
          <w:u w:color="000000"/>
          <w:bdr w:val="nil"/>
        </w:rPr>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Невъзможно е да се направи последваща оценка на въздействието или да се провери пригодността на съществуващото законодателство, тъй като няма нито такова законодателство, нито такъв прецедент.</w:t>
      </w:r>
    </w:p>
    <w:p>
      <w:pPr>
        <w:pStyle w:val="ManualHeading2"/>
        <w:rPr>
          <w:rFonts w:eastAsia="Arial Unicode MS"/>
          <w:noProof/>
          <w:u w:color="000000"/>
          <w:bdr w:val="nil"/>
        </w:rPr>
      </w:pPr>
      <w:r>
        <w:rPr>
          <w:noProof/>
          <w:u w:color="000000"/>
          <w:bdr w:val="nil"/>
        </w:rPr>
        <w:t>•</w:t>
      </w:r>
      <w:r>
        <w:rPr>
          <w:noProof/>
        </w:rPr>
        <w:tab/>
      </w:r>
      <w:r>
        <w:rPr>
          <w:noProof/>
          <w:u w:color="000000"/>
          <w:bdr w:val="nil"/>
        </w:rPr>
        <w:t>Консултации със заинтересованите страни</w:t>
      </w:r>
    </w:p>
    <w:p>
      <w:pPr>
        <w:pBdr>
          <w:top w:val="nil"/>
          <w:left w:val="nil"/>
          <w:bottom w:val="nil"/>
          <w:right w:val="nil"/>
          <w:between w:val="nil"/>
          <w:bar w:val="nil"/>
        </w:pBdr>
        <w:spacing w:before="0" w:after="240"/>
        <w:rPr>
          <w:rFonts w:eastAsia="Arial Unicode MS"/>
          <w:noProof/>
          <w:highlight w:val="yellow"/>
        </w:rPr>
      </w:pPr>
      <w:r>
        <w:rPr>
          <w:noProof/>
        </w:rPr>
        <w:t>Тъй като предложението трябваше да се изготви спешно, за да може да се приеме своевременно от съзаконодателите, нямаше възможност за провеждане на консултация със заинтересованите страни. При подготовката на настоящото предложения обаче бяха проведени поредица от срещи с представители на голяма част от държавите членки.</w:t>
      </w:r>
    </w:p>
    <w:p>
      <w:pPr>
        <w:pStyle w:val="ManualHeading2"/>
        <w:rPr>
          <w:rFonts w:eastAsia="Arial Unicode MS"/>
          <w:noProof/>
          <w:u w:color="000000"/>
          <w:bdr w:val="nil"/>
        </w:rPr>
      </w:pPr>
      <w:r>
        <w:rPr>
          <w:noProof/>
          <w:u w:color="000000"/>
          <w:bdr w:val="nil"/>
        </w:rPr>
        <w:t>•</w:t>
      </w:r>
      <w:r>
        <w:rPr>
          <w:noProof/>
        </w:rPr>
        <w:tab/>
      </w:r>
      <w:r>
        <w:rPr>
          <w:noProof/>
          <w:u w:color="000000"/>
          <w:bdr w:val="nil"/>
        </w:rPr>
        <w:t>Оценка на въздействието</w:t>
      </w:r>
    </w:p>
    <w:p>
      <w:pPr>
        <w:pBdr>
          <w:top w:val="nil"/>
          <w:left w:val="nil"/>
          <w:bottom w:val="nil"/>
          <w:right w:val="nil"/>
          <w:between w:val="nil"/>
          <w:bar w:val="nil"/>
        </w:pBdr>
        <w:spacing w:before="0" w:after="240"/>
        <w:rPr>
          <w:rFonts w:eastAsia="Arial Unicode MS"/>
          <w:noProof/>
        </w:rPr>
      </w:pPr>
      <w:r>
        <w:rPr>
          <w:noProof/>
        </w:rPr>
        <w:t>Поради спешния характер на предложението не беше направена оценка на въздействието. В предложението са отразени скорошни икономически анализи, включително икономическата прогноза на Комисията от есента на 2020 г. и изследвания на Европейската централна банка.</w:t>
      </w:r>
    </w:p>
    <w:p>
      <w:pPr>
        <w:pStyle w:val="ManualHeading1"/>
        <w:rPr>
          <w:noProof/>
        </w:rPr>
      </w:pPr>
      <w:r>
        <w:rPr>
          <w:noProof/>
        </w:rPr>
        <w:t>4.</w:t>
      </w:r>
      <w:r>
        <w:rPr>
          <w:noProof/>
        </w:rPr>
        <w:tab/>
        <w:t>ОТРАЖЕНИЕ ВЪРХУ БЮДЖЕТА</w:t>
      </w:r>
    </w:p>
    <w:p>
      <w:pPr>
        <w:rPr>
          <w:rFonts w:eastAsia="Calibri"/>
          <w:noProof/>
          <w:sz w:val="22"/>
        </w:rPr>
      </w:pPr>
      <w:bookmarkStart w:id="1" w:name="_Toc56534743"/>
      <w:r>
        <w:rPr>
          <w:noProof/>
        </w:rPr>
        <w:t>В член 10 от Регламент (ЕС, Евратом) 2020/2093 на Съвета</w:t>
      </w:r>
      <w:r>
        <w:rPr>
          <w:rStyle w:val="FootnoteReference0"/>
          <w:rFonts w:eastAsia="Calibri"/>
          <w:noProof/>
        </w:rPr>
        <w:footnoteReference w:id="6"/>
      </w:r>
      <w:r>
        <w:rPr>
          <w:noProof/>
        </w:rPr>
        <w:t xml:space="preserve"> се предвижда, че общият размер на резерва е 5 000 000 000 EUR по цени от 2018 г.</w:t>
      </w:r>
      <w:r>
        <w:rPr>
          <w:noProof/>
          <w:sz w:val="22"/>
        </w:rPr>
        <w:t xml:space="preserve"> </w:t>
      </w:r>
    </w:p>
    <w:p>
      <w:pPr>
        <w:rPr>
          <w:rFonts w:eastAsia="Calibri"/>
          <w:noProof/>
          <w:szCs w:val="24"/>
        </w:rPr>
      </w:pPr>
      <w:r>
        <w:rPr>
          <w:noProof/>
        </w:rPr>
        <w:t xml:space="preserve">Максималните ресурси за изпълнение на резерва са в размер на 5 370 994 000 EUR по текущи цени, които ще се финансират чрез специален инструмент извън бюджетния таван на ЕС от многогодишната финансова рамка. От тях 4 244 832 000 EUR ще бъдат разпределени и отпуснати през 2021 г. във вид на предварително финансиране. Остатъкът от 1 126 162 000 EUR ще бъде разпределен и отпуснат през 2024 г. за допълнителни вноски в съответствие с разпоредбите на настоящото предложение. </w:t>
      </w:r>
    </w:p>
    <w:p>
      <w:pPr>
        <w:pBdr>
          <w:top w:val="nil"/>
          <w:left w:val="nil"/>
          <w:bottom w:val="nil"/>
          <w:right w:val="nil"/>
          <w:between w:val="nil"/>
          <w:bar w:val="nil"/>
        </w:pBdr>
        <w:rPr>
          <w:rFonts w:eastAsia="Calibri"/>
          <w:noProof/>
          <w:szCs w:val="24"/>
        </w:rPr>
      </w:pPr>
      <w:r>
        <w:rPr>
          <w:noProof/>
        </w:rPr>
        <w:t>Чрез дерогация от разпоредбите на член 12, параграф 4 от Финансовия регламент се предлагат специални правила за автоматично пренасяне на бюджетни кредити поради специфичните особености на резерва. Въпреки че е вероятно повечето неблагоприятни последици от оттеглянето на Обединеното кралство от Съюза да възникнат през първата(те) година(и) след фактическото оттегляне, в някои региони, сектори или държави членки е възможно да настъпят последици през следващите години. С цел постигане на максимално въздействие и пълно прилагане на заключенията на Европейския съвет</w:t>
      </w:r>
      <w:r>
        <w:rPr>
          <w:rStyle w:val="FootnoteReference0"/>
          <w:rFonts w:cstheme="minorHAnsi"/>
          <w:noProof/>
        </w:rPr>
        <w:footnoteReference w:id="7"/>
      </w:r>
      <w:r>
        <w:rPr>
          <w:noProof/>
        </w:rPr>
        <w:t xml:space="preserve">, в които се предвижда осигуряване на обща сума в размер на </w:t>
      </w:r>
      <w:r>
        <w:rPr>
          <w:noProof/>
        </w:rPr>
        <w:lastRenderedPageBreak/>
        <w:t>5 милиарда евро по цени от 2018 г. без ограничение във времето, е необходимо да се предвиди вписването на резерва като клауза в бюджета, с автоматично пренасяне на неизползваните бюджетни кредити за поети задължения и за плащания до 2025 г.</w:t>
      </w:r>
      <w:bookmarkEnd w:id="1"/>
      <w:r>
        <w:rPr>
          <w:noProof/>
        </w:rPr>
        <w:t xml:space="preserve"> </w:t>
      </w:r>
    </w:p>
    <w:p>
      <w:pPr>
        <w:rPr>
          <w:noProof/>
        </w:rPr>
      </w:pPr>
      <w:r>
        <w:rPr>
          <w:noProof/>
        </w:rPr>
        <w:t>В допълнение към това се предлагат специални разпоредби за целесъобразен референтен период поради специфичния характер на резерва и относително краткия период за изпълнение. Предвид факта, че същевременно рисковете за бюджета на Съюза са ограничени от изискването държавите членки да създадат стабилна система за управление и контрол, дерогацията от задължението за подаване на документите по член 63, параграфи 5, 6 и 7 от Финансовия регламент през февруари и март всяка година е основателна.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u w:color="000000"/>
          <w:bdr w:val="nil"/>
        </w:rPr>
        <w:t>•</w:t>
      </w:r>
      <w:r>
        <w:rPr>
          <w:noProof/>
        </w:rPr>
        <w:tab/>
      </w:r>
      <w:bookmarkStart w:id="2" w:name="_Toc56534745"/>
      <w:r>
        <w:rPr>
          <w:noProof/>
          <w:u w:color="000000"/>
          <w:bdr w:val="nil"/>
        </w:rPr>
        <w:t>Видимост и механизми за докладване</w:t>
      </w:r>
      <w:bookmarkEnd w:id="2"/>
    </w:p>
    <w:p>
      <w:pPr>
        <w:pBdr>
          <w:top w:val="nil"/>
          <w:left w:val="nil"/>
          <w:bottom w:val="nil"/>
          <w:right w:val="nil"/>
          <w:between w:val="nil"/>
          <w:bar w:val="nil"/>
        </w:pBdr>
        <w:spacing w:before="0" w:after="240"/>
        <w:rPr>
          <w:rFonts w:eastAsia="Arial Unicode MS"/>
          <w:noProof/>
        </w:rPr>
      </w:pPr>
      <w:r>
        <w:rPr>
          <w:noProof/>
        </w:rPr>
        <w:t>Във връзка с финансирането от резерва ще се прилагат специални механизми за докладване. До 30 септември 2023 г. всички държави членки ще трябва да изпратят доклад за изпълнението, в който се посочват подробно подпомаганите действия и направените и платените разходи през периода на допустимост, както и стойностите на редица показатели за изпълнение. Наред с това държавите членки ще трябва да следят за видимостта и прозрачността на интервенциите и бенефициерите. Комисията извършва оценка на ефективността на резерва, както и на неговата ефикасност, целесъобразност, съгласуваност и европейска добавена стойност. След своите оценка и решения във връзка с окончателното разпределение Комисията ще представи до 30 юни 2027 г. пред Европейския парламент и Съвета изчерпателен доклад за работата на резерва.</w:t>
      </w:r>
    </w:p>
    <w:p>
      <w:pPr>
        <w:pStyle w:val="ManualHeading2"/>
        <w:rPr>
          <w:rFonts w:eastAsia="Arial Unicode MS"/>
          <w:noProof/>
          <w:u w:color="000000"/>
          <w:bdr w:val="nil"/>
        </w:rPr>
      </w:pPr>
      <w:r>
        <w:rPr>
          <w:noProof/>
          <w:u w:color="000000"/>
          <w:bdr w:val="nil"/>
        </w:rPr>
        <w:t>•</w:t>
      </w:r>
      <w:r>
        <w:rPr>
          <w:noProof/>
        </w:rPr>
        <w:tab/>
      </w:r>
      <w:r>
        <w:rPr>
          <w:noProof/>
          <w:u w:color="000000"/>
          <w:bdr w:val="nil"/>
        </w:rPr>
        <w:t>Подробно разяснение на конкретните разпоредби на предложението</w:t>
      </w:r>
    </w:p>
    <w:p>
      <w:pPr>
        <w:pBdr>
          <w:top w:val="nil"/>
          <w:left w:val="nil"/>
          <w:bottom w:val="nil"/>
          <w:right w:val="nil"/>
          <w:between w:val="nil"/>
          <w:bar w:val="nil"/>
        </w:pBdr>
        <w:spacing w:before="0" w:after="240"/>
        <w:rPr>
          <w:b/>
          <w:noProof/>
          <w:szCs w:val="24"/>
        </w:rPr>
      </w:pPr>
      <w:r>
        <w:rPr>
          <w:b/>
          <w:noProof/>
          <w:szCs w:val="24"/>
        </w:rPr>
        <w:t>Обхват</w:t>
      </w:r>
    </w:p>
    <w:p>
      <w:pPr>
        <w:pBdr>
          <w:top w:val="nil"/>
          <w:left w:val="nil"/>
          <w:bottom w:val="nil"/>
          <w:right w:val="nil"/>
          <w:between w:val="nil"/>
          <w:bar w:val="nil"/>
        </w:pBdr>
        <w:spacing w:before="0" w:after="240"/>
        <w:rPr>
          <w:noProof/>
          <w:szCs w:val="24"/>
        </w:rPr>
      </w:pPr>
      <w:r>
        <w:rPr>
          <w:noProof/>
        </w:rPr>
        <w:t>С настоящия регламент се създава резервът за приспособяване във връзка с последиците от Брексит. С него ще се осигури финансиране, чрез което държавите членки да противодействат на неблагоприятните последици в държавите членки, регионите и секторите, по-специално в най-силно засегнатите от оттеглянето на Обединеното кралство от Съюза, с цел смекчаване на въздействието му върху икономическото, социалното и териториалното сближаване.</w:t>
      </w:r>
    </w:p>
    <w:p>
      <w:pPr>
        <w:rPr>
          <w:b/>
          <w:noProof/>
        </w:rPr>
      </w:pPr>
      <w:r>
        <w:rPr>
          <w:b/>
          <w:noProof/>
        </w:rPr>
        <w:t>Допустимост</w:t>
      </w:r>
    </w:p>
    <w:p>
      <w:pPr>
        <w:rPr>
          <w:noProof/>
          <w:szCs w:val="24"/>
        </w:rPr>
      </w:pPr>
      <w:r>
        <w:rPr>
          <w:noProof/>
        </w:rPr>
        <w:t xml:space="preserve">Периодът на допустимост за преки публични разходи ще продължи от 1 юли 2020 г. до 31 декември 2022 г. Регламентът съдържа обширен, но неизчерпателен списък на видовете допустими разходи за специално създадени мерки, включително за региони, области, предприятия, сектори и местни общности, засегнати неблагоприятно от оттеглянето. Наред с това в регламента се определят някои видове недопустими разходи. </w:t>
      </w:r>
    </w:p>
    <w:p>
      <w:pPr>
        <w:rPr>
          <w:b/>
          <w:noProof/>
        </w:rPr>
      </w:pPr>
      <w:r>
        <w:rPr>
          <w:b/>
          <w:noProof/>
        </w:rPr>
        <w:t>Финансово управление</w:t>
      </w:r>
    </w:p>
    <w:p>
      <w:pPr>
        <w:rPr>
          <w:noProof/>
          <w:szCs w:val="24"/>
        </w:rPr>
      </w:pPr>
      <w:r>
        <w:rPr>
          <w:noProof/>
        </w:rPr>
        <w:t xml:space="preserve">Резервът ще обхване всички държави членки и ще бъде приложен чрез два периода на разпределение — първия през 2021 г. във вид на значително предварително финансиране, а втория през 2024 г. във вид на изплащане на допълнителни вноски от резерва. За целта Комисията ще вземе предвид използването на предварителното финансиране и общо допустимите разходи, приети от Комисията, които надвишават </w:t>
      </w:r>
      <w:r>
        <w:rPr>
          <w:noProof/>
        </w:rPr>
        <w:lastRenderedPageBreak/>
        <w:t xml:space="preserve">както размера на предварителното финансиране, така и заложения праг от 0,06 % от номиналния БНД за 2021 г. Комисията ще определи съответните суми за разпределение при предварителното финансиране чрез акт за изпълнение, който, предвид извънредния характер на ситуацията, несигурността относно степента на последиците и необходимостта от бърза реакция от държавите членки, няма да включва описание на действията, които ще бъдат финансирани, както е предвидено в член 110, параграф 2 от Финансовия регламент. </w:t>
      </w:r>
    </w:p>
    <w:p>
      <w:pPr>
        <w:rPr>
          <w:b/>
          <w:noProof/>
        </w:rPr>
      </w:pPr>
      <w:r>
        <w:rPr>
          <w:b/>
          <w:noProof/>
        </w:rPr>
        <w:t>Метод на разпределение на предварителното финансиране</w:t>
      </w:r>
    </w:p>
    <w:p>
      <w:pPr>
        <w:rPr>
          <w:noProof/>
          <w:szCs w:val="24"/>
        </w:rPr>
      </w:pPr>
      <w:r>
        <w:rPr>
          <w:noProof/>
        </w:rPr>
        <w:t xml:space="preserve">Методът на разпределение за предварителното финансиране ще се основава на надеждни и съпоставими официални статистически данни. В тях ще бъде отчетено значението на търговията с Обединеното кралство и на риболовните дейности в изключителната икономическа зона на страната. Методът на разпределение на предварителното финансиране е определен в приложение I към регламента, с цел да се гарантира пълна прозрачност. </w:t>
      </w:r>
    </w:p>
    <w:p>
      <w:pPr>
        <w:rPr>
          <w:b/>
          <w:noProof/>
        </w:rPr>
      </w:pPr>
      <w:r>
        <w:rPr>
          <w:b/>
          <w:noProof/>
        </w:rPr>
        <w:t>Подаване на заявления за финансиране от резерва</w:t>
      </w:r>
    </w:p>
    <w:p>
      <w:pPr>
        <w:rPr>
          <w:noProof/>
        </w:rPr>
      </w:pPr>
      <w:r>
        <w:rPr>
          <w:noProof/>
        </w:rPr>
        <w:t>До 30 септември 2023 г. държавите членки ще трябва да подадат заявления за финансиране от резерва (чрез формуляра, представен в приложение II към регламента), в които се посочва подробна информация за общите публични разходи, направени и платени от държавите членки от 1 юли 2020 г. до 31 декември 2022 г. В заявлението ще се описва и как е било използвано предварителното финансиране. Специфичният характер на инструмента и относително краткият период за изпълнение са достатъчни основания за установяването на целесъобразен референтен период и за изискването за едно заявление през 2023 г. Предвид факта, че същевременно рисковете за бюджета на Съюза са ограничени от изискването държавите членки да създадат стабилна система за управление и контрол, дерогацията от задължението за подаване на документите по член 63, параграфи 5, 6 и 7 от Финансовия регламент през февруари и март всяка година е основателна.</w:t>
      </w:r>
    </w:p>
    <w:p>
      <w:pPr>
        <w:rPr>
          <w:noProof/>
          <w:szCs w:val="24"/>
        </w:rPr>
      </w:pPr>
      <w:r>
        <w:rPr>
          <w:noProof/>
        </w:rPr>
        <w:t xml:space="preserve">Заявлението ще бъде придружено от доклад за изпълнението, в който подробно се описват предприетите мерки за противодействие на неблагоприятните последици от оттеглянето на Обединеното кралство от Съюза, как са изпълнени, декларация за управление, независимо одитно становище, обхващащо референтния период за резерва, и други. </w:t>
      </w:r>
    </w:p>
    <w:p>
      <w:pPr>
        <w:rPr>
          <w:b/>
          <w:noProof/>
        </w:rPr>
      </w:pPr>
      <w:r>
        <w:rPr>
          <w:b/>
          <w:noProof/>
        </w:rPr>
        <w:t xml:space="preserve">Оценка на Комисията на заявленията за финансиране, </w:t>
      </w:r>
      <w:r>
        <w:rPr>
          <w:b/>
          <w:noProof/>
          <w:szCs w:val="24"/>
        </w:rPr>
        <w:t>уравняване на предварителното финансиране и изчисления на допълнителните суми</w:t>
      </w:r>
      <w:r>
        <w:rPr>
          <w:b/>
          <w:noProof/>
        </w:rPr>
        <w:t xml:space="preserve"> </w:t>
      </w:r>
    </w:p>
    <w:p>
      <w:pPr>
        <w:rPr>
          <w:noProof/>
          <w:szCs w:val="24"/>
        </w:rPr>
      </w:pPr>
      <w:r>
        <w:rPr>
          <w:noProof/>
        </w:rPr>
        <w:t xml:space="preserve">След като държавите членки подадат заявленията за финансиране до общия краен срок 30 септември 2023 г., Комисията ще оцени заявленията в пакет, за да се гарантира справедливо третиране на всички държави членки и последователност в оценяването. По-специално Комисията ще следи за допустимостта и точността на декларираните разходи, връзката им с края на преходния период и техните икономически последици, мерките, въведени с цел избягване на двойно финансиране, както и за удостоверителната документация (доклада за изпълнение, декларацията за управление и независимия одитен доклад). При оценяването на заявленията за финансиране от резерва Комисията ще уравни изплатените суми по предварителното финансиране и ще събере неизползваните суми. В случаите, в които разходи, приети за допустими, надвишават сумата, платена по предварителното финансиране, и прага от 0,06 % от номиналния БНД за 2021 г., е възможно да бъдат изплатени допълнителни суми от резерва като принос към надвишаващите суми, в рамките на наличните финансови </w:t>
      </w:r>
      <w:r>
        <w:rPr>
          <w:noProof/>
        </w:rPr>
        <w:lastRenderedPageBreak/>
        <w:t xml:space="preserve">ресурси. Събраните или пренесените от предварителното финансиране суми може да се използват за възстановяване на допълнителни разходи на държавите членки, ако има искания за това. </w:t>
      </w:r>
    </w:p>
    <w:p>
      <w:pPr>
        <w:rPr>
          <w:b/>
          <w:noProof/>
        </w:rPr>
      </w:pPr>
      <w:r>
        <w:rPr>
          <w:b/>
          <w:noProof/>
        </w:rPr>
        <w:t>Управление и контрол</w:t>
      </w:r>
    </w:p>
    <w:p>
      <w:pPr>
        <w:rPr>
          <w:rFonts w:eastAsia="Calibri"/>
          <w:noProof/>
          <w:szCs w:val="24"/>
        </w:rPr>
      </w:pPr>
      <w:r>
        <w:rPr>
          <w:noProof/>
        </w:rPr>
        <w:t>Бюджетът, заделен за резерва, ще се изпълнява при споделено управление с държавите членки, с което се гарантира пълно спазване на принципите на добро финансово управление, прозрачност и недискриминация, както и че няма конфликт на интереси. По-специално държавите членки ще трябва да създадат система за управление и контрол и да определят органи, които да отговарят за управлението на резерва, както и независим одитен орган. В регламента ясно са заложени отговорностите на държавите членки и минимален набор от изисквания за органите, които да отговарят за управлението, контрола и одитирането на финансирането от резерва. Държавите членки ще трябва да въведат системи, които имат за цел предотвратяване, откриване и ефективно отстраняване на всички нередности, включително измами.</w:t>
      </w:r>
    </w:p>
    <w:p>
      <w:pPr>
        <w:rPr>
          <w:rFonts w:eastAsia="Calibri"/>
          <w:noProof/>
          <w:szCs w:val="24"/>
        </w:rPr>
      </w:pPr>
      <w:r>
        <w:rPr>
          <w:noProof/>
        </w:rPr>
        <w:t xml:space="preserve">В срок от три месеца от влизането в сила на настоящия регламент държавите членки следва да уведомят Комисията за идентификационните данни на определените органи и на органа, на който ще бъде изплатено предварителното финансиране, и да потвърдят, че описанията на системите са съставени. </w:t>
      </w:r>
    </w:p>
    <w:p>
      <w:pPr>
        <w:rPr>
          <w:rFonts w:eastAsia="Calibri"/>
          <w:noProof/>
          <w:szCs w:val="24"/>
        </w:rPr>
      </w:pPr>
      <w:r>
        <w:rPr>
          <w:noProof/>
        </w:rPr>
        <w:t xml:space="preserve">С цел опростяване държавите членки биха могли да използват определени съществуващи органи и системи, създадени за целите на управлението и контрола на финансирането по линия на политиката на сближаване или фонд „Солидарност“ на Европейския съюз. </w:t>
      </w:r>
    </w:p>
    <w:p>
      <w:pPr>
        <w:rPr>
          <w:noProof/>
        </w:rPr>
      </w:pPr>
      <w:r>
        <w:rPr>
          <w:noProof/>
        </w:rPr>
        <w:t xml:space="preserve">Комисията ще предприеме необходимите действия, за да обезпечи защитата на финансовите интереси на Съюза, в това число финансови корекции.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2020/0380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създаване на резерв за приспособяване във връзка с последиците от Брексит</w:t>
      </w:r>
    </w:p>
    <w:p>
      <w:pPr>
        <w:pStyle w:val="Institutionquiagit"/>
        <w:rPr>
          <w:noProof/>
        </w:rPr>
      </w:pPr>
      <w:r>
        <w:rPr>
          <w:noProof/>
        </w:rPr>
        <w:t>ЕВРОПЕЙСКИЯТ ПАРЛАМЕНТ И СЪВЕТЪТ НА ЕВРОПЕЙСКИЯ СЪЮЗ,</w:t>
      </w:r>
    </w:p>
    <w:p>
      <w:pPr>
        <w:rPr>
          <w:rFonts w:eastAsia="Calibri"/>
          <w:noProof/>
          <w:szCs w:val="24"/>
        </w:rPr>
      </w:pPr>
      <w:r>
        <w:rPr>
          <w:noProof/>
        </w:rPr>
        <w:t>като взеха предвид Договора за функционирането на Европейския съюз, и по-специално член 175, трета алинея и член 322, параграф 1, буква а) от него,</w:t>
      </w:r>
    </w:p>
    <w:p>
      <w:pPr>
        <w:rPr>
          <w:rFonts w:eastAsia="Calibri"/>
          <w:noProof/>
          <w:szCs w:val="24"/>
        </w:rPr>
      </w:pPr>
      <w:r>
        <w:rPr>
          <w:noProof/>
        </w:rPr>
        <w:t>като взеха предвид предложението на Европейската комисия,</w:t>
      </w:r>
    </w:p>
    <w:p>
      <w:pPr>
        <w:rPr>
          <w:rFonts w:eastAsia="Calibri"/>
          <w:noProof/>
          <w:szCs w:val="24"/>
        </w:rPr>
      </w:pPr>
      <w:r>
        <w:rPr>
          <w:noProof/>
        </w:rPr>
        <w:t>след предаване на проекта на законодателния акт на националните парламенти,</w:t>
      </w:r>
    </w:p>
    <w:p>
      <w:pPr>
        <w:rPr>
          <w:rFonts w:eastAsia="Calibri"/>
          <w:noProof/>
          <w:szCs w:val="24"/>
        </w:rPr>
      </w:pPr>
      <w:r>
        <w:rPr>
          <w:noProof/>
        </w:rPr>
        <w:t>като взеха предвид становището на Европейския икономически и социален комитет</w:t>
      </w:r>
      <w:r>
        <w:rPr>
          <w:rStyle w:val="FootnoteReference0"/>
          <w:rFonts w:eastAsia="Calibri"/>
          <w:noProof/>
          <w:szCs w:val="24"/>
        </w:rPr>
        <w:footnoteReference w:id="8"/>
      </w:r>
      <w:r>
        <w:rPr>
          <w:noProof/>
        </w:rPr>
        <w:t xml:space="preserve">, </w:t>
      </w:r>
    </w:p>
    <w:p>
      <w:pPr>
        <w:rPr>
          <w:rFonts w:eastAsia="Calibri"/>
          <w:noProof/>
          <w:szCs w:val="24"/>
        </w:rPr>
      </w:pPr>
      <w:r>
        <w:rPr>
          <w:noProof/>
        </w:rPr>
        <w:t>като взеха предвид становището на Комитета на регионите</w:t>
      </w:r>
      <w:r>
        <w:rPr>
          <w:rStyle w:val="FootnoteReference0"/>
          <w:rFonts w:eastAsia="Calibri"/>
          <w:noProof/>
          <w:szCs w:val="24"/>
        </w:rPr>
        <w:footnoteReference w:id="9"/>
      </w:r>
      <w:r>
        <w:rPr>
          <w:noProof/>
        </w:rPr>
        <w:t xml:space="preserve">, </w:t>
      </w:r>
    </w:p>
    <w:p>
      <w:pPr>
        <w:rPr>
          <w:rFonts w:eastAsia="Calibri"/>
          <w:noProof/>
          <w:szCs w:val="24"/>
        </w:rPr>
      </w:pPr>
      <w:r>
        <w:rPr>
          <w:noProof/>
        </w:rPr>
        <w:t>като взеха предвид становището на Европейската сметна палата</w:t>
      </w:r>
      <w:r>
        <w:rPr>
          <w:rStyle w:val="FootnoteReference0"/>
          <w:rFonts w:eastAsia="Calibri"/>
          <w:noProof/>
          <w:szCs w:val="24"/>
        </w:rPr>
        <w:footnoteReference w:id="10"/>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rStyle w:val="num"/>
          <w:noProof/>
        </w:rPr>
        <w:t xml:space="preserve">На 1 февруари 2020 г. </w:t>
      </w:r>
      <w:r>
        <w:rPr>
          <w:noProof/>
        </w:rPr>
        <w:t>Обединеното кралство Великобритания и Северна Ирландия („Обединеното кралство“) напусна Европейския съюз и Европейската общност за атомна енергия (Евратом) — наричани по-нататък заедно „Съюзът“</w:t>
      </w:r>
      <w:r>
        <w:rPr>
          <w:rStyle w:val="num"/>
          <w:noProof/>
        </w:rPr>
        <w:t>, с което навлезе в преходен период. Този ограничен във времето преходен период беше договорен в рамките на Споразумението за оттегляне</w:t>
      </w:r>
      <w:r>
        <w:rPr>
          <w:rStyle w:val="FootnoteReference0"/>
          <w:noProof/>
        </w:rPr>
        <w:footnoteReference w:id="11"/>
      </w:r>
      <w:r>
        <w:rPr>
          <w:rStyle w:val="num"/>
          <w:noProof/>
        </w:rPr>
        <w:t xml:space="preserve"> и продължи до 31 декември 2020 г. По време на преходния период Съюзът и Обединеното кралство започнаха официални преговори относно бъдещите отношения.</w:t>
      </w:r>
    </w:p>
    <w:p>
      <w:pPr>
        <w:pStyle w:val="ManualConsidrant"/>
        <w:rPr>
          <w:rStyle w:val="num"/>
          <w:noProof/>
        </w:rPr>
      </w:pPr>
      <w:r>
        <w:rPr>
          <w:rStyle w:val="num"/>
        </w:rPr>
        <w:t>(2)</w:t>
      </w:r>
      <w:r>
        <w:rPr>
          <w:rStyle w:val="num"/>
        </w:rPr>
        <w:tab/>
      </w:r>
      <w:r>
        <w:rPr>
          <w:noProof/>
        </w:rPr>
        <w:t>След края на преходния период ще възникнат пречки пред търговията и трансграничния обмен между Съюза и Обединеното кралство. Очакват се мащабни и широкообхватни последици за предприятията, гражданите и публичните администрации. Тези последици са неизбежни и заинтересованите страни трябва да се подготвят за тях.</w:t>
      </w:r>
    </w:p>
    <w:p>
      <w:pPr>
        <w:pStyle w:val="ManualConsidrant"/>
        <w:rPr>
          <w:rStyle w:val="num"/>
          <w:noProof/>
        </w:rPr>
      </w:pPr>
      <w:r>
        <w:rPr>
          <w:rStyle w:val="num"/>
        </w:rPr>
        <w:t>(3)</w:t>
      </w:r>
      <w:r>
        <w:rPr>
          <w:rStyle w:val="num"/>
        </w:rPr>
        <w:tab/>
      </w:r>
      <w:r>
        <w:rPr>
          <w:rStyle w:val="num"/>
          <w:noProof/>
        </w:rPr>
        <w:t>Съюзът е поел ангажимент във връзка със справянето с икономическите последици от оттеглянето на Обединеното кралство от Съюза, както и да покаже солидарност към всички държави членки, особено най-силно засегнатите при тези извънредни обстоятелства.</w:t>
      </w:r>
    </w:p>
    <w:p>
      <w:pPr>
        <w:pStyle w:val="ManualConsidrant"/>
        <w:rPr>
          <w:rStyle w:val="num"/>
          <w:noProof/>
        </w:rPr>
      </w:pPr>
      <w:r>
        <w:rPr>
          <w:rStyle w:val="num"/>
        </w:rPr>
        <w:t>(4)</w:t>
      </w:r>
      <w:r>
        <w:rPr>
          <w:rStyle w:val="num"/>
        </w:rPr>
        <w:tab/>
      </w:r>
      <w:r>
        <w:rPr>
          <w:noProof/>
        </w:rPr>
        <w:t xml:space="preserve">С цел оказване на подкрепа на държавите членки, регионите и секторите, по-специално на най-силно засегнатите от оттеглянето на Обединеното кралство от Съюза, </w:t>
      </w:r>
      <w:r>
        <w:rPr>
          <w:rStyle w:val="num"/>
          <w:noProof/>
        </w:rPr>
        <w:t xml:space="preserve">следва да бъде създаден </w:t>
      </w:r>
      <w:r>
        <w:rPr>
          <w:noProof/>
        </w:rPr>
        <w:t xml:space="preserve">резерв за приспособяване във връзка с </w:t>
      </w:r>
      <w:r>
        <w:rPr>
          <w:noProof/>
        </w:rPr>
        <w:lastRenderedPageBreak/>
        <w:t xml:space="preserve">последиците от Брексит (наричан по-нататък „резервът“), с което да се смекчат тези последици за икономическото, социалното и териториалното сближаване. </w:t>
      </w:r>
      <w:r>
        <w:rPr>
          <w:rStyle w:val="num"/>
          <w:noProof/>
        </w:rPr>
        <w:t>С резерва следва да бъдат покрити изцяло или от части допълнителните публични разходи на държавите членки за мерки, предприети конкретно за справяне с тези последици.</w:t>
      </w:r>
    </w:p>
    <w:p>
      <w:pPr>
        <w:pStyle w:val="ManualConsidrant"/>
        <w:rPr>
          <w:noProof/>
        </w:rPr>
      </w:pPr>
      <w:r>
        <w:t>(5)</w:t>
      </w:r>
      <w:r>
        <w:tab/>
      </w:r>
      <w:r>
        <w:rPr>
          <w:noProof/>
        </w:rPr>
        <w:t>С оглед допринасяне за икономическото, социалното и териториалното сближаване е целесъобразно при изготвянето на мерки за подпомагане държавите членки да се съсредоточат конкретно върху регионите, областите и местните общности, включително върху зависещите от риболовни дейности във водите на Обединеното кралство, за които има вероятност да бъдат засегнати най-неблагоприятно от оттеглянето на Обединеното кралство. Възможно е да се наложи държавите членки да предприемат специални мерки, най-вече за подпомагане на най-силно засегнатите от оттеглянето предприятия и икономически сектори. Затова е уместно да се даде неизчерпателен списък на видовете мерки, чрез които е най-вероятно тази цел да бъде постигната.</w:t>
      </w:r>
    </w:p>
    <w:p>
      <w:pPr>
        <w:pStyle w:val="ManualConsidrant"/>
        <w:rPr>
          <w:rStyle w:val="num"/>
          <w:noProof/>
        </w:rPr>
      </w:pPr>
      <w:r>
        <w:rPr>
          <w:rStyle w:val="num"/>
        </w:rPr>
        <w:t>(6)</w:t>
      </w:r>
      <w:r>
        <w:rPr>
          <w:rStyle w:val="num"/>
        </w:rPr>
        <w:tab/>
      </w:r>
      <w:r>
        <w:rPr>
          <w:noProof/>
        </w:rPr>
        <w:t xml:space="preserve">Същевременно е важно да се посочат ясно всички изключвания от помощта, отпускана с резерва. </w:t>
      </w:r>
      <w:r>
        <w:rPr>
          <w:rStyle w:val="num"/>
          <w:noProof/>
        </w:rPr>
        <w:t xml:space="preserve">Следва да се изключва подпомагане за </w:t>
      </w:r>
      <w:r>
        <w:rPr>
          <w:noProof/>
        </w:rPr>
        <w:t>данък върху добавената стойност</w:t>
      </w:r>
      <w:r>
        <w:rPr>
          <w:rStyle w:val="num"/>
          <w:noProof/>
        </w:rPr>
        <w:t>, тъй като той представлява приход на държавите членки, с който се компенсират съответните разходи за бюджета на държавите членки. С цел възможно най-ефикасно използване на ограничените ресурси не следва да се допуска отпускане на средства във връзка с техническата помощ, използвана от органите, отговарящи за изпълнението на резерва. В съответствие с общия подход за политиката на сближаване не следва да се отпускат средства за покриване на разходи, свързани с премествания или противоречащи на приложимото право на Съюза или национално право.</w:t>
      </w:r>
    </w:p>
    <w:p>
      <w:pPr>
        <w:pStyle w:val="ManualConsidrant"/>
        <w:rPr>
          <w:rStyle w:val="num"/>
          <w:noProof/>
        </w:rPr>
      </w:pPr>
      <w:r>
        <w:rPr>
          <w:rStyle w:val="num"/>
        </w:rPr>
        <w:t>(7)</w:t>
      </w:r>
      <w:r>
        <w:rPr>
          <w:rStyle w:val="num"/>
        </w:rPr>
        <w:tab/>
      </w:r>
      <w:r>
        <w:rPr>
          <w:rStyle w:val="num"/>
          <w:noProof/>
        </w:rPr>
        <w:t xml:space="preserve">За да бъде отчетено непосредственото влияние на неблагоприятните последици от оттеглянето на Обединеното кралство от Съюза върху държавите членки и техните икономики и нуждата от предприемане на мерки за смекчаване, където е уместно, преди изтичането на преходния период, периодът на допустимост за изпълнение на тези мерки следва да започне на 1 юли 2020 г., като продължи за ограничен срок от 30 месеца. </w:t>
      </w:r>
    </w:p>
    <w:p>
      <w:pPr>
        <w:pStyle w:val="ManualConsidrant"/>
        <w:rPr>
          <w:rStyle w:val="num"/>
          <w:noProof/>
        </w:rPr>
      </w:pPr>
      <w:r>
        <w:rPr>
          <w:rStyle w:val="num"/>
        </w:rPr>
        <w:t>(8)</w:t>
      </w:r>
      <w:r>
        <w:rPr>
          <w:rStyle w:val="num"/>
        </w:rPr>
        <w:tab/>
      </w:r>
      <w:r>
        <w:rPr>
          <w:noProof/>
        </w:rPr>
        <w:t>Важно е да бъде уточнено, че бюджетът, предназначен за резерва, следва да бъде изпълнен от Комисията при режим на споделено управление с държавите членки по смисъла на Регламент (ЕС, Евратом) 2018/1046 на Европейския парламент и на Съвета</w:t>
      </w:r>
      <w:r>
        <w:rPr>
          <w:rStyle w:val="FootnoteReference0"/>
          <w:noProof/>
        </w:rPr>
        <w:footnoteReference w:id="12"/>
      </w:r>
      <w:r>
        <w:rPr>
          <w:noProof/>
        </w:rPr>
        <w:t xml:space="preserve"> (наричан по-нататък „Финансовият регламент“). Следователно е целесъобразно да се определят принципите и конкретните задължения на държавите членки, и по-специално принципите на добро финансово управление, прозрачност и недискриминация, както и че няма конфликт на интереси.</w:t>
      </w:r>
      <w:r>
        <w:rPr>
          <w:rStyle w:val="num"/>
          <w:noProof/>
        </w:rPr>
        <w:t xml:space="preserve"> </w:t>
      </w:r>
    </w:p>
    <w:p>
      <w:pPr>
        <w:pStyle w:val="ManualConsidrant"/>
        <w:rPr>
          <w:noProof/>
        </w:rPr>
      </w:pPr>
      <w:r>
        <w:t>(9)</w:t>
      </w:r>
      <w:r>
        <w:tab/>
      </w:r>
      <w:r>
        <w:rPr>
          <w:noProof/>
        </w:rPr>
        <w:t>По отношение на настоящия регламент се прилагат хоризонтални финансови правила, приети от Европейския парламент и Съвета съгласно член 322 от Договора за функционирането на Европейския съюз (ДФЕС). Тези правила са заложени във Финансовия регламент, като с тях по-специално се установява процедурата за определяне и изпълнение на бюджета и се предвижда контрол върху отговорността на финансовите оператори. Правилата, приети въз основа на член 322 от ДФЕС, касаят и общия режим на обвързване с условия с цел защита на бюджета на Съюза</w:t>
      </w:r>
      <w:r>
        <w:rPr>
          <w:i/>
          <w:noProof/>
        </w:rPr>
        <w:t xml:space="preserve">. </w:t>
      </w:r>
    </w:p>
    <w:p>
      <w:pPr>
        <w:pStyle w:val="ManualConsidrant"/>
        <w:rPr>
          <w:noProof/>
        </w:rPr>
      </w:pPr>
      <w:r>
        <w:lastRenderedPageBreak/>
        <w:t>(10)</w:t>
      </w:r>
      <w:r>
        <w:tab/>
      </w:r>
      <w:r>
        <w:rPr>
          <w:noProof/>
        </w:rPr>
        <w:t xml:space="preserve">За целите на доброто финансово управление следва да се определят специфични правила за бюджетните задължения, плащанията, условията за пренасяне на бюджетни кредити и възстановяването на резерва. Като същевременно се зачита принципът, че бюджетът на Съюза се определя на годишна база, в настоящия регламент следва да се предвидят възможности за пренасяне на неизползвани средства извън определените във Финансовия регламент, с което се увеличава капацитетът на резерва за преодоляване на </w:t>
      </w:r>
      <w:r>
        <w:rPr>
          <w:rStyle w:val="num"/>
          <w:noProof/>
        </w:rPr>
        <w:t>неблагоприятните последици от оттеглянето на Обединеното кралство от Съюза върху държавите членки и техните икономики.</w:t>
      </w:r>
    </w:p>
    <w:p>
      <w:pPr>
        <w:pStyle w:val="ManualConsidrant"/>
        <w:rPr>
          <w:noProof/>
        </w:rPr>
      </w:pPr>
      <w:r>
        <w:t>(11)</w:t>
      </w:r>
      <w:r>
        <w:tab/>
      </w:r>
      <w:r>
        <w:rPr>
          <w:noProof/>
        </w:rPr>
        <w:t xml:space="preserve">За да могат </w:t>
      </w:r>
      <w:r>
        <w:rPr>
          <w:noProof/>
          <w:shd w:val="clear" w:color="auto" w:fill="FFFFFF"/>
        </w:rPr>
        <w:t>държавите членки да разгърнат допълнителните ресурси</w:t>
      </w:r>
      <w:r>
        <w:rPr>
          <w:noProof/>
        </w:rPr>
        <w:t xml:space="preserve"> и да се гарантират достатъчно финансови средства за бързото изпълнение на мерки по линия на резерва, съществена част от него следва да бъде разпределена през 2021 г. във вид на предварително финансиране. Методът за разпределение следва да отчита значението на търговията с Обединеното кралство и на риболовните дейности в изключителната икономическа зона на Обединеното кралство въз основа на надеждни и официални статистически данни. Предвид извънредния характер на оттеглянето на Обединеното кралство от Съюза и несигурността около основните аспекти от отношенията между Обединеното кралство и Съюза след изтичането на преходния период е трудно да се предвиди кои ще бъдат подходящите мерки, които държавите членки ще трябва да предприемат бързо, за да противодействат на последиците от оттеглянето. Затова е необходимо държавите членки да разполагат с гъвкавост, и по-конкретно да се разреши на Комисията да приеме решението за отпускане на предварителното финансиране без задължението по член 110, параграф 2 от Финансовия регламент за представяне на описание на конкретните действия, които трябва да бъдат финансирани. </w:t>
      </w:r>
    </w:p>
    <w:p>
      <w:pPr>
        <w:pStyle w:val="ManualConsidrant"/>
        <w:rPr>
          <w:noProof/>
        </w:rPr>
      </w:pPr>
      <w:r>
        <w:t>(12)</w:t>
      </w:r>
      <w:r>
        <w:tab/>
      </w:r>
      <w:r>
        <w:rPr>
          <w:noProof/>
        </w:rPr>
        <w:t>Преди изплащането на предварителното финансиране, в срок от три месеца от влизането в сила на настоящия регламент, държавите членки следва да уведомят Комисията за идентификационните данни на определените органи и на органа, на който ще бъде изплатено предварителното финансиране, и да потвърдят, че описанията на системите са съставени.</w:t>
      </w:r>
    </w:p>
    <w:p>
      <w:pPr>
        <w:pStyle w:val="ManualConsidrant"/>
        <w:rPr>
          <w:noProof/>
        </w:rPr>
      </w:pPr>
      <w:r>
        <w:t>(13)</w:t>
      </w:r>
      <w:r>
        <w:tab/>
      </w:r>
      <w:r>
        <w:rPr>
          <w:noProof/>
        </w:rPr>
        <w:t>За да се гарантира еднаквото третиране на всички държави членки, крайният срок за подаване на заявления за финансиране от резерва следва да бъде общ за всички държави членки. Специфичният характер на инструмента и относително краткият период за изпълнение са достатъчни основания за установяването на целесъобразен референтен период, а изискването държавите членки да представят на годишна база документите по член 63, параграфи 5, 6 и 7 от Финансовия регламент, ще бъде непропорционално. Предвид факта, че същевременно рисковете за бюджета на Съюза са ограничени от изискването държавите членки да създадат стабилна система за управление и контрол, дерогацията от задължението за подаване на необходимите документи през февруари и март всяка година е основателна. За да се осигури възможност за Комисията да проверява правилното използване на финансирането от резерва, от държавите членки следва също да се изисква като част от заявление да подават доклади за изпълнение с повече подробности за финансираните действия, декларация за управление и становище на независим одитен орган, изготвено в съответствие с международно признати одитни стандарти.</w:t>
      </w:r>
    </w:p>
    <w:p>
      <w:pPr>
        <w:pStyle w:val="ManualConsidrant"/>
        <w:rPr>
          <w:noProof/>
          <w:sz w:val="22"/>
        </w:rPr>
      </w:pPr>
      <w:r>
        <w:lastRenderedPageBreak/>
        <w:t>(14)</w:t>
      </w:r>
      <w:r>
        <w:tab/>
      </w:r>
      <w:r>
        <w:rPr>
          <w:noProof/>
        </w:rPr>
        <w:t>Съгласно точки 22 и 23 от Междуинституционалното споразумение за по-добро законотворчество от 13 април 2016 г.</w:t>
      </w:r>
      <w:r>
        <w:rPr>
          <w:rStyle w:val="FootnoteReference0"/>
          <w:noProof/>
        </w:rPr>
        <w:footnoteReference w:id="13"/>
      </w:r>
      <w:r>
        <w:rPr>
          <w:noProof/>
        </w:rPr>
        <w:t xml:space="preserve"> е необходимо резервът да се оценява въз основа на информация, събрана чрез специфични изисквания за мониторинг, като същевременно се избягват излишното регулиране и административната тежест, особено за държавите членки. Като основа за оценка на резерва тези изисквания следва по целесъобразност да включват измерими показатели.</w:t>
      </w:r>
      <w:r>
        <w:rPr>
          <w:rFonts w:ascii="Segoe UI" w:hAnsi="Segoe UI"/>
          <w:noProof/>
          <w:color w:val="000000"/>
          <w:sz w:val="20"/>
          <w:szCs w:val="20"/>
        </w:rPr>
        <w:t xml:space="preserve"> </w:t>
      </w:r>
    </w:p>
    <w:p>
      <w:pPr>
        <w:pStyle w:val="ManualConsidrant"/>
        <w:rPr>
          <w:rStyle w:val="num"/>
          <w:noProof/>
        </w:rPr>
      </w:pPr>
      <w:r>
        <w:rPr>
          <w:rStyle w:val="num"/>
        </w:rPr>
        <w:t>(15)</w:t>
      </w:r>
      <w:r>
        <w:rPr>
          <w:rStyle w:val="num"/>
        </w:rPr>
        <w:tab/>
      </w:r>
      <w:r>
        <w:rPr>
          <w:noProof/>
        </w:rPr>
        <w:t>За да обезпечи еднаквото третиране на всички държави членки и последователност в оценяването на заявленията, Комисията следва да оценява заявленията в пакет. По-специално тя следва да следи за допустимостта и точността на декларираните разходи, пряката им връзка с предприетите мерки за справяне с последиците от оттеглянето и мерките, въведени от съответната държава членка за избягване на двойното финансиране. При оценяването на заявленията за финансиране от резерва Комисията следва да уравни изплатените суми по предварителното финансиране и да събере неизползваните суми. С цел концентриране на помощта върху най-силно засегнатите от оттеглянето държави членки, в случай че разходите на дадена държава членка, които са приети за допустими от Комисията, надвишават сумата, изплатена при предварителното финансиране, и прага от 0,06 % от номиналния брутен национален доход (БНД) за 2021 г. на въпросната държава членка, следва да бъде възможно в рамките на наличните финансови ресурси да се задели допълнителна сума от резерва за тази държава членка. Предвид степента на очакваното икономическо сътресение следва да бъде предвидена възможността за използване на събраните суми от предварителното финансиране за възстановяване на допълнителни разходи на държавите членки.</w:t>
      </w:r>
    </w:p>
    <w:p>
      <w:pPr>
        <w:pStyle w:val="ManualConsidrant"/>
        <w:rPr>
          <w:noProof/>
        </w:rPr>
      </w:pPr>
      <w:r>
        <w:t>(16)</w:t>
      </w:r>
      <w:r>
        <w:tab/>
      </w:r>
      <w:r>
        <w:rPr>
          <w:rStyle w:val="num"/>
          <w:noProof/>
        </w:rPr>
        <w:t xml:space="preserve">За да се осигури доброто функциониране на споделеното управление, държавите членки следва да създадат система за управление и контрол, да определят органи, които да отговарят за управлението на резерва, както и отделен независим одитен орган, и да уведомят Комисията за тези органи. С цел опростяване държавите членки могат да използват вече определени съществуващи органи и системи, създадени за целите на управлението и контрола на финансирането по линия на политиката на сближаване или фонд „Солидарност“ на Европейския съюз. Необходимо е да бъдат уточнени отговорностите на държавите членки и да бъдат определени конкретните изисквания за определените органи. </w:t>
      </w:r>
    </w:p>
    <w:p>
      <w:pPr>
        <w:pStyle w:val="ManualConsidrant"/>
        <w:rPr>
          <w:noProof/>
        </w:rPr>
      </w:pPr>
      <w:r>
        <w:t>(17)</w:t>
      </w:r>
      <w:r>
        <w:tab/>
      </w:r>
      <w:r>
        <w:rPr>
          <w:rStyle w:val="ilfuvd"/>
          <w:noProof/>
        </w:rPr>
        <w:t>В съответствие с Финансовия регламент, Регламент (ЕО, Евратом) № 2988/95 на Съвета</w:t>
      </w:r>
      <w:r>
        <w:rPr>
          <w:rStyle w:val="ilfuvd"/>
          <w:noProof/>
          <w:vertAlign w:val="superscript"/>
        </w:rPr>
        <w:footnoteReference w:id="14"/>
      </w:r>
      <w:r>
        <w:rPr>
          <w:rStyle w:val="ilfuvd"/>
          <w:noProof/>
        </w:rPr>
        <w:t>, Регламент (Евратом, ЕО) № 2185/96 на Съвета</w:t>
      </w:r>
      <w:r>
        <w:rPr>
          <w:rStyle w:val="ilfuvd"/>
          <w:noProof/>
          <w:sz w:val="20"/>
          <w:szCs w:val="20"/>
          <w:vertAlign w:val="superscript"/>
        </w:rPr>
        <w:footnoteReference w:id="15"/>
      </w:r>
      <w:r>
        <w:rPr>
          <w:rStyle w:val="ilfuvd"/>
          <w:noProof/>
        </w:rPr>
        <w:t xml:space="preserve"> и Регламент (ЕС) 2017/1939 на Съвета</w:t>
      </w:r>
      <w:r>
        <w:rPr>
          <w:rStyle w:val="ilfuvd"/>
          <w:noProof/>
          <w:sz w:val="20"/>
          <w:szCs w:val="20"/>
          <w:vertAlign w:val="superscript"/>
        </w:rPr>
        <w:footnoteReference w:id="16"/>
      </w:r>
      <w:r>
        <w:rPr>
          <w:rStyle w:val="ilfuvd"/>
          <w:noProof/>
        </w:rPr>
        <w:t xml:space="preserve"> финансовите интереси на Съюза се защитават посредством пропорционални мерки, включително посредством </w:t>
      </w:r>
      <w:r>
        <w:rPr>
          <w:rStyle w:val="ilfuvd"/>
          <w:noProof/>
        </w:rPr>
        <w:lastRenderedPageBreak/>
        <w:t>предотвратяване, разкриване, отстраняване и разследване на нередности и измами, събиране на изгубени, недължимо платени или неправилно използвани средства и, когато е целесъобразно, налагане на административни санкции. По-специално в съответствие с Регламент (ЕС, Евратом) № 883/2013 на Европейския парламент и Съвета</w:t>
      </w:r>
      <w:r>
        <w:rPr>
          <w:rStyle w:val="FootnoteReference0"/>
          <w:noProof/>
        </w:rPr>
        <w:footnoteReference w:id="17"/>
      </w:r>
      <w:r>
        <w:rPr>
          <w:rStyle w:val="ilfuvd"/>
          <w:noProof/>
        </w:rPr>
        <w:t xml:space="preserve"> и Регламент (Евратом, ЕО) № 2185/96 на Съвета Европейската служба за борба с измамите (OLAF) може да извършва административни разследвания, включително проверки и инспекции на място, за да установи дали е налице измама, корупция или друга незаконна дейност, засягаща финансовите интереси на Съюза. В съответствие с Регламент (ЕС) 2017/1939 Европейската прокуратура може да разследва и да преследва по наказателен ред измами и други престъпления, засягащи финансовите интереси на Съюза, както е предвидено в Директива (ЕС) 2017/1371 на Европейския парламент и на Съвета</w:t>
      </w:r>
      <w:r>
        <w:rPr>
          <w:rStyle w:val="ilfuvd"/>
          <w:noProof/>
          <w:vertAlign w:val="superscript"/>
        </w:rPr>
        <w:footnoteReference w:id="18"/>
      </w:r>
      <w:r>
        <w:rPr>
          <w:rStyle w:val="ilfuvd"/>
          <w:noProof/>
        </w:rPr>
        <w:t>. В съответствие с Финансовия регламент всички лица или субекти, получаващи средства на Съюза, трябва да оказват пълно сътрудничество за защита на финансовите интереси на Съюза, да предоставят необходимите права и достъп на Комисията, OLAF, Европейската прокуратура и Европейската сметна палата и да гарантират, че всички трети страни, участващи в използването на средства на Съюза, предоставят равностойни права.</w:t>
      </w:r>
    </w:p>
    <w:p>
      <w:pPr>
        <w:pStyle w:val="ManualConsidrant"/>
        <w:rPr>
          <w:noProof/>
        </w:rPr>
      </w:pPr>
      <w:r>
        <w:t>(18)</w:t>
      </w:r>
      <w:r>
        <w:tab/>
      </w:r>
      <w:r>
        <w:rPr>
          <w:rStyle w:val="num"/>
          <w:noProof/>
        </w:rPr>
        <w:t>Държавите членки следва да повишават осведомеността за приноса на Съюза от резерва и надлежно да информират обществеността, тъй като дейностите за прозрачност, комуникацията и видимост са от основно значение за популяризиране на дейността на Съюза на място. Тези дейности следва да почиват на точна и актуална информация.</w:t>
      </w:r>
    </w:p>
    <w:p>
      <w:pPr>
        <w:pStyle w:val="ManualConsidrant"/>
        <w:rPr>
          <w:rStyle w:val="num"/>
          <w:noProof/>
        </w:rPr>
      </w:pPr>
      <w:r>
        <w:rPr>
          <w:rStyle w:val="num"/>
        </w:rPr>
        <w:t>(19)</w:t>
      </w:r>
      <w:r>
        <w:rPr>
          <w:rStyle w:val="num"/>
        </w:rPr>
        <w:tab/>
      </w:r>
      <w:r>
        <w:rPr>
          <w:noProof/>
        </w:rPr>
        <w:t>С цел подобряване на прозрачността относно използването на средствата на Съюза Комисията следва да представи пред Европейския парламент и Съвета окончателен доклад за изпълнението на резерва.</w:t>
      </w:r>
      <w:r>
        <w:rPr>
          <w:rStyle w:val="num"/>
          <w:noProof/>
        </w:rPr>
        <w:t xml:space="preserve"> </w:t>
      </w:r>
    </w:p>
    <w:p>
      <w:pPr>
        <w:pStyle w:val="ManualConsidrant"/>
        <w:rPr>
          <w:noProof/>
        </w:rPr>
      </w:pPr>
      <w:r>
        <w:t>(20)</w:t>
      </w:r>
      <w:r>
        <w:tab/>
      </w:r>
      <w:r>
        <w:rPr>
          <w:noProof/>
        </w:rPr>
        <w:t>За да се обезпечат еднакви условия за заделяне на наличните финансови ресурси за всяка държава членка, на Комисията следва да се предоставят изпълнителни правомощия.</w:t>
      </w:r>
    </w:p>
    <w:p>
      <w:pPr>
        <w:pStyle w:val="ManualConsidrant"/>
        <w:rPr>
          <w:noProof/>
        </w:rPr>
      </w:pPr>
      <w:r>
        <w:t>(21)</w:t>
      </w:r>
      <w:r>
        <w:tab/>
      </w:r>
      <w:r>
        <w:rPr>
          <w:noProof/>
        </w:rPr>
        <w:t>Европейският надзорен орган по защита на данните беше консултиран в съответствие с член 42 от Регламент (ЕС) 2018/1725 на Европейския парламент и на Съвета</w:t>
      </w:r>
      <w:r>
        <w:rPr>
          <w:rStyle w:val="FootnoteReference0"/>
          <w:noProof/>
        </w:rPr>
        <w:footnoteReference w:id="19"/>
      </w:r>
      <w:r>
        <w:rPr>
          <w:noProof/>
        </w:rPr>
        <w:t xml:space="preserve"> и прие становище на [...</w:t>
      </w:r>
      <w:r>
        <w:rPr>
          <w:rStyle w:val="FootnoteReference0"/>
          <w:noProof/>
        </w:rPr>
        <w:footnoteReference w:id="20"/>
      </w:r>
      <w:r>
        <w:rPr>
          <w:noProof/>
        </w:rPr>
        <w:t>].</w:t>
      </w:r>
    </w:p>
    <w:p>
      <w:pPr>
        <w:pStyle w:val="ManualConsidrant"/>
        <w:rPr>
          <w:noProof/>
        </w:rPr>
      </w:pPr>
      <w:r>
        <w:t>(22)</w:t>
      </w:r>
      <w:r>
        <w:tab/>
      </w:r>
      <w:r>
        <w:rPr>
          <w:rStyle w:val="num"/>
          <w:noProof/>
        </w:rPr>
        <w:t xml:space="preserve">Целите на настоящия регламент са поддържане на икономическо, социално и териториално сближаване и осигуряване на инструмент за солидарност за държавите членки при преодоляването на последиците от оттеглянето на Обединеното кралство от Съюза, което засяга Съюза като цяло макар и с </w:t>
      </w:r>
      <w:r>
        <w:rPr>
          <w:rStyle w:val="num"/>
          <w:noProof/>
        </w:rPr>
        <w:lastRenderedPageBreak/>
        <w:t>различна тежест за отделните региони и сектори. Тези цели не могат да бъдат постигнати в достатъчна степен самостоятелно от държавите членки, а поради мащаба и последиците от действието могат да бъдат по-добре постигнати на равнището на Съюза. Следователно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тази цел.</w:t>
      </w:r>
    </w:p>
    <w:p>
      <w:pPr>
        <w:pStyle w:val="ManualConsidrant"/>
        <w:rPr>
          <w:noProof/>
        </w:rPr>
      </w:pPr>
      <w:r>
        <w:t>(23)</w:t>
      </w:r>
      <w:r>
        <w:tab/>
      </w:r>
      <w:r>
        <w:rPr>
          <w:rStyle w:val="num"/>
          <w:noProof/>
        </w:rPr>
        <w:t>За да се даде възможност за своевременно прилагане на предвидените мерки, настоящият регламент следва да влезе в сила по спешност</w:t>
      </w:r>
      <w:r>
        <w:rPr>
          <w:noProof/>
        </w:rPr>
        <w:t>,</w:t>
      </w:r>
    </w:p>
    <w:p>
      <w:pPr>
        <w:pStyle w:val="Formuledadoption"/>
        <w:rPr>
          <w:noProof/>
        </w:rPr>
      </w:pPr>
      <w:r>
        <w:rPr>
          <w:noProof/>
        </w:rPr>
        <w:t>ПРИЕХА НАСТОЯЩИЯ РЕГЛАМЕНТ:</w:t>
      </w:r>
    </w:p>
    <w:p>
      <w:pPr>
        <w:pStyle w:val="ChapterTitle"/>
        <w:rPr>
          <w:noProof/>
        </w:rPr>
      </w:pPr>
      <w:r>
        <w:rPr>
          <w:noProof/>
        </w:rPr>
        <w:t xml:space="preserve">Глава I </w:t>
      </w:r>
      <w:r>
        <w:rPr>
          <w:noProof/>
        </w:rPr>
        <w:cr/>
      </w:r>
      <w:r>
        <w:rPr>
          <w:noProof/>
        </w:rPr>
        <w:br/>
        <w:t>Общи разпоредби</w:t>
      </w:r>
    </w:p>
    <w:p>
      <w:pPr>
        <w:pStyle w:val="Titrearticle"/>
        <w:rPr>
          <w:rFonts w:eastAsia="Calibri"/>
          <w:b/>
          <w:noProof/>
        </w:rPr>
      </w:pPr>
      <w:r>
        <w:rPr>
          <w:noProof/>
        </w:rPr>
        <w:t xml:space="preserve">Член 1 </w:t>
      </w:r>
      <w:r>
        <w:rPr>
          <w:noProof/>
        </w:rPr>
        <w:cr/>
      </w:r>
      <w:r>
        <w:rPr>
          <w:noProof/>
        </w:rPr>
        <w:br/>
      </w:r>
      <w:r>
        <w:rPr>
          <w:b/>
          <w:i w:val="0"/>
          <w:noProof/>
        </w:rPr>
        <w:t xml:space="preserve">Предмет </w:t>
      </w:r>
    </w:p>
    <w:p>
      <w:pPr>
        <w:pStyle w:val="ManualNumPar1"/>
        <w:rPr>
          <w:noProof/>
        </w:rPr>
      </w:pPr>
      <w:r>
        <w:rPr>
          <w:noProof/>
        </w:rPr>
        <w:t>1.</w:t>
      </w:r>
      <w:r>
        <w:rPr>
          <w:noProof/>
        </w:rPr>
        <w:tab/>
        <w:t>С настоящия регламент се създава резервът за приспособяване във връзка с последиците от Брексит („резервът“).</w:t>
      </w:r>
    </w:p>
    <w:p>
      <w:pPr>
        <w:pStyle w:val="ManualNumPar1"/>
        <w:rPr>
          <w:noProof/>
        </w:rPr>
      </w:pPr>
      <w:r>
        <w:rPr>
          <w:noProof/>
        </w:rPr>
        <w:t>2.</w:t>
      </w:r>
      <w:r>
        <w:rPr>
          <w:noProof/>
        </w:rPr>
        <w:tab/>
        <w:t xml:space="preserve">С регламента се определят целите на резерва, неговите ресурси, формите на финансиране от Съюза и правилата за изпълнение на резерва, включително относно допустимостта на разходите, за управление и контрол, както и финансовото управление. </w:t>
      </w:r>
    </w:p>
    <w:p>
      <w:pPr>
        <w:pStyle w:val="Titrearticle"/>
        <w:rPr>
          <w:noProof/>
        </w:rPr>
      </w:pPr>
      <w:r>
        <w:rPr>
          <w:noProof/>
        </w:rPr>
        <w:t xml:space="preserve">Член 2 </w:t>
      </w:r>
      <w:r>
        <w:rPr>
          <w:noProof/>
        </w:rPr>
        <w:cr/>
      </w:r>
      <w:r>
        <w:rPr>
          <w:noProof/>
        </w:rPr>
        <w:br/>
      </w:r>
      <w:r>
        <w:rPr>
          <w:b/>
          <w:i w:val="0"/>
          <w:noProof/>
        </w:rPr>
        <w:t>Определения</w:t>
      </w:r>
    </w:p>
    <w:p>
      <w:pPr>
        <w:rPr>
          <w:noProof/>
          <w:szCs w:val="24"/>
        </w:rPr>
      </w:pPr>
      <w:r>
        <w:rPr>
          <w:noProof/>
        </w:rPr>
        <w:t>За целите на настоящия регламент се прилагат следните определения:</w:t>
      </w:r>
    </w:p>
    <w:p>
      <w:pPr>
        <w:pStyle w:val="Point0"/>
        <w:rPr>
          <w:noProof/>
        </w:rPr>
      </w:pPr>
      <w:r>
        <w:t>(1)</w:t>
      </w:r>
      <w:r>
        <w:tab/>
      </w:r>
      <w:r>
        <w:rPr>
          <w:noProof/>
        </w:rPr>
        <w:t xml:space="preserve">„референтен период“ означава референтният период, посочен в член 63 параграф 5, буква а) от Финансовия регламент, а именно от 1 юли 2020 г. до 31 декември 2022 г.; </w:t>
      </w:r>
    </w:p>
    <w:p>
      <w:pPr>
        <w:pStyle w:val="Point0"/>
        <w:rPr>
          <w:noProof/>
        </w:rPr>
      </w:pPr>
      <w:r>
        <w:t>(2)</w:t>
      </w:r>
      <w:r>
        <w:tab/>
      </w:r>
      <w:r>
        <w:rPr>
          <w:noProof/>
        </w:rPr>
        <w:t>„приложимо право“ означава правото на Съюза и националното право, отнасящо се до прилагането му;</w:t>
      </w:r>
    </w:p>
    <w:p>
      <w:pPr>
        <w:pStyle w:val="Point0"/>
        <w:rPr>
          <w:noProof/>
        </w:rPr>
      </w:pPr>
      <w:r>
        <w:t>(3)</w:t>
      </w:r>
      <w:r>
        <w:tab/>
      </w:r>
      <w:r>
        <w:rPr>
          <w:noProof/>
        </w:rPr>
        <w:t>„нередност“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публичноправен или частноправен субект, участващ в прилагането на резерва, включително органи на държавите членки, което има или би имало за последица нанасянето на вреда на бюджета на Съюза чрез начисляване на неправомерен разход в бюджета на Съюза;</w:t>
      </w:r>
    </w:p>
    <w:p>
      <w:pPr>
        <w:pStyle w:val="Point0"/>
        <w:rPr>
          <w:noProof/>
        </w:rPr>
      </w:pPr>
      <w:r>
        <w:t>(4)</w:t>
      </w:r>
      <w:r>
        <w:tab/>
      </w:r>
      <w:r>
        <w:rPr>
          <w:noProof/>
        </w:rPr>
        <w:t>„общ процент на грешка“ означава общ брой установени в извадката грешки, разделени на одитната съвкупност;</w:t>
      </w:r>
    </w:p>
    <w:p>
      <w:pPr>
        <w:pStyle w:val="Point0"/>
        <w:rPr>
          <w:noProof/>
        </w:rPr>
      </w:pPr>
      <w:r>
        <w:t>(5)</w:t>
      </w:r>
      <w:r>
        <w:tab/>
      </w:r>
      <w:r>
        <w:rPr>
          <w:noProof/>
        </w:rPr>
        <w:t xml:space="preserve">„процент на остатъчна грешка“ означава общият процент на грешка минус финансовите корекции, приложени от държавата членка с цел намаляване на </w:t>
      </w:r>
      <w:r>
        <w:rPr>
          <w:noProof/>
        </w:rPr>
        <w:lastRenderedPageBreak/>
        <w:t>рисковете, идентифицирани от независимия одитен орган при неговите одити на финансираните мерки, разделен на разходите, които трябва да се покрият чрез финансиране от резерва;</w:t>
      </w:r>
    </w:p>
    <w:p>
      <w:pPr>
        <w:pStyle w:val="Point0"/>
        <w:rPr>
          <w:noProof/>
        </w:rPr>
      </w:pPr>
      <w:r>
        <w:t>(6)</w:t>
      </w:r>
      <w:r>
        <w:tab/>
      </w:r>
      <w:r>
        <w:rPr>
          <w:noProof/>
        </w:rPr>
        <w:t>„преместване“ означава прехвърляне на същата или подобна дейност или част от нея по смисъла на член 2, точка 61а от Регламент (ЕС) № 651/2014 на Комисията</w:t>
      </w:r>
      <w:r>
        <w:rPr>
          <w:rStyle w:val="FootnoteReference0"/>
          <w:noProof/>
        </w:rPr>
        <w:footnoteReference w:id="21"/>
      </w:r>
      <w:r>
        <w:rPr>
          <w:noProof/>
        </w:rPr>
        <w:t>.</w:t>
      </w:r>
    </w:p>
    <w:p>
      <w:pPr>
        <w:pStyle w:val="Titrearticle"/>
        <w:rPr>
          <w:noProof/>
        </w:rPr>
      </w:pPr>
      <w:r>
        <w:rPr>
          <w:noProof/>
        </w:rPr>
        <w:t xml:space="preserve">Член 3 </w:t>
      </w:r>
      <w:r>
        <w:rPr>
          <w:noProof/>
        </w:rPr>
        <w:cr/>
      </w:r>
      <w:r>
        <w:rPr>
          <w:noProof/>
        </w:rPr>
        <w:br/>
      </w:r>
      <w:r>
        <w:rPr>
          <w:b/>
          <w:i w:val="0"/>
          <w:noProof/>
        </w:rPr>
        <w:t>Цели</w:t>
      </w:r>
    </w:p>
    <w:p>
      <w:pPr>
        <w:rPr>
          <w:noProof/>
        </w:rPr>
      </w:pPr>
      <w:r>
        <w:rPr>
          <w:noProof/>
        </w:rPr>
        <w:t>Чрез резерва се осигурява подкрепа за противодействие на неблагоприятните последици от оттеглянето на Обединеното кралство от Съюза върху държавите членки, регионите и секторите, и по-специално върху най-силно засегнатите от оттеглянето, и за смекчаване на свързаните с него последици върху икономическото, социалното и териториалното сближаване.</w:t>
      </w:r>
    </w:p>
    <w:p>
      <w:pPr>
        <w:pStyle w:val="Titrearticle"/>
        <w:rPr>
          <w:noProof/>
        </w:rPr>
      </w:pPr>
      <w:r>
        <w:rPr>
          <w:noProof/>
        </w:rPr>
        <w:t xml:space="preserve">Член 4 </w:t>
      </w:r>
      <w:r>
        <w:rPr>
          <w:noProof/>
        </w:rPr>
        <w:cr/>
      </w:r>
      <w:r>
        <w:rPr>
          <w:noProof/>
        </w:rPr>
        <w:br/>
      </w:r>
      <w:r>
        <w:rPr>
          <w:b/>
          <w:i w:val="0"/>
          <w:noProof/>
        </w:rPr>
        <w:t>Географски обхват и ресурси за резерва</w:t>
      </w:r>
      <w:r>
        <w:rPr>
          <w:noProof/>
        </w:rPr>
        <w:t xml:space="preserve"> </w:t>
      </w:r>
    </w:p>
    <w:p>
      <w:pPr>
        <w:pStyle w:val="ManualNumPar1"/>
        <w:rPr>
          <w:noProof/>
        </w:rPr>
      </w:pPr>
      <w:r>
        <w:rPr>
          <w:noProof/>
        </w:rPr>
        <w:t>1.</w:t>
      </w:r>
      <w:r>
        <w:rPr>
          <w:noProof/>
        </w:rPr>
        <w:tab/>
        <w:t>Всички държави членки имат право на подпомагане от резерва.</w:t>
      </w:r>
    </w:p>
    <w:p>
      <w:pPr>
        <w:pStyle w:val="ManualNumPar1"/>
        <w:rPr>
          <w:b/>
          <w:bCs/>
          <w:noProof/>
        </w:rPr>
      </w:pPr>
      <w:r>
        <w:rPr>
          <w:noProof/>
        </w:rPr>
        <w:t>2.</w:t>
      </w:r>
      <w:r>
        <w:rPr>
          <w:noProof/>
        </w:rPr>
        <w:tab/>
        <w:t>Максималният размер на ресурсите на резерва е 5 370 994 000 EUR по текущи цени.</w:t>
      </w:r>
      <w:r>
        <w:rPr>
          <w:b/>
          <w:bCs/>
          <w:noProof/>
        </w:rPr>
        <w:t xml:space="preserve"> </w:t>
      </w:r>
    </w:p>
    <w:p>
      <w:pPr>
        <w:pStyle w:val="ManualNumPar1"/>
        <w:rPr>
          <w:noProof/>
        </w:rPr>
      </w:pPr>
      <w:r>
        <w:rPr>
          <w:noProof/>
        </w:rPr>
        <w:t>3.</w:t>
      </w:r>
      <w:r>
        <w:rPr>
          <w:noProof/>
        </w:rPr>
        <w:tab/>
        <w:t>Ресурсите, посочени в параграф 2, се разпределят, както следва:</w:t>
      </w:r>
    </w:p>
    <w:p>
      <w:pPr>
        <w:pStyle w:val="Point1"/>
        <w:rPr>
          <w:noProof/>
        </w:rPr>
      </w:pPr>
      <w:r>
        <w:rPr>
          <w:noProof/>
        </w:rPr>
        <w:t>а)</w:t>
      </w:r>
      <w:r>
        <w:rPr>
          <w:noProof/>
        </w:rPr>
        <w:tab/>
        <w:t xml:space="preserve">предварително финансиране в размер на 4 244 832 000 EUR се отпуска през 2021 г. съгласно член 8; </w:t>
      </w:r>
    </w:p>
    <w:p>
      <w:pPr>
        <w:pStyle w:val="Point1"/>
        <w:rPr>
          <w:noProof/>
        </w:rPr>
      </w:pPr>
      <w:r>
        <w:rPr>
          <w:noProof/>
        </w:rPr>
        <w:t>б)</w:t>
      </w:r>
      <w:r>
        <w:rPr>
          <w:noProof/>
        </w:rPr>
        <w:tab/>
        <w:t xml:space="preserve">допълнителни суми в размер на 1 126 162 000 EUR се отпускат през 2024 г. съгласно член 11. </w:t>
      </w:r>
    </w:p>
    <w:p>
      <w:pPr>
        <w:pStyle w:val="Text1"/>
        <w:rPr>
          <w:noProof/>
        </w:rPr>
      </w:pPr>
      <w:r>
        <w:rPr>
          <w:noProof/>
        </w:rPr>
        <w:t>Сумите, посочени в буква а), първа алинея от настоящия параграф, се смятат за предварително финансиране по смисъла на член 115, параграф 2, буква б), подточка i) от Финансовия регламент.</w:t>
      </w:r>
    </w:p>
    <w:p>
      <w:pPr>
        <w:pStyle w:val="ChapterTitle"/>
        <w:rPr>
          <w:noProof/>
        </w:rPr>
      </w:pPr>
      <w:r>
        <w:rPr>
          <w:noProof/>
        </w:rPr>
        <w:t xml:space="preserve">Глава II </w:t>
      </w:r>
      <w:r>
        <w:rPr>
          <w:noProof/>
        </w:rPr>
        <w:cr/>
      </w:r>
      <w:r>
        <w:rPr>
          <w:noProof/>
        </w:rPr>
        <w:br/>
        <w:t>Допустимост</w:t>
      </w:r>
    </w:p>
    <w:p>
      <w:pPr>
        <w:pStyle w:val="Titrearticle"/>
        <w:rPr>
          <w:noProof/>
        </w:rPr>
      </w:pPr>
      <w:r>
        <w:rPr>
          <w:noProof/>
        </w:rPr>
        <w:t xml:space="preserve">Член 5 </w:t>
      </w:r>
      <w:r>
        <w:rPr>
          <w:noProof/>
        </w:rPr>
        <w:cr/>
      </w:r>
      <w:r>
        <w:rPr>
          <w:noProof/>
        </w:rPr>
        <w:br/>
      </w:r>
      <w:r>
        <w:rPr>
          <w:b/>
          <w:i w:val="0"/>
          <w:noProof/>
        </w:rPr>
        <w:t>Допустимост</w:t>
      </w:r>
    </w:p>
    <w:p>
      <w:pPr>
        <w:pStyle w:val="ManualNumPar1"/>
        <w:rPr>
          <w:noProof/>
        </w:rPr>
      </w:pPr>
      <w:r>
        <w:rPr>
          <w:noProof/>
        </w:rPr>
        <w:t>1.</w:t>
      </w:r>
      <w:r>
        <w:rPr>
          <w:noProof/>
        </w:rPr>
        <w:tab/>
        <w:t xml:space="preserve">Финансирането от резерва се използва само за покриване на разходи, пряко свързани с мерки, предприети специално от държавите членки като част от мерките за постигане на целите, посочени в член 3, и по-конкретно: </w:t>
      </w:r>
    </w:p>
    <w:p>
      <w:pPr>
        <w:pStyle w:val="Point1"/>
        <w:rPr>
          <w:noProof/>
        </w:rPr>
      </w:pPr>
      <w:r>
        <w:rPr>
          <w:noProof/>
        </w:rPr>
        <w:lastRenderedPageBreak/>
        <w:t>а)</w:t>
      </w:r>
      <w:r>
        <w:rPr>
          <w:noProof/>
        </w:rPr>
        <w:tab/>
        <w:t xml:space="preserve">мерки за подпомагане на предприятията и местните общности, засегнати неблагоприятно от оттеглянето; </w:t>
      </w:r>
    </w:p>
    <w:p>
      <w:pPr>
        <w:pStyle w:val="Point1"/>
        <w:rPr>
          <w:noProof/>
        </w:rPr>
      </w:pPr>
      <w:r>
        <w:rPr>
          <w:noProof/>
        </w:rPr>
        <w:t>б)</w:t>
      </w:r>
      <w:r>
        <w:rPr>
          <w:noProof/>
        </w:rPr>
        <w:tab/>
        <w:t>мерки за подпомагане на най-силно засегнатите икономически сектори;</w:t>
      </w:r>
    </w:p>
    <w:p>
      <w:pPr>
        <w:pStyle w:val="Point1"/>
        <w:rPr>
          <w:noProof/>
        </w:rPr>
      </w:pPr>
      <w:r>
        <w:rPr>
          <w:noProof/>
        </w:rPr>
        <w:t>в)</w:t>
      </w:r>
      <w:r>
        <w:rPr>
          <w:noProof/>
        </w:rPr>
        <w:tab/>
        <w:t>мерки за подпомагане на предприятията и местните общности, зависещи от риболовни дейности във води на Обединеното кралство;</w:t>
      </w:r>
    </w:p>
    <w:p>
      <w:pPr>
        <w:pStyle w:val="Point1"/>
        <w:rPr>
          <w:noProof/>
        </w:rPr>
      </w:pPr>
      <w:r>
        <w:rPr>
          <w:noProof/>
        </w:rPr>
        <w:t>г)</w:t>
      </w:r>
      <w:r>
        <w:rPr>
          <w:noProof/>
        </w:rPr>
        <w:tab/>
        <w:t>мерки за подпомагане на заетостта, включително чрез режими на работа при непълно работно време, преквалификация и обучение в засегнатите сектори;</w:t>
      </w:r>
    </w:p>
    <w:p>
      <w:pPr>
        <w:pStyle w:val="Point1"/>
        <w:rPr>
          <w:noProof/>
        </w:rPr>
      </w:pPr>
      <w:r>
        <w:rPr>
          <w:noProof/>
        </w:rPr>
        <w:t>д)</w:t>
      </w:r>
      <w:r>
        <w:rPr>
          <w:noProof/>
        </w:rPr>
        <w:tab/>
        <w:t>мерки за обезпечаване на функционирането на границата, митниците, санитарния и фитосанитарния контрол, сигурността и контрола на рибарството, както и събирането на косвени данъци, включително допълнителни персонал и инфраструктура;</w:t>
      </w:r>
    </w:p>
    <w:p>
      <w:pPr>
        <w:pStyle w:val="Point1"/>
        <w:rPr>
          <w:noProof/>
        </w:rPr>
      </w:pPr>
      <w:r>
        <w:rPr>
          <w:noProof/>
        </w:rPr>
        <w:t>е)</w:t>
      </w:r>
      <w:r>
        <w:rPr>
          <w:noProof/>
        </w:rPr>
        <w:tab/>
        <w:t>мерки за улесняване на режимите за издаване на сертификати и разрешителни за продукти, за подпомагане на изпълнението на изискванията за установяване, за улесняване на етикетирането и маркирането, например във връзка със стандартите за безопасност и здраве и екологичните стандарти, както и за помощ във връзка с взаимното признаване;</w:t>
      </w:r>
    </w:p>
    <w:p>
      <w:pPr>
        <w:pStyle w:val="Point1"/>
        <w:rPr>
          <w:noProof/>
        </w:rPr>
      </w:pPr>
      <w:r>
        <w:rPr>
          <w:noProof/>
        </w:rPr>
        <w:t>ж)</w:t>
      </w:r>
      <w:r>
        <w:rPr>
          <w:noProof/>
        </w:rPr>
        <w:tab/>
        <w:t xml:space="preserve">мерки за комуникация, разпространение на информация и повишаване на осведомеността на гражданите </w:t>
      </w:r>
      <w:r>
        <w:rPr>
          <w:noProof/>
        </w:rPr>
        <w:tab/>
        <w:t>и предприятията във връзка с произтичащите от оттеглянето промени в техните права и задължения.</w:t>
      </w:r>
    </w:p>
    <w:p>
      <w:pPr>
        <w:pStyle w:val="ManualNumPar1"/>
        <w:rPr>
          <w:noProof/>
        </w:rPr>
      </w:pPr>
      <w:r>
        <w:rPr>
          <w:noProof/>
        </w:rPr>
        <w:t>2.</w:t>
      </w:r>
      <w:r>
        <w:rPr>
          <w:noProof/>
        </w:rPr>
        <w:tab/>
        <w:t xml:space="preserve">Разходите са допустими, ако са направени и платени в рамките на референтния периоди за мерки, изпълнени в дадена държава членка или в полза на съответната държава членка. </w:t>
      </w:r>
    </w:p>
    <w:p>
      <w:pPr>
        <w:pStyle w:val="ManualNumPar1"/>
        <w:rPr>
          <w:noProof/>
        </w:rPr>
      </w:pPr>
      <w:r>
        <w:rPr>
          <w:noProof/>
        </w:rPr>
        <w:t>3.</w:t>
      </w:r>
      <w:r>
        <w:rPr>
          <w:noProof/>
        </w:rPr>
        <w:tab/>
        <w:t>При изготвянето на мерките за подпомагане държавите членки отчитат разнообразните последици от оттеглянето на Обединеното кралство от Съюза в различните региони и местни общности и насочват по целесъобразност подкрепата от резерва към най-силно засегнатите.</w:t>
      </w:r>
    </w:p>
    <w:p>
      <w:pPr>
        <w:pStyle w:val="ManualNumPar1"/>
        <w:rPr>
          <w:noProof/>
        </w:rPr>
      </w:pPr>
      <w:r>
        <w:rPr>
          <w:noProof/>
        </w:rPr>
        <w:t>4.</w:t>
      </w:r>
      <w:r>
        <w:rPr>
          <w:noProof/>
        </w:rPr>
        <w:tab/>
        <w:t xml:space="preserve">Мерките по член 1 съответстват на приложимото законодателство. </w:t>
      </w:r>
    </w:p>
    <w:p>
      <w:pPr>
        <w:pStyle w:val="ManualNumPar1"/>
        <w:rPr>
          <w:noProof/>
        </w:rPr>
      </w:pPr>
      <w:r>
        <w:rPr>
          <w:noProof/>
        </w:rPr>
        <w:t>5.</w:t>
      </w:r>
      <w:r>
        <w:rPr>
          <w:noProof/>
        </w:rPr>
        <w:tab/>
        <w:t>Допустимите съгласно параграф 1 мерки могат да получат подкрепа от други програми и инструменти на Съюза, при условие че тази подкрепа не покрива същите разходи.</w:t>
      </w:r>
    </w:p>
    <w:p>
      <w:pPr>
        <w:pStyle w:val="ManualNumPar1"/>
        <w:rPr>
          <w:noProof/>
          <w:szCs w:val="24"/>
        </w:rPr>
      </w:pPr>
      <w:r>
        <w:rPr>
          <w:noProof/>
        </w:rPr>
        <w:t xml:space="preserve">6. </w:t>
      </w:r>
      <w:r>
        <w:rPr>
          <w:noProof/>
        </w:rPr>
        <w:tab/>
        <w:t xml:space="preserve">Държавата членка изплаща обратно приноса от резерва за действие, включващо инвестиции в инфраструктура или производствени инвестиции, ако в срок от пет години от крайното плащане към получателите на финансовата подкрепа или в рамките на периода от време, определен в правилата за държавните помощи — когато е приложимо — по отношение на действието настъпи едно от следните събития: </w:t>
      </w:r>
    </w:p>
    <w:p>
      <w:pPr>
        <w:pStyle w:val="Point1"/>
        <w:rPr>
          <w:noProof/>
        </w:rPr>
      </w:pPr>
      <w:r>
        <w:rPr>
          <w:noProof/>
        </w:rPr>
        <w:t>а)</w:t>
      </w:r>
      <w:r>
        <w:rPr>
          <w:noProof/>
        </w:rPr>
        <w:tab/>
        <w:t>спиране или прехвърляне на производствена дейност извън държавата членка, в която е получена помощта;</w:t>
      </w:r>
    </w:p>
    <w:p>
      <w:pPr>
        <w:pStyle w:val="Point1"/>
        <w:rPr>
          <w:noProof/>
        </w:rPr>
      </w:pPr>
      <w:r>
        <w:rPr>
          <w:noProof/>
        </w:rPr>
        <w:t>б)</w:t>
      </w:r>
      <w:r>
        <w:rPr>
          <w:noProof/>
        </w:rPr>
        <w:tab/>
        <w:t xml:space="preserve">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 </w:t>
      </w:r>
    </w:p>
    <w:p>
      <w:pPr>
        <w:pStyle w:val="Point1"/>
        <w:rPr>
          <w:noProof/>
        </w:rPr>
      </w:pPr>
      <w:r>
        <w:rPr>
          <w:noProof/>
        </w:rPr>
        <w:lastRenderedPageBreak/>
        <w:t>в)</w:t>
      </w:r>
      <w:r>
        <w:rPr>
          <w:noProof/>
        </w:rPr>
        <w:tab/>
        <w:t xml:space="preserve">значителна промяна, която засяга естеството, целите или условията за изпълнение и която би довела до подкопаване на нейните първоначални цели. </w:t>
      </w:r>
    </w:p>
    <w:p>
      <w:pPr>
        <w:pStyle w:val="Text1"/>
        <w:rPr>
          <w:noProof/>
        </w:rPr>
      </w:pPr>
      <w:r>
        <w:rPr>
          <w:noProof/>
        </w:rPr>
        <w:t xml:space="preserve">Държавата членка има право да намали срока, посочен в първа алинея, на три години в случаи, свързани с поддържането на инвестиции или разкриването на работни места от страна на малки и средни предприятия. </w:t>
      </w:r>
    </w:p>
    <w:p>
      <w:pPr>
        <w:pStyle w:val="Text1"/>
        <w:rPr>
          <w:noProof/>
        </w:rPr>
      </w:pPr>
      <w:r>
        <w:rPr>
          <w:noProof/>
        </w:rPr>
        <w:t xml:space="preserve">Този параграф не се прилага към действия, при които настъпи прекратяване на производствена дейност вследствие на несъстоятелност, която не е с измамна цел. </w:t>
      </w:r>
    </w:p>
    <w:p>
      <w:pPr>
        <w:pStyle w:val="Titrearticle"/>
        <w:rPr>
          <w:noProof/>
        </w:rPr>
      </w:pPr>
      <w:r>
        <w:rPr>
          <w:noProof/>
        </w:rPr>
        <w:t xml:space="preserve">Член 6 </w:t>
      </w:r>
      <w:r>
        <w:rPr>
          <w:noProof/>
        </w:rPr>
        <w:cr/>
      </w:r>
      <w:r>
        <w:rPr>
          <w:noProof/>
        </w:rPr>
        <w:br/>
      </w:r>
      <w:r>
        <w:rPr>
          <w:b/>
          <w:i w:val="0"/>
          <w:noProof/>
        </w:rPr>
        <w:t>Изключване от помощта</w:t>
      </w:r>
    </w:p>
    <w:p>
      <w:pPr>
        <w:rPr>
          <w:noProof/>
          <w:szCs w:val="24"/>
        </w:rPr>
      </w:pPr>
      <w:r>
        <w:rPr>
          <w:noProof/>
        </w:rPr>
        <w:t>С резерва не се осигуряват средства за:</w:t>
      </w:r>
    </w:p>
    <w:p>
      <w:pPr>
        <w:pStyle w:val="Point0"/>
        <w:rPr>
          <w:noProof/>
        </w:rPr>
      </w:pPr>
      <w:r>
        <w:rPr>
          <w:noProof/>
        </w:rPr>
        <w:t>а)</w:t>
      </w:r>
      <w:r>
        <w:rPr>
          <w:noProof/>
        </w:rPr>
        <w:tab/>
        <w:t>данък върху добавената стойност;</w:t>
      </w:r>
    </w:p>
    <w:p>
      <w:pPr>
        <w:pStyle w:val="Point0"/>
        <w:rPr>
          <w:noProof/>
        </w:rPr>
      </w:pPr>
      <w:r>
        <w:rPr>
          <w:noProof/>
        </w:rPr>
        <w:t>б)</w:t>
      </w:r>
      <w:r>
        <w:rPr>
          <w:noProof/>
        </w:rPr>
        <w:tab/>
        <w:t xml:space="preserve">техническа помощ за управление, наблюдение, разпространение на информация и комуникация, разрешаване на жалби, както и контрол и одитиране на резерва; </w:t>
      </w:r>
    </w:p>
    <w:p>
      <w:pPr>
        <w:pStyle w:val="Point0"/>
        <w:rPr>
          <w:noProof/>
        </w:rPr>
      </w:pPr>
      <w:r>
        <w:rPr>
          <w:noProof/>
        </w:rPr>
        <w:t>в)</w:t>
      </w:r>
      <w:r>
        <w:rPr>
          <w:noProof/>
        </w:rPr>
        <w:tab/>
        <w:t xml:space="preserve">разходи като помощ за преместване, както е определено в член 2, параграф 6; </w:t>
      </w:r>
    </w:p>
    <w:p>
      <w:pPr>
        <w:pStyle w:val="Point0"/>
        <w:rPr>
          <w:noProof/>
        </w:rPr>
      </w:pPr>
      <w:r>
        <w:rPr>
          <w:noProof/>
        </w:rPr>
        <w:t>г)</w:t>
      </w:r>
      <w:r>
        <w:rPr>
          <w:noProof/>
        </w:rPr>
        <w:tab/>
        <w:t xml:space="preserve">разходи като помощ за преместване съгласно член 14, параграф 16 от Регламент (ЕС) № 651/2014 на Комисията, където приносът от резерва представлява държавна помощ. </w:t>
      </w:r>
    </w:p>
    <w:p>
      <w:pPr>
        <w:pStyle w:val="ChapterTitle"/>
        <w:rPr>
          <w:noProof/>
        </w:rPr>
      </w:pPr>
      <w:r>
        <w:rPr>
          <w:noProof/>
        </w:rPr>
        <w:t xml:space="preserve">Глава III </w:t>
      </w:r>
      <w:r>
        <w:rPr>
          <w:noProof/>
        </w:rPr>
        <w:cr/>
      </w:r>
      <w:r>
        <w:rPr>
          <w:noProof/>
        </w:rPr>
        <w:br/>
        <w:t>Финансово управление</w:t>
      </w:r>
    </w:p>
    <w:p>
      <w:pPr>
        <w:pStyle w:val="Titrearticle"/>
        <w:rPr>
          <w:noProof/>
        </w:rPr>
      </w:pPr>
      <w:r>
        <w:rPr>
          <w:noProof/>
        </w:rPr>
        <w:t xml:space="preserve">Член 7 </w:t>
      </w:r>
      <w:r>
        <w:rPr>
          <w:noProof/>
        </w:rPr>
        <w:cr/>
      </w:r>
      <w:r>
        <w:rPr>
          <w:noProof/>
        </w:rPr>
        <w:br/>
      </w:r>
      <w:r>
        <w:rPr>
          <w:b/>
          <w:i w:val="0"/>
          <w:noProof/>
        </w:rPr>
        <w:t>Изпълнение и форми на финансиране от Съюза</w:t>
      </w:r>
      <w:r>
        <w:rPr>
          <w:noProof/>
        </w:rPr>
        <w:t xml:space="preserve"> </w:t>
      </w:r>
    </w:p>
    <w:p>
      <w:pPr>
        <w:pStyle w:val="ManualNumPar1"/>
        <w:rPr>
          <w:noProof/>
        </w:rPr>
      </w:pPr>
      <w:r>
        <w:rPr>
          <w:noProof/>
        </w:rPr>
        <w:t>1.</w:t>
      </w:r>
      <w:r>
        <w:rPr>
          <w:noProof/>
        </w:rPr>
        <w:tab/>
        <w:t xml:space="preserve">Финансирането от резерва на държава членка се извършва при споделеното управление съгласно член 63 от Финансовия регламент. </w:t>
      </w:r>
    </w:p>
    <w:p>
      <w:pPr>
        <w:pStyle w:val="ManualNumPar1"/>
        <w:rPr>
          <w:noProof/>
        </w:rPr>
      </w:pPr>
      <w:r>
        <w:rPr>
          <w:noProof/>
        </w:rPr>
        <w:t>2.</w:t>
      </w:r>
      <w:r>
        <w:rPr>
          <w:noProof/>
        </w:rPr>
        <w:tab/>
        <w:t xml:space="preserve">Държавите членки използват финансовата подкрепа от резерва за изпълнение на мерките, посочени в член 5 за осигуряване на неподлежаща на връщане подкрепа. Финансирането от Съюза е във вид на възстановяване на действително направени допустими разходи, платени от държавите членки при изпълнението на мерките. </w:t>
      </w:r>
    </w:p>
    <w:p>
      <w:pPr>
        <w:pStyle w:val="ManualNumPar1"/>
        <w:rPr>
          <w:noProof/>
        </w:rPr>
      </w:pPr>
      <w:r>
        <w:rPr>
          <w:noProof/>
        </w:rPr>
        <w:t>3.</w:t>
      </w:r>
      <w:r>
        <w:rPr>
          <w:noProof/>
        </w:rPr>
        <w:tab/>
        <w:t xml:space="preserve">Поетите задължения и плащанията съгласно настоящия регламент се извършват в зависимост от наличието на финансиране. </w:t>
      </w:r>
    </w:p>
    <w:p>
      <w:pPr>
        <w:pStyle w:val="ManualNumPar1"/>
        <w:rPr>
          <w:noProof/>
        </w:rPr>
      </w:pPr>
      <w:r>
        <w:rPr>
          <w:noProof/>
        </w:rPr>
        <w:t>4.</w:t>
      </w:r>
      <w:r>
        <w:rPr>
          <w:noProof/>
        </w:rPr>
        <w:tab/>
        <w:t xml:space="preserve">Чрез дерогация от параграфи 5, 6 и 7 от член 63 от Финансовия регламент, документите, посочени в тези разпоредби, се подават веднъж съгласно член 10 от настоящия регламент. </w:t>
      </w:r>
    </w:p>
    <w:p>
      <w:pPr>
        <w:pStyle w:val="ManualNumPar1"/>
        <w:rPr>
          <w:noProof/>
        </w:rPr>
      </w:pPr>
      <w:r>
        <w:rPr>
          <w:noProof/>
        </w:rPr>
        <w:t>5.</w:t>
      </w:r>
      <w:r>
        <w:rPr>
          <w:noProof/>
        </w:rPr>
        <w:tab/>
        <w:t xml:space="preserve">Чрез дерогация от член 12 от Финансовия регламент, неизползваните бюджетни кредити за поети задължения и за плащания съгласно настоящия </w:t>
      </w:r>
      <w:r>
        <w:rPr>
          <w:noProof/>
        </w:rPr>
        <w:lastRenderedPageBreak/>
        <w:t>регламент се пренасят автоматично и може да бъдат използвани до 31 декември 2025 г. Пренесените бюджетни кредити се изразходват първи през следващата финансова година.</w:t>
      </w:r>
    </w:p>
    <w:p>
      <w:pPr>
        <w:pStyle w:val="Titrearticle"/>
        <w:rPr>
          <w:noProof/>
        </w:rPr>
      </w:pPr>
      <w:r>
        <w:rPr>
          <w:noProof/>
        </w:rPr>
        <w:t xml:space="preserve">Член 8 </w:t>
      </w:r>
      <w:r>
        <w:rPr>
          <w:noProof/>
        </w:rPr>
        <w:cr/>
      </w:r>
      <w:r>
        <w:rPr>
          <w:noProof/>
        </w:rPr>
        <w:br/>
      </w:r>
      <w:r>
        <w:rPr>
          <w:b/>
          <w:i w:val="0"/>
          <w:noProof/>
        </w:rPr>
        <w:t>Предварително финансиране</w:t>
      </w:r>
    </w:p>
    <w:p>
      <w:pPr>
        <w:pStyle w:val="ManualNumPar1"/>
        <w:rPr>
          <w:noProof/>
        </w:rPr>
      </w:pPr>
      <w:r>
        <w:rPr>
          <w:noProof/>
        </w:rPr>
        <w:t>1.</w:t>
      </w:r>
      <w:r>
        <w:rPr>
          <w:noProof/>
        </w:rPr>
        <w:tab/>
        <w:t>Критериите за разпределение на предварителното финансиране, което ще бъде изплатено от Комисията на държавите членки, са определени в приложение I.</w:t>
      </w:r>
    </w:p>
    <w:p>
      <w:pPr>
        <w:pStyle w:val="ManualNumPar1"/>
        <w:rPr>
          <w:noProof/>
        </w:rPr>
      </w:pPr>
      <w:r>
        <w:rPr>
          <w:noProof/>
        </w:rPr>
        <w:t>2.</w:t>
      </w:r>
      <w:r>
        <w:rPr>
          <w:noProof/>
        </w:rPr>
        <w:tab/>
        <w:t xml:space="preserve">След получаване на информацията, изисквана съгласно член 13, параграф 1, буква г) от настоящия регламент, Комисията, чрез акт за изпълнение, определя разбивката на ресурсите по член 4, параграф 3, буква а) от настоящия регламент за всяка държава членка. Актът за изпълнение представлява решение за финансиране по смисъла на член 110, параграф 1 от Финансовия регламент и правното задължение по смисъла на този регламент. Чрез дерогация от член 110, параграф 2 от Финансовия регламент, това решение за финансиране не включва описание на действията, които трябва да бъдат финансирани. </w:t>
      </w:r>
    </w:p>
    <w:p>
      <w:pPr>
        <w:pStyle w:val="ManualNumPar1"/>
        <w:rPr>
          <w:noProof/>
        </w:rPr>
      </w:pPr>
      <w:r>
        <w:rPr>
          <w:noProof/>
        </w:rPr>
        <w:t>3.</w:t>
      </w:r>
      <w:r>
        <w:rPr>
          <w:noProof/>
        </w:rPr>
        <w:tab/>
        <w:t>Комисията изплаща предварителното финансиране в срок до 60 дни от датата на приемането на акта за изпълнение, посочен в параграф 2. То се уравнява съгласно член 11.</w:t>
      </w:r>
    </w:p>
    <w:p>
      <w:pPr>
        <w:pStyle w:val="ManualNumPar1"/>
        <w:rPr>
          <w:noProof/>
        </w:rPr>
      </w:pPr>
      <w:r>
        <w:rPr>
          <w:noProof/>
        </w:rPr>
        <w:t>4.</w:t>
      </w:r>
      <w:r>
        <w:rPr>
          <w:noProof/>
        </w:rPr>
        <w:tab/>
        <w:t>Разпределените суми, които не са изплатени при предварителното финансиране, се пренасят и използват за допълнителни плащания съгласно член 11, параграф 3.</w:t>
      </w:r>
    </w:p>
    <w:p>
      <w:pPr>
        <w:pStyle w:val="Titrearticle"/>
        <w:rPr>
          <w:noProof/>
        </w:rPr>
      </w:pPr>
      <w:r>
        <w:rPr>
          <w:noProof/>
        </w:rPr>
        <w:t xml:space="preserve">Член 9 </w:t>
      </w:r>
      <w:r>
        <w:rPr>
          <w:noProof/>
        </w:rPr>
        <w:cr/>
      </w:r>
      <w:r>
        <w:rPr>
          <w:noProof/>
        </w:rPr>
        <w:br/>
      </w:r>
      <w:r>
        <w:rPr>
          <w:b/>
          <w:i w:val="0"/>
          <w:noProof/>
        </w:rPr>
        <w:t>Подаване на заявления за финансова помощ от резерва</w:t>
      </w:r>
    </w:p>
    <w:p>
      <w:pPr>
        <w:pStyle w:val="ManualNumPar1"/>
        <w:rPr>
          <w:noProof/>
        </w:rPr>
      </w:pPr>
      <w:r>
        <w:rPr>
          <w:noProof/>
        </w:rPr>
        <w:t>1.</w:t>
      </w:r>
      <w:r>
        <w:rPr>
          <w:noProof/>
        </w:rPr>
        <w:tab/>
        <w:t xml:space="preserve">До 30 септември 2023 г. държавите членки подават до Комисията заявление за финансиране от резерва. Комисията оценява това заявление и установява дали на държавите членки се дължат допълнителни суми, или такива следва да бъдат събрани от държавите членки съгласно член 11. </w:t>
      </w:r>
    </w:p>
    <w:p>
      <w:pPr>
        <w:pStyle w:val="ManualNumPar1"/>
        <w:rPr>
          <w:noProof/>
        </w:rPr>
      </w:pPr>
      <w:r>
        <w:rPr>
          <w:noProof/>
        </w:rPr>
        <w:t>2.</w:t>
      </w:r>
      <w:r>
        <w:rPr>
          <w:noProof/>
        </w:rPr>
        <w:tab/>
        <w:t xml:space="preserve">В случай че държава членка не подаде заявление за финансиране от резерва до 30 септември 2023 г., Комисията събира цялата сума, изплатена на съответната държава членка при предварителното финансиране. </w:t>
      </w:r>
    </w:p>
    <w:p>
      <w:pPr>
        <w:pStyle w:val="Titrearticle"/>
        <w:rPr>
          <w:noProof/>
        </w:rPr>
      </w:pPr>
      <w:r>
        <w:rPr>
          <w:noProof/>
        </w:rPr>
        <w:t xml:space="preserve">Член 10 </w:t>
      </w:r>
      <w:r>
        <w:rPr>
          <w:noProof/>
        </w:rPr>
        <w:cr/>
      </w:r>
      <w:r>
        <w:rPr>
          <w:noProof/>
        </w:rPr>
        <w:br/>
      </w:r>
      <w:r>
        <w:rPr>
          <w:b/>
          <w:i w:val="0"/>
          <w:noProof/>
        </w:rPr>
        <w:t>Съдържание на заявлението за финансиране</w:t>
      </w:r>
      <w:r>
        <w:rPr>
          <w:noProof/>
        </w:rPr>
        <w:t xml:space="preserve"> </w:t>
      </w:r>
    </w:p>
    <w:p>
      <w:pPr>
        <w:pStyle w:val="ManualNumPar1"/>
        <w:rPr>
          <w:noProof/>
        </w:rPr>
      </w:pPr>
      <w:r>
        <w:rPr>
          <w:noProof/>
        </w:rPr>
        <w:t>1.</w:t>
      </w:r>
      <w:r>
        <w:rPr>
          <w:noProof/>
        </w:rPr>
        <w:tab/>
        <w:t xml:space="preserve">За заявлението се използва образецът от приложение II. Заявлението включва информация за общия размер на публичните разходи, направени и платени от държавите членки, както и стойностите на показатели за изпълнение на подпомаганите мерки. То се придружава от документите, посочени в член 63, параграфи 5, 6 и 7 от Финансовия регламент, и от доклад за изпълнение. </w:t>
      </w:r>
    </w:p>
    <w:p>
      <w:pPr>
        <w:pStyle w:val="ManualNumPar1"/>
        <w:rPr>
          <w:noProof/>
        </w:rPr>
      </w:pPr>
      <w:r>
        <w:rPr>
          <w:noProof/>
        </w:rPr>
        <w:t>2.</w:t>
      </w:r>
      <w:r>
        <w:rPr>
          <w:noProof/>
        </w:rPr>
        <w:tab/>
        <w:t>Докладът за изпълнение на резерва съдържа:</w:t>
      </w:r>
    </w:p>
    <w:p>
      <w:pPr>
        <w:pStyle w:val="Point1"/>
        <w:rPr>
          <w:noProof/>
        </w:rPr>
      </w:pPr>
      <w:r>
        <w:rPr>
          <w:noProof/>
        </w:rPr>
        <w:lastRenderedPageBreak/>
        <w:t>а)</w:t>
      </w:r>
      <w:r>
        <w:rPr>
          <w:noProof/>
        </w:rPr>
        <w:tab/>
        <w:t>описание на последиците от оттеглянето на Обединеното кралство от Съюза в икономическо и социално отношение, включително посочване на най-силно засегнатите региони, области и сектори;</w:t>
      </w:r>
    </w:p>
    <w:p>
      <w:pPr>
        <w:pStyle w:val="Point1"/>
        <w:rPr>
          <w:noProof/>
        </w:rPr>
      </w:pPr>
      <w:r>
        <w:rPr>
          <w:noProof/>
        </w:rPr>
        <w:t>б)</w:t>
      </w:r>
      <w:r>
        <w:rPr>
          <w:noProof/>
        </w:rPr>
        <w:tab/>
        <w:t>описание на предприетите мерки за противодействие на неблагоприятните последици от оттеглянето на Обединеното кралство от Съюза, на степента, до която тези мерки са довели до преодоляването на регионалните и секторните последици, посочени в буква а), и на начина на тяхното изпълнение;</w:t>
      </w:r>
    </w:p>
    <w:p>
      <w:pPr>
        <w:pStyle w:val="Point1"/>
        <w:rPr>
          <w:noProof/>
        </w:rPr>
      </w:pPr>
      <w:r>
        <w:rPr>
          <w:noProof/>
        </w:rPr>
        <w:t>в)</w:t>
      </w:r>
      <w:r>
        <w:rPr>
          <w:noProof/>
        </w:rPr>
        <w:tab/>
        <w:t xml:space="preserve">обосновка за допустимостта на направените и платените разходи и на тяхната пряка връзка с оттеглянето на Обединеното кралство от Съюза; </w:t>
      </w:r>
    </w:p>
    <w:p>
      <w:pPr>
        <w:pStyle w:val="Point1"/>
        <w:rPr>
          <w:noProof/>
        </w:rPr>
      </w:pPr>
      <w:r>
        <w:rPr>
          <w:noProof/>
        </w:rPr>
        <w:t>г)</w:t>
      </w:r>
      <w:r>
        <w:rPr>
          <w:noProof/>
        </w:rPr>
        <w:tab/>
        <w:t>описание на предприетите мерки за избягване на двойното финансиране и обезпечаване на взаимното допълване с други инструменти на Съюза и национално финансиране;</w:t>
      </w:r>
    </w:p>
    <w:p>
      <w:pPr>
        <w:pStyle w:val="Point1"/>
        <w:rPr>
          <w:noProof/>
        </w:rPr>
      </w:pPr>
      <w:r>
        <w:rPr>
          <w:noProof/>
        </w:rPr>
        <w:t>д)</w:t>
      </w:r>
      <w:r>
        <w:rPr>
          <w:noProof/>
        </w:rPr>
        <w:tab/>
        <w:t>описание на приноса на мерките за смекчаване на последиците от изменението на климата и адаптация към изменението на климата.</w:t>
      </w:r>
    </w:p>
    <w:p>
      <w:pPr>
        <w:pStyle w:val="ManualNumPar1"/>
        <w:rPr>
          <w:noProof/>
        </w:rPr>
      </w:pPr>
      <w:r>
        <w:rPr>
          <w:noProof/>
        </w:rPr>
        <w:t>3.</w:t>
      </w:r>
      <w:r>
        <w:rPr>
          <w:noProof/>
        </w:rPr>
        <w:tab/>
        <w:t>В обобщението съгласно член 63, параграф 5, буква б) от Финансовия регламент се посочват общият процент на грешка и процентът на остатъчна грешка по отношение на вписаните в подаденото до Комисията заявление разходи, направени в резултат на изпълнените коригиращи действия.</w:t>
      </w:r>
    </w:p>
    <w:p>
      <w:pPr>
        <w:pStyle w:val="Titrearticle"/>
        <w:rPr>
          <w:noProof/>
        </w:rPr>
      </w:pPr>
      <w:r>
        <w:rPr>
          <w:noProof/>
        </w:rPr>
        <w:t xml:space="preserve">Член 11 </w:t>
      </w:r>
      <w:r>
        <w:rPr>
          <w:noProof/>
        </w:rPr>
        <w:cr/>
      </w:r>
      <w:r>
        <w:rPr>
          <w:noProof/>
        </w:rPr>
        <w:br/>
      </w:r>
      <w:r>
        <w:rPr>
          <w:b/>
          <w:i w:val="0"/>
          <w:noProof/>
        </w:rPr>
        <w:t>Уравняване на предварителното финансиране и изчисление на дължимите към държавите членки допълнителни суми</w:t>
      </w:r>
    </w:p>
    <w:p>
      <w:pPr>
        <w:pStyle w:val="ManualNumPar1"/>
        <w:rPr>
          <w:bCs/>
          <w:noProof/>
        </w:rPr>
      </w:pPr>
      <w:r>
        <w:rPr>
          <w:noProof/>
        </w:rPr>
        <w:t>1.</w:t>
      </w:r>
      <w:r>
        <w:rPr>
          <w:noProof/>
        </w:rPr>
        <w:tab/>
        <w:t xml:space="preserve">Комисията оценява заявлението по член 10 и се уверява, че заявлението съдържа пълна, точна и вярна информация. При изчислението на финансирането, дължимо на държавите членки от резерва, Комисията изключва от финансиране от Съюза разходите за мерки, които са били изпълнени или за които са направени плащания в нарушение на приложимото право. </w:t>
      </w:r>
    </w:p>
    <w:p>
      <w:pPr>
        <w:pStyle w:val="ManualNumPar1"/>
        <w:rPr>
          <w:noProof/>
        </w:rPr>
      </w:pPr>
      <w:r>
        <w:rPr>
          <w:noProof/>
        </w:rPr>
        <w:t>2.</w:t>
      </w:r>
      <w:r>
        <w:rPr>
          <w:noProof/>
        </w:rPr>
        <w:tab/>
        <w:t>Въз основа на оценката Комисията установява посредством акт за изпълнение следното:</w:t>
      </w:r>
    </w:p>
    <w:p>
      <w:pPr>
        <w:pStyle w:val="Point1"/>
        <w:rPr>
          <w:noProof/>
        </w:rPr>
      </w:pPr>
      <w:r>
        <w:rPr>
          <w:noProof/>
        </w:rPr>
        <w:t>а)</w:t>
      </w:r>
      <w:r>
        <w:rPr>
          <w:noProof/>
        </w:rPr>
        <w:tab/>
        <w:t xml:space="preserve">общия размер на допустимите публични разходи („приетата сума“); </w:t>
      </w:r>
    </w:p>
    <w:p>
      <w:pPr>
        <w:pStyle w:val="Point1"/>
        <w:rPr>
          <w:noProof/>
        </w:rPr>
      </w:pPr>
      <w:r>
        <w:rPr>
          <w:noProof/>
        </w:rPr>
        <w:t>б)</w:t>
      </w:r>
      <w:r>
        <w:rPr>
          <w:noProof/>
        </w:rPr>
        <w:tab/>
        <w:t>дали на държавата членка са дължими допълнителни суми в съответствие с параграф 3, или трябва да бъдат събрани суми съгласно параграф 5.</w:t>
      </w:r>
    </w:p>
    <w:p>
      <w:pPr>
        <w:pStyle w:val="ManualNumPar1"/>
        <w:rPr>
          <w:noProof/>
        </w:rPr>
      </w:pPr>
      <w:r>
        <w:rPr>
          <w:noProof/>
        </w:rPr>
        <w:t>3.</w:t>
      </w:r>
      <w:r>
        <w:rPr>
          <w:noProof/>
        </w:rPr>
        <w:tab/>
        <w:t xml:space="preserve">В случай че приетата сума надвишава както размера на предварителното финансиране, така и прага от 0,06 % от номиналния БНД за 2021 г. на дадена държава членка, на тази държава членка се дължи допълнителна сума от заделената сума, посочена в член 4, параграф 3, точка б), и всички суми, пренесени съгласно член 8, параграф 4. </w:t>
      </w:r>
    </w:p>
    <w:p>
      <w:pPr>
        <w:pStyle w:val="Text1"/>
        <w:ind w:left="851"/>
        <w:rPr>
          <w:noProof/>
        </w:rPr>
      </w:pPr>
      <w:r>
        <w:rPr>
          <w:noProof/>
        </w:rPr>
        <w:t xml:space="preserve">В този случай Комисията изплаща по-голямата от двете суми, превишаващи предварителното плащане, изплатено на въпросната държава членка, или прага от 0,06 % от номиналния БНД за 2021 г. </w:t>
      </w:r>
    </w:p>
    <w:p>
      <w:pPr>
        <w:pStyle w:val="Text1"/>
        <w:ind w:left="851"/>
        <w:rPr>
          <w:noProof/>
        </w:rPr>
      </w:pPr>
      <w:r>
        <w:rPr>
          <w:noProof/>
        </w:rPr>
        <w:t xml:space="preserve">Когато размерът на допълнителните суми за всички държави членки, изчислени съгласно първа алинея от настоящия параграф, надвишава </w:t>
      </w:r>
      <w:r>
        <w:rPr>
          <w:noProof/>
        </w:rPr>
        <w:lastRenderedPageBreak/>
        <w:t xml:space="preserve">ресурсите, налични съгласно член 4, параграф 3, буква б), плащанията от резерва се намаляват пропорционално. </w:t>
      </w:r>
    </w:p>
    <w:p>
      <w:pPr>
        <w:pStyle w:val="ManualNumPar1"/>
        <w:rPr>
          <w:noProof/>
        </w:rPr>
      </w:pPr>
      <w:r>
        <w:rPr>
          <w:noProof/>
        </w:rPr>
        <w:t>4.</w:t>
      </w:r>
      <w:r>
        <w:rPr>
          <w:noProof/>
        </w:rPr>
        <w:tab/>
        <w:t xml:space="preserve">Що се отнася до допълнителните суми, дължими съгласно параграф 3 от настоящия член, актът за изпълнение по параграф 2 от настоящия член представлява решение за финансиране по смисъла на член 110, параграф 1 от Финансовия регламент и правното задължение по смисъла на същия регламент. </w:t>
      </w:r>
    </w:p>
    <w:p>
      <w:pPr>
        <w:pStyle w:val="ManualNumPar1"/>
        <w:rPr>
          <w:noProof/>
        </w:rPr>
      </w:pPr>
      <w:r>
        <w:rPr>
          <w:noProof/>
        </w:rPr>
        <w:t>5.</w:t>
      </w:r>
      <w:r>
        <w:rPr>
          <w:noProof/>
        </w:rPr>
        <w:tab/>
        <w:t>Комисията извършва уравняване на съответното предварително финансиране и изплаща всички допълнителни дължими суми в срок до 60 дни от приемането на акта за изпълнение по член 2.</w:t>
      </w:r>
    </w:p>
    <w:p>
      <w:pPr>
        <w:pStyle w:val="ManualNumPar1"/>
        <w:rPr>
          <w:noProof/>
        </w:rPr>
      </w:pPr>
      <w:r>
        <w:rPr>
          <w:noProof/>
        </w:rPr>
        <w:t>6.</w:t>
      </w:r>
      <w:r>
        <w:rPr>
          <w:noProof/>
        </w:rPr>
        <w:tab/>
        <w:t>Когато приетата сума е по-ниска от предварителното финансиране за дадена държава членка, сумата се събира съгласно Финансовия регламент, и по-специално част I, глава 6, раздели 3, 4 и 5. Събраните суми се третират като вътрешни целеви приходи съгласно член 21, параграф 3, буква б) от Финансовия регламент, а когато е приложен параграф 3, трета алинея от настоящия член, се използват с цел пропорционално увеличаване на вноските, които се изплащат на държавите членки, имащи право на допълнителни суми съгласно параграф 3 от настоящия член с максимален размер до 100 %. В случай че плащания към държави членки съгласно параграф 3 от настоящия член са направени в размер на 100 %, събраните суми се връщат в общия бюджет на Съюза.</w:t>
      </w:r>
    </w:p>
    <w:p>
      <w:pPr>
        <w:pStyle w:val="ManualNumPar1"/>
        <w:rPr>
          <w:noProof/>
        </w:rPr>
      </w:pPr>
      <w:r>
        <w:rPr>
          <w:noProof/>
        </w:rPr>
        <w:t>7.</w:t>
      </w:r>
      <w:r>
        <w:rPr>
          <w:noProof/>
        </w:rPr>
        <w:tab/>
        <w:t>Посредством акт за изпълнение Комисията определя допълнителните суми, дължими съгласно параграф 6, второ изречение от настоящия член. Актът за изпълнение представлява решение за финансиране по смисъла на член 110, параграф 1 от Финансовия регламент и правното задължение по смисъла на този регламент. Комисията изплаща всички дължими допълнителни суми в срок до 60 дни от приемането на този акт за изпълнение.</w:t>
      </w:r>
    </w:p>
    <w:p>
      <w:pPr>
        <w:pStyle w:val="ManualNumPar1"/>
        <w:rPr>
          <w:noProof/>
        </w:rPr>
      </w:pPr>
      <w:r>
        <w:rPr>
          <w:noProof/>
        </w:rPr>
        <w:t>8.</w:t>
      </w:r>
      <w:r>
        <w:rPr>
          <w:noProof/>
        </w:rPr>
        <w:tab/>
        <w:t>Преди приемането на актовете за изпълнение, посочени в параграфи 2 и 7, Комисията информира държавата членка за своята оценка и отправя покана към нея да представи своето становище в срок от два месеца.</w:t>
      </w:r>
    </w:p>
    <w:p>
      <w:pPr>
        <w:pStyle w:val="Titrearticle"/>
        <w:rPr>
          <w:noProof/>
        </w:rPr>
      </w:pPr>
      <w:r>
        <w:rPr>
          <w:noProof/>
        </w:rPr>
        <w:t xml:space="preserve">Член 12 </w:t>
      </w:r>
      <w:r>
        <w:rPr>
          <w:noProof/>
        </w:rPr>
        <w:cr/>
      </w:r>
      <w:r>
        <w:rPr>
          <w:noProof/>
        </w:rPr>
        <w:br/>
      </w:r>
      <w:r>
        <w:rPr>
          <w:b/>
          <w:i w:val="0"/>
          <w:noProof/>
        </w:rPr>
        <w:t>Употреба на евро</w:t>
      </w:r>
    </w:p>
    <w:p>
      <w:pPr>
        <w:rPr>
          <w:noProof/>
        </w:rPr>
      </w:pPr>
      <w:r>
        <w:rPr>
          <w:noProof/>
        </w:rPr>
        <w:t>Всички суми, декларирани в заявлението за финансиране на държави членки до Комисията, се изразяват в евро. Държавите членки, които не са приели еврото за своя парична единица, превръщат в евро сумите от заявлението за финансиране с помощта на месечния счетоводен обменен курс на Комисията за месеца преди подаването на заявлението.</w:t>
      </w:r>
    </w:p>
    <w:p>
      <w:pPr>
        <w:pStyle w:val="ChapterTitle"/>
        <w:rPr>
          <w:noProof/>
        </w:rPr>
      </w:pPr>
      <w:r>
        <w:rPr>
          <w:noProof/>
        </w:rPr>
        <w:lastRenderedPageBreak/>
        <w:t xml:space="preserve">Глава IV </w:t>
      </w:r>
      <w:r>
        <w:rPr>
          <w:noProof/>
        </w:rPr>
        <w:cr/>
      </w:r>
      <w:r>
        <w:rPr>
          <w:noProof/>
        </w:rPr>
        <w:br/>
        <w:t>Системи за управление и контрол</w:t>
      </w:r>
    </w:p>
    <w:p>
      <w:pPr>
        <w:pStyle w:val="Titrearticle"/>
        <w:rPr>
          <w:noProof/>
        </w:rPr>
      </w:pPr>
      <w:r>
        <w:rPr>
          <w:noProof/>
        </w:rPr>
        <w:t xml:space="preserve">Член 13 </w:t>
      </w:r>
      <w:r>
        <w:rPr>
          <w:noProof/>
        </w:rPr>
        <w:cr/>
      </w:r>
      <w:r>
        <w:rPr>
          <w:noProof/>
        </w:rPr>
        <w:br/>
      </w:r>
      <w:r>
        <w:rPr>
          <w:b/>
          <w:i w:val="0"/>
          <w:noProof/>
        </w:rPr>
        <w:t>Управление и контрол</w:t>
      </w:r>
      <w:r>
        <w:rPr>
          <w:noProof/>
        </w:rPr>
        <w:t xml:space="preserve"> </w:t>
      </w:r>
    </w:p>
    <w:p>
      <w:pPr>
        <w:pStyle w:val="ManualNumPar1"/>
        <w:rPr>
          <w:noProof/>
        </w:rPr>
      </w:pPr>
      <w:r>
        <w:rPr>
          <w:noProof/>
        </w:rPr>
        <w:t>1.</w:t>
      </w:r>
      <w:r>
        <w:rPr>
          <w:noProof/>
        </w:rPr>
        <w:tab/>
        <w:t>При извършването на задачи по изпълнението на резерва държавите членки вземат всички необходими мерки, в това число законодателни, регулаторни и административни мерки, за да защитят финансовите интереси на Съюза, а именно като:</w:t>
      </w:r>
    </w:p>
    <w:p>
      <w:pPr>
        <w:pStyle w:val="Point1"/>
        <w:rPr>
          <w:noProof/>
        </w:rPr>
      </w:pPr>
      <w:r>
        <w:rPr>
          <w:noProof/>
        </w:rPr>
        <w:t>а)</w:t>
      </w:r>
      <w:r>
        <w:rPr>
          <w:noProof/>
        </w:rPr>
        <w:tab/>
        <w:t>определят орган, който да отговаря за управлението на финансирането от резерва, и независим одитен орган в съответствие с член 63, параграф 3 от Финансовия регламент и осъществяват надзор върху тези органи;</w:t>
      </w:r>
    </w:p>
    <w:p>
      <w:pPr>
        <w:pStyle w:val="Point1"/>
        <w:rPr>
          <w:noProof/>
        </w:rPr>
      </w:pPr>
      <w:r>
        <w:rPr>
          <w:noProof/>
        </w:rPr>
        <w:t>б)</w:t>
      </w:r>
      <w:r>
        <w:rPr>
          <w:noProof/>
        </w:rPr>
        <w:tab/>
        <w:t>създават системи за управление и контрол на резерва в съответствие с принципите на доброто финансово управление и обезпечават ефективното функциониране на тези системи;</w:t>
      </w:r>
    </w:p>
    <w:p>
      <w:pPr>
        <w:pStyle w:val="Point1"/>
        <w:rPr>
          <w:noProof/>
        </w:rPr>
      </w:pPr>
      <w:r>
        <w:rPr>
          <w:noProof/>
        </w:rPr>
        <w:t>в)</w:t>
      </w:r>
      <w:r>
        <w:rPr>
          <w:noProof/>
        </w:rPr>
        <w:tab/>
        <w:t>изготвят описание на системата за управление и контрол съгласно образеца, посочен в приложение III, редовно актуализират описанието и при поискване го предоставят на Комисията;</w:t>
      </w:r>
    </w:p>
    <w:p>
      <w:pPr>
        <w:pStyle w:val="Point1"/>
        <w:rPr>
          <w:noProof/>
        </w:rPr>
      </w:pPr>
      <w:r>
        <w:rPr>
          <w:noProof/>
        </w:rPr>
        <w:t>г)</w:t>
      </w:r>
      <w:r>
        <w:rPr>
          <w:noProof/>
        </w:rPr>
        <w:tab/>
        <w:t>в срок от три месеца от влизането в сила на настоящия регламент уведомяват Комисията за идентификационните данни на определените органи и на органа, на който ще бъде изплатено предварителното финансиране, и потвърждават, че описанията на системите са съставени;</w:t>
      </w:r>
    </w:p>
    <w:p>
      <w:pPr>
        <w:pStyle w:val="Point1"/>
        <w:rPr>
          <w:noProof/>
        </w:rPr>
      </w:pPr>
      <w:r>
        <w:rPr>
          <w:noProof/>
        </w:rPr>
        <w:t>д)</w:t>
      </w:r>
      <w:r>
        <w:rPr>
          <w:noProof/>
        </w:rPr>
        <w:tab/>
        <w:t>следят за това разходите, за които се предоставя подкрепа по линия на други програми и инструменти на Съюза, да не бъдат включени в подпомагането от резерва;</w:t>
      </w:r>
    </w:p>
    <w:p>
      <w:pPr>
        <w:pStyle w:val="Point1"/>
        <w:rPr>
          <w:noProof/>
        </w:rPr>
      </w:pPr>
      <w:r>
        <w:rPr>
          <w:noProof/>
        </w:rPr>
        <w:t>е)</w:t>
      </w:r>
      <w:r>
        <w:rPr>
          <w:noProof/>
        </w:rPr>
        <w:tab/>
        <w:t>предотвратяват, откриват и отстраняват нередности и измами и избягват конфликти на интереси, включително чрез използване на общ инструмент за анализ на данни, предоставен от Комисията;</w:t>
      </w:r>
    </w:p>
    <w:p>
      <w:pPr>
        <w:pStyle w:val="Point1"/>
        <w:rPr>
          <w:noProof/>
        </w:rPr>
      </w:pPr>
      <w:r>
        <w:rPr>
          <w:noProof/>
        </w:rPr>
        <w:t>ж)</w:t>
      </w:r>
      <w:r>
        <w:rPr>
          <w:noProof/>
        </w:rPr>
        <w:tab/>
        <w:t>сътрудничат с Комисията, OLAF, Сметната палата, а по отношение на държавите членки, участващи в засилено сътрудничество съгласно Регламент (ЕС) 2017/1939 — с Европейската прокуратура.</w:t>
      </w:r>
    </w:p>
    <w:p>
      <w:pPr>
        <w:pStyle w:val="Text1"/>
        <w:rPr>
          <w:noProof/>
        </w:rPr>
      </w:pPr>
      <w:r>
        <w:rPr>
          <w:noProof/>
        </w:rPr>
        <w:t>Работата с инструмента за анализ на данни, посочен в буква е), и достъпът до него се ограничават до органите по буква а), Комисията, OLAF, Сметната палата, а за държавите членки, участващи в засилено сътрудничество съгласно Регламент (ЕС) 2017/1939 — до Европейската прокуратура.</w:t>
      </w:r>
    </w:p>
    <w:p>
      <w:pPr>
        <w:pStyle w:val="Text1"/>
        <w:rPr>
          <w:noProof/>
        </w:rPr>
      </w:pPr>
      <w:r>
        <w:rPr>
          <w:noProof/>
        </w:rPr>
        <w:t>Държавите членки и Комисията имат право да обработват лични данни само когато това е необходимо за целите на изпълнението на техните задължения съгласно настоящия регламент и да обработват лични данни в съответствие с Регламент (ЕС) 2016/679</w:t>
      </w:r>
      <w:r>
        <w:rPr>
          <w:rStyle w:val="FootnoteReference0"/>
          <w:noProof/>
        </w:rPr>
        <w:footnoteReference w:id="22"/>
      </w:r>
      <w:r>
        <w:rPr>
          <w:noProof/>
        </w:rPr>
        <w:t xml:space="preserve"> или Регламент (ЕС) 2018/1725, в зависимост от това кое от двете се прилага.</w:t>
      </w:r>
    </w:p>
    <w:p>
      <w:pPr>
        <w:pStyle w:val="ManualNumPar1"/>
        <w:rPr>
          <w:noProof/>
        </w:rPr>
      </w:pPr>
      <w:r>
        <w:rPr>
          <w:noProof/>
        </w:rPr>
        <w:lastRenderedPageBreak/>
        <w:t>2.</w:t>
      </w:r>
      <w:r>
        <w:rPr>
          <w:noProof/>
        </w:rPr>
        <w:tab/>
        <w:t xml:space="preserve">За целите на параграф 1, букви а) и б) държавите членки могат да използват органите и системите за управление и контрол, които вече са въведени във връзка с изпълнението на финансирането по политиката на сближаване или фонд „Солидарност“ на Европейския съюз. </w:t>
      </w:r>
    </w:p>
    <w:p>
      <w:pPr>
        <w:pStyle w:val="ManualNumPar1"/>
        <w:rPr>
          <w:noProof/>
        </w:rPr>
      </w:pPr>
      <w:r>
        <w:rPr>
          <w:noProof/>
        </w:rPr>
        <w:t>3.</w:t>
      </w:r>
      <w:r>
        <w:rPr>
          <w:noProof/>
        </w:rPr>
        <w:tab/>
        <w:t xml:space="preserve">Органът, който отговаря за управлението на финансирането от резерва: </w:t>
      </w:r>
    </w:p>
    <w:p>
      <w:pPr>
        <w:pStyle w:val="Point1"/>
        <w:rPr>
          <w:noProof/>
        </w:rPr>
      </w:pPr>
      <w:r>
        <w:rPr>
          <w:noProof/>
        </w:rPr>
        <w:t>а)</w:t>
      </w:r>
      <w:r>
        <w:rPr>
          <w:noProof/>
        </w:rPr>
        <w:tab/>
        <w:t>обезпечава функционирането на ефикасна система за вътрешен контрол;</w:t>
      </w:r>
    </w:p>
    <w:p>
      <w:pPr>
        <w:pStyle w:val="Point1"/>
        <w:rPr>
          <w:noProof/>
        </w:rPr>
      </w:pPr>
      <w:r>
        <w:rPr>
          <w:noProof/>
        </w:rPr>
        <w:t>б)</w:t>
      </w:r>
      <w:r>
        <w:rPr>
          <w:noProof/>
        </w:rPr>
        <w:tab/>
        <w:t>установява критерии и процедури за избора на мерки, които трябва да бъдат финансирани, и определя условията за получаване на финансиране от резерва;</w:t>
      </w:r>
    </w:p>
    <w:p>
      <w:pPr>
        <w:pStyle w:val="Point1"/>
        <w:rPr>
          <w:noProof/>
        </w:rPr>
      </w:pPr>
      <w:r>
        <w:rPr>
          <w:noProof/>
        </w:rPr>
        <w:t>в)</w:t>
      </w:r>
      <w:r>
        <w:rPr>
          <w:noProof/>
        </w:rPr>
        <w:tab/>
        <w:t xml:space="preserve">проверява дали мерките, финансирани от резерва, се изпълняват в съответствие с приложимото законодателство и условията за финансиране от резерва, както и дали разходите се основават на проверими разходооправдателни документи; </w:t>
      </w:r>
    </w:p>
    <w:p>
      <w:pPr>
        <w:pStyle w:val="Point1"/>
        <w:rPr>
          <w:noProof/>
        </w:rPr>
      </w:pPr>
      <w:r>
        <w:rPr>
          <w:noProof/>
        </w:rPr>
        <w:t>г)</w:t>
      </w:r>
      <w:r>
        <w:rPr>
          <w:noProof/>
        </w:rPr>
        <w:tab/>
        <w:t>определя ефективни мерки за избягване на двойно финансиране на едни и същи разходи от резерва и от други финансови източници на Съюза;</w:t>
      </w:r>
    </w:p>
    <w:p>
      <w:pPr>
        <w:pStyle w:val="Point1"/>
        <w:rPr>
          <w:noProof/>
        </w:rPr>
      </w:pPr>
      <w:r>
        <w:rPr>
          <w:noProof/>
        </w:rPr>
        <w:t>д)</w:t>
      </w:r>
      <w:r>
        <w:rPr>
          <w:noProof/>
        </w:rPr>
        <w:tab/>
        <w:t>осигурява последващо публикуване в съответствие с член 38, параграфи 2—6 от Финансовия регламент;</w:t>
      </w:r>
    </w:p>
    <w:p>
      <w:pPr>
        <w:pStyle w:val="Point1"/>
        <w:rPr>
          <w:noProof/>
        </w:rPr>
      </w:pPr>
      <w:r>
        <w:rPr>
          <w:noProof/>
        </w:rPr>
        <w:t>е)</w:t>
      </w:r>
      <w:r>
        <w:rPr>
          <w:noProof/>
        </w:rPr>
        <w:tab/>
        <w:t>използва счетоводна система за вписване и съхранение в електронна форма на данните за направените разходи, които трябва да бъдат покрити чрез вноски от резерва, предоставяща своевременно точна, пълна и надеждна информация;</w:t>
      </w:r>
    </w:p>
    <w:p>
      <w:pPr>
        <w:pStyle w:val="Point1"/>
        <w:rPr>
          <w:noProof/>
        </w:rPr>
      </w:pPr>
      <w:r>
        <w:rPr>
          <w:noProof/>
        </w:rPr>
        <w:t>ж)</w:t>
      </w:r>
      <w:r>
        <w:rPr>
          <w:noProof/>
        </w:rPr>
        <w:tab/>
        <w:t>съхранява всички разходооправдателни документи относно разходите, които трябва да бъдат покрити чрез вноски от резерва, за период от пет години от крайния срок за подаване на заявлението за финансиране и транспонира това задължение в споразумения с други субекти, участващи в изпълнението на резерва;</w:t>
      </w:r>
    </w:p>
    <w:p>
      <w:pPr>
        <w:pStyle w:val="Point1"/>
        <w:rPr>
          <w:noProof/>
        </w:rPr>
      </w:pPr>
      <w:r>
        <w:rPr>
          <w:noProof/>
        </w:rPr>
        <w:t>з)</w:t>
      </w:r>
      <w:r>
        <w:rPr>
          <w:noProof/>
        </w:rPr>
        <w:tab/>
        <w:t>за целите на параграф 1, буква е) събира информация в електронен стандартизиран формат с цел идентифициране на получателите на вноски от резерва и на техните действителни собственици съгласно приложение III.</w:t>
      </w:r>
    </w:p>
    <w:p>
      <w:pPr>
        <w:pStyle w:val="ManualNumPar1"/>
        <w:rPr>
          <w:noProof/>
        </w:rPr>
      </w:pPr>
      <w:r>
        <w:rPr>
          <w:noProof/>
        </w:rPr>
        <w:t>4.</w:t>
      </w:r>
      <w:r>
        <w:rPr>
          <w:noProof/>
        </w:rPr>
        <w:tab/>
        <w:t xml:space="preserve">Независимият одитен орган одитира системата и извършва одити на финансираните мерки, с цел предоставяне на независимо уверение на Комисията относно ефективното функциониране на системата за управление и контрол и законосъобразността и редовността на разходите, включени в счетоводните отчети, подадени до Комисията. </w:t>
      </w:r>
    </w:p>
    <w:p>
      <w:pPr>
        <w:pStyle w:val="Text1"/>
        <w:rPr>
          <w:noProof/>
        </w:rPr>
      </w:pPr>
      <w:r>
        <w:rPr>
          <w:noProof/>
        </w:rPr>
        <w:t xml:space="preserve">Одитните дейности се извършват в съответствие с международно приетите стандарти за одит. </w:t>
      </w:r>
    </w:p>
    <w:p>
      <w:pPr>
        <w:pStyle w:val="Text1"/>
        <w:rPr>
          <w:noProof/>
        </w:rPr>
      </w:pPr>
      <w:r>
        <w:rPr>
          <w:noProof/>
        </w:rPr>
        <w:t xml:space="preserve">При одитите на финансираните мерки разходите се преглеждат на основата на извадка. Тази извадка е представителна и се основава на статистически извадкови методи. </w:t>
      </w:r>
    </w:p>
    <w:p>
      <w:pPr>
        <w:pStyle w:val="Text1"/>
        <w:rPr>
          <w:noProof/>
        </w:rPr>
      </w:pPr>
      <w:r>
        <w:rPr>
          <w:noProof/>
        </w:rPr>
        <w:t xml:space="preserve">Когато съвкупността се състои от по-малко от 300 извадкови единици, може да се използва нестатистически извадков метод по професионална преценка на </w:t>
      </w:r>
      <w:r>
        <w:rPr>
          <w:noProof/>
        </w:rPr>
        <w:lastRenderedPageBreak/>
        <w:t xml:space="preserve">независимия одитен орган. В такива случаи размерът на извадката е достатъчен, за да позволи на независимия одитен орган да изготви валидно одитно становище. Нестатистическият извадков метод обхваща минимум 10 % от извадковите единици в съвкупността от счетоводната година, избрани на случаен принцип. </w:t>
      </w:r>
    </w:p>
    <w:p>
      <w:pPr>
        <w:pStyle w:val="ManualNumPar1"/>
        <w:rPr>
          <w:noProof/>
        </w:rPr>
      </w:pPr>
      <w:r>
        <w:rPr>
          <w:noProof/>
        </w:rPr>
        <w:t>5.</w:t>
      </w:r>
      <w:r>
        <w:rPr>
          <w:noProof/>
        </w:rPr>
        <w:tab/>
        <w:t>Комисията може да извършва одити на място в помещенията на всички субекти, участващи в изпълнението на резерва във връзка с мерките, финансирани по линия на резерва, и има достъп до разходооправдателните документи за разходите, които трябва да бъдат покрити чрез вноска от резерва.</w:t>
      </w:r>
    </w:p>
    <w:p>
      <w:pPr>
        <w:pStyle w:val="Titrearticle"/>
        <w:rPr>
          <w:noProof/>
        </w:rPr>
      </w:pPr>
      <w:r>
        <w:rPr>
          <w:noProof/>
        </w:rPr>
        <w:t xml:space="preserve">Член 14 </w:t>
      </w:r>
      <w:r>
        <w:rPr>
          <w:noProof/>
        </w:rPr>
        <w:cr/>
      </w:r>
      <w:r>
        <w:rPr>
          <w:noProof/>
        </w:rPr>
        <w:br/>
      </w:r>
      <w:r>
        <w:rPr>
          <w:b/>
          <w:i w:val="0"/>
          <w:noProof/>
        </w:rPr>
        <w:t>Финансови корекции</w:t>
      </w:r>
      <w:r>
        <w:rPr>
          <w:noProof/>
        </w:rPr>
        <w:t xml:space="preserve"> </w:t>
      </w:r>
    </w:p>
    <w:p>
      <w:pPr>
        <w:pStyle w:val="ManualNumPar1"/>
        <w:rPr>
          <w:noProof/>
        </w:rPr>
      </w:pPr>
      <w:r>
        <w:rPr>
          <w:noProof/>
        </w:rPr>
        <w:t>1.</w:t>
      </w:r>
      <w:r>
        <w:rPr>
          <w:noProof/>
        </w:rPr>
        <w:tab/>
        <w:t>Финансовите корекции, направени от държавите членки съгласно член 13, параграф 1, буква е), се изразяват в пълно или частично прекратяване на финансирането от резерва. Държавата членка възстановява всяка сума, изгубена в резултат на установена нередност.</w:t>
      </w:r>
    </w:p>
    <w:p>
      <w:pPr>
        <w:pStyle w:val="ManualNumPar1"/>
        <w:rPr>
          <w:noProof/>
        </w:rPr>
      </w:pPr>
      <w:r>
        <w:rPr>
          <w:noProof/>
        </w:rPr>
        <w:t>2.</w:t>
      </w:r>
      <w:r>
        <w:rPr>
          <w:noProof/>
        </w:rPr>
        <w:tab/>
        <w:t xml:space="preserve">Комисията предприема уместни действия, за да осигури защитата на финансовите интереси на Съюза чрез изключване от финансиране от Съюза на неправомерни суми, подадени до Комисията в заявлението, посочено в член 10 от настоящия регламент, и чрез събиране на неправомерно изплатените суми съгласно член 101 от Финансовия регламент, ако нередностите са установени впоследствие. </w:t>
      </w:r>
    </w:p>
    <w:p>
      <w:pPr>
        <w:pStyle w:val="ManualNumPar1"/>
        <w:rPr>
          <w:noProof/>
        </w:rPr>
      </w:pPr>
      <w:r>
        <w:rPr>
          <w:noProof/>
        </w:rPr>
        <w:t>3.</w:t>
      </w:r>
      <w:r>
        <w:rPr>
          <w:noProof/>
        </w:rPr>
        <w:tab/>
        <w:t>Комисията основава своите финансови корекции на констатираните отделни случаи на установена нередност, като отчита дали нередността е системна. Когато не е възможно точното количествено определяне на размера на неправомерните разходи или когато Комисията стигне до заключението, че системата не осигурява ефективна защита на законосъобразността и редовността на разходите, Комисията прилага единна ставка или екстраполирана финансова корекция. Комисията зачита принципа на пропорционалност, като взема предвид естеството и тежестта на нередността и финансовите ѝ последици за бюджета на Съюза.</w:t>
      </w:r>
    </w:p>
    <w:p>
      <w:pPr>
        <w:pStyle w:val="ManualNumPar1"/>
        <w:rPr>
          <w:noProof/>
        </w:rPr>
      </w:pPr>
      <w:r>
        <w:rPr>
          <w:noProof/>
        </w:rPr>
        <w:t>4.</w:t>
      </w:r>
      <w:r>
        <w:rPr>
          <w:noProof/>
        </w:rPr>
        <w:tab/>
        <w:t xml:space="preserve">Преди да пристъпи към събирането на неправомерно изплатените суми или прилагането на финансови корекции, Комисията информира държавата членка за своята оценка и отправя покана към нея да представи своето становище в срок до два месеца. </w:t>
      </w:r>
    </w:p>
    <w:p>
      <w:pPr>
        <w:pStyle w:val="ChapterTitle"/>
        <w:rPr>
          <w:noProof/>
        </w:rPr>
      </w:pPr>
      <w:r>
        <w:rPr>
          <w:noProof/>
        </w:rPr>
        <w:t xml:space="preserve">Глава IV </w:t>
      </w:r>
      <w:r>
        <w:rPr>
          <w:noProof/>
        </w:rPr>
        <w:cr/>
      </w:r>
      <w:r>
        <w:rPr>
          <w:noProof/>
        </w:rPr>
        <w:br/>
        <w:t>Заключителни разпоредби</w:t>
      </w:r>
    </w:p>
    <w:p>
      <w:pPr>
        <w:pStyle w:val="Titrearticle"/>
        <w:rPr>
          <w:noProof/>
        </w:rPr>
      </w:pPr>
      <w:r>
        <w:rPr>
          <w:noProof/>
        </w:rPr>
        <w:t xml:space="preserve">Член 15 </w:t>
      </w:r>
      <w:r>
        <w:rPr>
          <w:noProof/>
        </w:rPr>
        <w:cr/>
      </w:r>
      <w:r>
        <w:rPr>
          <w:noProof/>
        </w:rPr>
        <w:br/>
      </w:r>
      <w:r>
        <w:rPr>
          <w:b/>
          <w:i w:val="0"/>
          <w:noProof/>
        </w:rPr>
        <w:t>Информация и комуникация</w:t>
      </w:r>
    </w:p>
    <w:p>
      <w:pPr>
        <w:rPr>
          <w:noProof/>
        </w:rPr>
      </w:pPr>
      <w:r>
        <w:rPr>
          <w:noProof/>
        </w:rPr>
        <w:t>Държавите членки отговарят за информирането на гражданите на Съюза и огласяването сред тях на ролята, резултатите и въздействието на приноса от страна на Съюза от резерва чрез информационни и комуникационни дейности.</w:t>
      </w:r>
    </w:p>
    <w:p>
      <w:pPr>
        <w:pStyle w:val="Titrearticle"/>
        <w:rPr>
          <w:b/>
          <w:i w:val="0"/>
          <w:noProof/>
        </w:rPr>
      </w:pPr>
      <w:r>
        <w:rPr>
          <w:noProof/>
        </w:rPr>
        <w:lastRenderedPageBreak/>
        <w:t xml:space="preserve">Член 16 </w:t>
      </w:r>
      <w:r>
        <w:rPr>
          <w:noProof/>
        </w:rPr>
        <w:cr/>
      </w:r>
      <w:r>
        <w:rPr>
          <w:noProof/>
        </w:rPr>
        <w:br/>
      </w:r>
      <w:r>
        <w:rPr>
          <w:b/>
          <w:i w:val="0"/>
          <w:noProof/>
        </w:rPr>
        <w:t>Оценяване и докладване</w:t>
      </w:r>
    </w:p>
    <w:p>
      <w:pPr>
        <w:pStyle w:val="ManualNumPar1"/>
        <w:rPr>
          <w:noProof/>
        </w:rPr>
      </w:pPr>
      <w:r>
        <w:rPr>
          <w:noProof/>
        </w:rPr>
        <w:t>1.</w:t>
      </w:r>
      <w:r>
        <w:rPr>
          <w:noProof/>
        </w:rPr>
        <w:tab/>
        <w:t xml:space="preserve">До 30 юни 2026 г. Комисията извършва оценка на ефективността на резерва, както и на неговата ефикасност, целесъобразност, съгласуваност и европейска добавена стойност. Комисията може да използва цялата приложима информация, която вече е на разположение в съответствие с член 128 от Финансовия регламент. </w:t>
      </w:r>
    </w:p>
    <w:p>
      <w:pPr>
        <w:pStyle w:val="ManualNumPar1"/>
        <w:rPr>
          <w:noProof/>
          <w:szCs w:val="24"/>
        </w:rPr>
      </w:pPr>
      <w:r>
        <w:rPr>
          <w:noProof/>
        </w:rPr>
        <w:t>2.</w:t>
      </w:r>
      <w:r>
        <w:rPr>
          <w:noProof/>
        </w:rPr>
        <w:tab/>
        <w:t xml:space="preserve">До 30 юни 2027 г. Комисията представя на Европейския парламент и на Съвета доклад относно изпълнението на резерва. </w:t>
      </w:r>
    </w:p>
    <w:p>
      <w:pPr>
        <w:pStyle w:val="Titrearticle"/>
        <w:rPr>
          <w:noProof/>
        </w:rPr>
      </w:pPr>
      <w:r>
        <w:rPr>
          <w:noProof/>
        </w:rPr>
        <w:t xml:space="preserve">Член 17 </w:t>
      </w:r>
      <w:r>
        <w:rPr>
          <w:noProof/>
        </w:rPr>
        <w:cr/>
      </w:r>
      <w:r>
        <w:rPr>
          <w:noProof/>
        </w:rPr>
        <w:br/>
      </w:r>
      <w:r>
        <w:rPr>
          <w:b/>
          <w:i w:val="0"/>
          <w:noProof/>
        </w:rPr>
        <w:t>Влизане в сила</w:t>
      </w:r>
    </w:p>
    <w:p>
      <w:pP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spacing w:before="0" w:after="200" w:line="276" w:lineRule="auto"/>
        <w:jc w:val="left"/>
        <w:rPr>
          <w:i/>
          <w:noProof/>
        </w:rPr>
        <w:sectPr>
          <w:pgSz w:w="11907" w:h="16840" w:code="9"/>
          <w:pgMar w:top="1134" w:right="1418" w:bottom="1134" w:left="1418" w:header="709" w:footer="709" w:gutter="0"/>
          <w:cols w:space="708"/>
          <w:docGrid w:linePitch="360"/>
        </w:sectPr>
      </w:pPr>
    </w:p>
    <w:p>
      <w:pPr>
        <w:pStyle w:val="Fichefinanciretitre"/>
        <w:rPr>
          <w:noProof/>
        </w:rPr>
      </w:pPr>
      <w:bookmarkStart w:id="3" w:name="_Toc514941970"/>
      <w:r>
        <w:rPr>
          <w:noProof/>
        </w:rPr>
        <w:lastRenderedPageBreak/>
        <w:t>ЗАКОНОДАТЕЛНА ФИНАНСОВА ОБОСНОВКА</w:t>
      </w:r>
      <w:bookmarkEnd w:id="3"/>
    </w:p>
    <w:p>
      <w:pPr>
        <w:pStyle w:val="ManualHeading1"/>
        <w:rPr>
          <w:noProof/>
        </w:rPr>
      </w:pPr>
      <w:bookmarkStart w:id="4" w:name="_Toc514941971"/>
      <w:bookmarkStart w:id="5" w:name="_Toc520485198"/>
      <w:bookmarkStart w:id="6" w:name="_Toc514941972"/>
      <w:bookmarkStart w:id="7" w:name="_Toc56534748"/>
      <w:r>
        <w:rPr>
          <w:noProof/>
        </w:rPr>
        <w:t>1.</w:t>
      </w:r>
      <w:r>
        <w:rPr>
          <w:noProof/>
        </w:rPr>
        <w:tab/>
        <w:t>РАМКА НА ПРЕДЛОЖЕНИЕТО/ИНИЦИАТИВАТА</w:t>
      </w:r>
      <w:bookmarkEnd w:id="4"/>
      <w:bookmarkEnd w:id="5"/>
      <w:r>
        <w:rPr>
          <w:noProof/>
        </w:rPr>
        <w:t xml:space="preserve"> </w:t>
      </w:r>
    </w:p>
    <w:p>
      <w:pPr>
        <w:pStyle w:val="ManualHeading2"/>
        <w:rPr>
          <w:noProof/>
        </w:rPr>
      </w:pPr>
      <w:bookmarkStart w:id="8" w:name="_Toc520485199"/>
      <w:bookmarkStart w:id="9" w:name="_Toc514941973"/>
      <w:bookmarkEnd w:id="6"/>
      <w:bookmarkEnd w:id="7"/>
      <w:r>
        <w:rPr>
          <w:noProof/>
        </w:rPr>
        <w:t>1.1.</w:t>
      </w:r>
      <w:r>
        <w:rPr>
          <w:noProof/>
        </w:rPr>
        <w:tab/>
        <w:t>Наименование на предложението/инициативата</w:t>
      </w:r>
      <w:bookmarkEnd w:id="8"/>
      <w:r>
        <w:rPr>
          <w:noProof/>
        </w:rPr>
        <w:t xml:space="preserve"> </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Предложение за Регламент на Европейския парламент и на Съвета за създаване на резерв за приспособяване във връзка с последиците от Брексит</w:t>
      </w:r>
    </w:p>
    <w:p>
      <w:pPr>
        <w:pStyle w:val="ManualHeading2"/>
        <w:rPr>
          <w:i/>
          <w:noProof/>
        </w:rPr>
      </w:pPr>
      <w:bookmarkStart w:id="10" w:name="_Toc520485200"/>
      <w:bookmarkStart w:id="11" w:name="_Toc514941974"/>
      <w:bookmarkEnd w:id="9"/>
      <w:r>
        <w:rPr>
          <w:noProof/>
        </w:rPr>
        <w:t>1.2.</w:t>
      </w:r>
      <w:r>
        <w:rPr>
          <w:noProof/>
        </w:rPr>
        <w:tab/>
        <w:t>Съответни области на политиката</w:t>
      </w:r>
      <w:r>
        <w:rPr>
          <w:i/>
          <w:noProof/>
        </w:rPr>
        <w:t xml:space="preserve"> (програмен клъстер)</w:t>
      </w:r>
      <w:bookmarkEnd w:id="10"/>
    </w:p>
    <w:p>
      <w:pPr>
        <w:pBdr>
          <w:top w:val="single" w:sz="4" w:space="1" w:color="auto"/>
          <w:left w:val="single" w:sz="4" w:space="4" w:color="auto"/>
          <w:bottom w:val="single" w:sz="4" w:space="1" w:color="auto"/>
          <w:right w:val="single" w:sz="4" w:space="4" w:color="auto"/>
        </w:pBdr>
        <w:ind w:left="850"/>
        <w:rPr>
          <w:noProof/>
        </w:rPr>
      </w:pPr>
      <w:r>
        <w:rPr>
          <w:noProof/>
        </w:rPr>
        <w:t>16 Разходи извън годишните тавани, определени в многогодишната финансова рамка (член 16 02 03, Резерв за приспособяване във връзка с последиците от Брексит (BAR)</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30 Резерви (член 30 04 03, Резерв за приспособяване във връзка с последиците от Брексит (BAR)</w:t>
      </w:r>
    </w:p>
    <w:p>
      <w:pPr>
        <w:pStyle w:val="ManualHeading2"/>
        <w:rPr>
          <w:bCs/>
          <w:noProof/>
          <w:szCs w:val="24"/>
        </w:rPr>
      </w:pPr>
      <w:bookmarkStart w:id="12" w:name="_Toc520485201"/>
      <w:bookmarkEnd w:id="11"/>
      <w:r>
        <w:rPr>
          <w:noProof/>
        </w:rPr>
        <w:t>1.3.</w:t>
      </w:r>
      <w:r>
        <w:rPr>
          <w:noProof/>
        </w:rPr>
        <w:tab/>
        <w:t>Предложението/инициативата е във връзка със:</w:t>
      </w:r>
      <w:bookmarkEnd w:id="12"/>
      <w:r>
        <w:rPr>
          <w:noProof/>
        </w:rPr>
        <w:t xml:space="preserve"> </w:t>
      </w:r>
    </w:p>
    <w:p>
      <w:pPr>
        <w:pStyle w:val="Text1"/>
        <w:rPr>
          <w:noProof/>
          <w:sz w:val="22"/>
        </w:rPr>
      </w:pPr>
      <w:r>
        <w:rPr>
          <w:noProof/>
        </w:rPr>
        <w:t>X</w:t>
      </w:r>
      <w:r>
        <w:rPr>
          <w:i/>
          <w:noProof/>
          <w:sz w:val="22"/>
        </w:rPr>
        <w:t xml:space="preserve"> </w:t>
      </w:r>
      <w:r>
        <w:rPr>
          <w:noProof/>
        </w:rPr>
        <w:t>ново действие</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ново действие след пилотен проект/подготвително действие</w:t>
      </w:r>
      <w:r>
        <w:rPr>
          <w:rStyle w:val="FootnoteReference0"/>
          <w:noProof/>
        </w:rPr>
        <w:footnoteReference w:id="2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продължаване на съществуващо действие</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сливане или пренасочване на едно или няколко действия към друго/ново действие </w:t>
      </w:r>
    </w:p>
    <w:p>
      <w:pPr>
        <w:pStyle w:val="ManualHeading2"/>
        <w:rPr>
          <w:bCs/>
          <w:noProof/>
          <w:szCs w:val="24"/>
        </w:rPr>
      </w:pPr>
      <w:bookmarkStart w:id="13" w:name="_Toc514941975"/>
      <w:bookmarkStart w:id="14" w:name="_Toc520485202"/>
      <w:bookmarkStart w:id="15" w:name="_Toc514941976"/>
      <w:bookmarkStart w:id="16" w:name="_Toc56534752"/>
      <w:r>
        <w:rPr>
          <w:noProof/>
        </w:rPr>
        <w:t>1.4.</w:t>
      </w:r>
      <w:r>
        <w:rPr>
          <w:noProof/>
        </w:rPr>
        <w:tab/>
        <w:t>Мотиви за предложението/инициативата</w:t>
      </w:r>
      <w:bookmarkEnd w:id="13"/>
      <w:bookmarkEnd w:id="14"/>
      <w:r>
        <w:rPr>
          <w:noProof/>
        </w:rPr>
        <w:t xml:space="preserve"> </w:t>
      </w:r>
    </w:p>
    <w:p>
      <w:pPr>
        <w:pStyle w:val="ManualHeading3"/>
        <w:rPr>
          <w:noProof/>
        </w:rPr>
      </w:pPr>
      <w:bookmarkStart w:id="17" w:name="_Toc520485203"/>
      <w:bookmarkEnd w:id="15"/>
      <w:bookmarkEnd w:id="16"/>
      <w:r>
        <w:rPr>
          <w:noProof/>
        </w:rPr>
        <w:t>1.4.1.</w:t>
      </w:r>
      <w:r>
        <w:rPr>
          <w:noProof/>
        </w:rPr>
        <w:tab/>
        <w:t>Изисквания, които трябва да бъдат изпълнени в краткосрочна или дългосрочна перспектива, включително подробен график за изпълнението на инициативата</w:t>
      </w:r>
      <w:bookmarkEnd w:id="17"/>
    </w:p>
    <w:p>
      <w:pPr>
        <w:pStyle w:val="Text1"/>
        <w:pBdr>
          <w:top w:val="single" w:sz="4" w:space="1" w:color="auto"/>
          <w:left w:val="single" w:sz="4" w:space="4" w:color="auto"/>
          <w:bottom w:val="single" w:sz="4" w:space="1" w:color="auto"/>
          <w:right w:val="single" w:sz="4" w:space="4" w:color="auto"/>
        </w:pBd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Той се прилага от първия ден след края на преходния период съгласно Споразумението за оттегляне, сключено с Обединеното кралство в съответствие с член 50, параграф 2 от ДЕС.</w:t>
      </w:r>
    </w:p>
    <w:p>
      <w:pPr>
        <w:pStyle w:val="Text1"/>
        <w:pBdr>
          <w:top w:val="single" w:sz="4" w:space="1" w:color="auto"/>
          <w:left w:val="single" w:sz="4" w:space="4" w:color="auto"/>
          <w:bottom w:val="single" w:sz="4" w:space="1" w:color="auto"/>
          <w:right w:val="single" w:sz="4" w:space="4" w:color="auto"/>
        </w:pBdr>
        <w:rPr>
          <w:noProof/>
        </w:rPr>
      </w:pPr>
      <w:r>
        <w:rPr>
          <w:noProof/>
        </w:rPr>
        <w:t>Резервът ще обхваща всички държави членки и ще бъде приложен, както следва.</w:t>
      </w:r>
    </w:p>
    <w:p>
      <w:pPr>
        <w:pStyle w:val="Text1"/>
        <w:pBdr>
          <w:top w:val="single" w:sz="4" w:space="1" w:color="auto"/>
          <w:left w:val="single" w:sz="4" w:space="4" w:color="auto"/>
          <w:bottom w:val="single" w:sz="4" w:space="1" w:color="auto"/>
          <w:right w:val="single" w:sz="4" w:space="4" w:color="auto"/>
        </w:pBdr>
        <w:rPr>
          <w:noProof/>
        </w:rPr>
      </w:pPr>
      <w:r>
        <w:rPr>
          <w:noProof/>
        </w:rPr>
        <w:t>През 2021 г. Комисията ще изплати на всички държави членки първата отпусната сума във вид на значително предварително финансиране. Методът на разпределение за предварителното финансиране ще се основава на съпоставими и надеждни официални статистически данни. Той ще бъде указан в приложение I към предложения регламент.</w:t>
      </w:r>
    </w:p>
    <w:p>
      <w:pPr>
        <w:pStyle w:val="Text1"/>
        <w:pBdr>
          <w:top w:val="single" w:sz="4" w:space="1" w:color="auto"/>
          <w:left w:val="single" w:sz="4" w:space="4" w:color="auto"/>
          <w:bottom w:val="single" w:sz="4" w:space="1" w:color="auto"/>
          <w:right w:val="single" w:sz="4" w:space="4" w:color="auto"/>
        </w:pBdr>
        <w:rPr>
          <w:noProof/>
        </w:rPr>
      </w:pPr>
      <w:r>
        <w:rPr>
          <w:noProof/>
        </w:rPr>
        <w:t>Между 1 юли 2020 г. и 31 декември 2022 г. държавите членки ще предприемат и изпълнят при необходимост мерки, свързани пряко с преодоляването на неблагоприятните последици от оттеглянето на Обединеното кралство от Съюза.</w:t>
      </w:r>
    </w:p>
    <w:p>
      <w:pPr>
        <w:pStyle w:val="Text1"/>
        <w:pBdr>
          <w:top w:val="single" w:sz="4" w:space="1" w:color="auto"/>
          <w:left w:val="single" w:sz="4" w:space="4" w:color="auto"/>
          <w:bottom w:val="single" w:sz="4" w:space="1" w:color="auto"/>
          <w:right w:val="single" w:sz="4" w:space="4" w:color="auto"/>
        </w:pBdr>
        <w:rPr>
          <w:noProof/>
        </w:rPr>
      </w:pPr>
      <w:r>
        <w:rPr>
          <w:noProof/>
        </w:rPr>
        <w:t>До 30 септември 2023 г. държавите членки ще подадат до Комисията своите заявления за финансиране от резерва. Заявлението ще бъде придружено от доклад за изпълнение, декларация за управление и независим одит, обхващащ референтния период за резерва.</w:t>
      </w:r>
    </w:p>
    <w:p>
      <w:pPr>
        <w:pStyle w:val="Text1"/>
        <w:pBdr>
          <w:top w:val="single" w:sz="4" w:space="1" w:color="auto"/>
          <w:left w:val="single" w:sz="4" w:space="4" w:color="auto"/>
          <w:bottom w:val="single" w:sz="4" w:space="1" w:color="auto"/>
          <w:right w:val="single" w:sz="4" w:space="4" w:color="auto"/>
        </w:pBdr>
        <w:rPr>
          <w:noProof/>
        </w:rPr>
      </w:pPr>
      <w:r>
        <w:rPr>
          <w:noProof/>
        </w:rPr>
        <w:t>През 2024 г. Комисията ще уравни предварителното финансиране и, където е приложимо, ще изплати допълнителните суми от резерва.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До 30 юни 2027 г. Комисията ще представи на Европейския парламент и на Съвета доклад относно изпълнението на резерва. </w:t>
      </w:r>
    </w:p>
    <w:p>
      <w:pPr>
        <w:pStyle w:val="ManualHeading3"/>
        <w:rPr>
          <w:noProof/>
        </w:rPr>
      </w:pPr>
      <w:bookmarkStart w:id="18" w:name="_Toc514941977"/>
      <w:bookmarkStart w:id="19" w:name="_Toc56534753"/>
      <w:r>
        <w:rPr>
          <w:noProof/>
        </w:rPr>
        <w:t>1.4.2.</w:t>
      </w:r>
      <w:r>
        <w:rPr>
          <w:noProof/>
        </w:rPr>
        <w:tab/>
        <w:t>Добавена стойност от участието на Съюза (може да е в резултат от различни фактори, напр. ползи по отношение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noProof/>
        </w:rPr>
        <w:t>Причината за създаването на резерва за приспособяване във връзка с последиците от Брексит е укрепване на икономическото, социалното и териториалното сближаване и показване на осезаема солидарност с държавите членки, регионите и секторите, най-силно засегнати от оттеглянето на Обединеното кралство от Съюза.</w:t>
      </w:r>
    </w:p>
    <w:p>
      <w:pPr>
        <w:pStyle w:val="Text1"/>
        <w:pBdr>
          <w:top w:val="single" w:sz="4" w:space="1" w:color="auto"/>
          <w:left w:val="single" w:sz="4" w:space="4" w:color="auto"/>
          <w:bottom w:val="single" w:sz="4" w:space="1" w:color="auto"/>
          <w:right w:val="single" w:sz="4" w:space="4" w:color="auto"/>
        </w:pBdr>
        <w:rPr>
          <w:noProof/>
        </w:rPr>
      </w:pPr>
      <w:r>
        <w:rPr>
          <w:noProof/>
        </w:rPr>
        <w:t>С цел смекчаване на неблагоприятните последици от оттеглянето на Обединеното кралство от Съюза е необходимо действие на равнището на Съюза. Тази цел не може да бъде постигната в достатъчна степен от държавите членки, действащи самостоятелно, а намесата на Съюза може да придаде допълнителна стойност чрез създаването на резерв, имащ за цел оказване на финансова подкрепа на държавите членки за преодоляването на икономическите и социалните последици от оттеглянето.</w:t>
      </w:r>
    </w:p>
    <w:p>
      <w:pPr>
        <w:pStyle w:val="ManualHeading3"/>
        <w:rPr>
          <w:rFonts w:eastAsiaTheme="majorEastAsia"/>
          <w:bCs/>
          <w:noProof/>
        </w:rPr>
      </w:pPr>
      <w:bookmarkStart w:id="20" w:name="_Toc514941978"/>
      <w:bookmarkStart w:id="21" w:name="_Toc56534754"/>
      <w:r>
        <w:rPr>
          <w:noProof/>
        </w:rPr>
        <w:t>1.4.3.</w:t>
      </w:r>
      <w:r>
        <w:rPr>
          <w:noProof/>
        </w:rPr>
        <w:tab/>
        <w:t>Изводи от подобен опит в миналото</w:t>
      </w:r>
      <w:bookmarkEnd w:id="20"/>
      <w:bookmarkEnd w:id="21"/>
    </w:p>
    <w:p>
      <w:pPr>
        <w:pStyle w:val="Text1"/>
        <w:pBdr>
          <w:top w:val="single" w:sz="4" w:space="1" w:color="auto"/>
          <w:left w:val="single" w:sz="4" w:space="4" w:color="auto"/>
          <w:bottom w:val="single" w:sz="4" w:space="1" w:color="auto"/>
          <w:right w:val="single" w:sz="4" w:space="4" w:color="auto"/>
        </w:pBdr>
        <w:rPr>
          <w:noProof/>
        </w:rPr>
      </w:pPr>
      <w:r>
        <w:rPr>
          <w:noProof/>
        </w:rPr>
        <w:t xml:space="preserve">На равнището на Съюза има други инструменти за подпомагане на сближаването и солидарността. Фондовете на Съюза, и по-специално обхванатите в Регламент (ЕС) № 1303/2013 на Европейския парламент и на Съвета (Регламента за общоприложимите разпоредби), инвестиционни проекти в подкрепа на икономическото, социалното и териториалното сближаване и растежа. Целта на Фонда за справедлив преход е да се смекчат неблагоприятните последици от климатичния преход чрез подкрепа за най-засегнатите територии и работници. Програма InvestEU осигурява финансиране за частни инвестиционни проекти в рамките на различни елементи на политиката. Фонд „Солидарност“ на Европейския съюз е доказан много ефективен инструмент за предоставяне на помощ на държавите членки, пострадали от природни бедствия. Освен това неотдавна неговият обхват беше разширен, така че да обхване тежки извънредни ситуации в здравната сфера. През есента на 2019 г. Комисията представи предложение за изменение, за да бъдат обхванати и последиците от оттеглянето на Обединеното кралство от Съюза без споразумение, което обаче загуби своята актуалност, тъй като в крайна сметка беше подписано споразумение. </w:t>
      </w:r>
    </w:p>
    <w:p>
      <w:pPr>
        <w:pStyle w:val="Text1"/>
        <w:pBdr>
          <w:top w:val="single" w:sz="4" w:space="1" w:color="auto"/>
          <w:left w:val="single" w:sz="4" w:space="4" w:color="auto"/>
          <w:bottom w:val="single" w:sz="4" w:space="1" w:color="auto"/>
          <w:right w:val="single" w:sz="4" w:space="4" w:color="auto"/>
        </w:pBdr>
        <w:rPr>
          <w:noProof/>
        </w:rPr>
      </w:pPr>
      <w:r>
        <w:rPr>
          <w:noProof/>
        </w:rPr>
        <w:t>Понастоящем не съществува инструмент за оказване на финансова подкрепа на държавите членки, конкретно и пряко свързан с икономическите и социалните последици от оттеглянето на Обединеното кралство от Съюза. В неговата структура е отразена безпрецедентната ситуация за държавите членки, нейният извънреден характер и необходимостта те да реагират бързо и гъвкаво на възникващите предизвикателства пред икономиките.</w:t>
      </w:r>
    </w:p>
    <w:p>
      <w:pPr>
        <w:pStyle w:val="ManualHeading3"/>
        <w:rPr>
          <w:noProof/>
        </w:rPr>
      </w:pPr>
      <w:bookmarkStart w:id="22" w:name="_Toc514941979"/>
      <w:bookmarkStart w:id="23" w:name="_Toc56534755"/>
      <w:r>
        <w:rPr>
          <w:noProof/>
        </w:rPr>
        <w:t>1.4.4.</w:t>
      </w:r>
      <w:r>
        <w:rPr>
          <w:noProof/>
        </w:rPr>
        <w:tab/>
        <w:t>Съвместимост и евентуално полезно взаимодействие с други подходящи инструменти</w:t>
      </w:r>
      <w:bookmarkEnd w:id="22"/>
      <w:bookmarkEnd w:id="23"/>
    </w:p>
    <w:p>
      <w:pPr>
        <w:pStyle w:val="Text1"/>
        <w:pBdr>
          <w:top w:val="single" w:sz="4" w:space="1" w:color="auto"/>
          <w:left w:val="single" w:sz="4" w:space="4" w:color="auto"/>
          <w:bottom w:val="single" w:sz="4" w:space="1" w:color="auto"/>
          <w:right w:val="single" w:sz="4" w:space="4" w:color="auto"/>
        </w:pBdr>
        <w:rPr>
          <w:noProof/>
        </w:rPr>
      </w:pPr>
      <w:r>
        <w:rPr>
          <w:noProof/>
        </w:rPr>
        <w:t xml:space="preserve">Резервът ще има допълващ характер и ще бъде в полезно взаимодействие с други инструменти за финансиране и програми на Съюза. В многогодишната финансова рамка за периода 2021—2027 г., включително Помощ за възстановяване в полза на сближаването и териториите на Европа (REACT-EU) по линия на структурните и кохезионните фондове, фондовете в областта на политиката на сближаване след 2020 г., Фонда за справедлив преход, Механизма за възстановяване и устойчивост и във фонда InvestEU, ще има засилен акцент върху преодоляването на последиците от извънредното положение, причинено от COVID-19, и ще се предвижда подкрепа за подобряване на гъвкавостта, устойчивостта и подготвеността за бъдещето на икономиките на държавите членки. Ресурсите от резерва ще бъдат съсредоточени конкретно и изключително върху преките последици от извънредното и безпрецедентно оттегляне на Обединеното кралство от Съюза с цел намаляване на последиците от гледна точка на териториалното сближаване. </w:t>
      </w:r>
    </w:p>
    <w:p>
      <w:pPr>
        <w:pStyle w:val="Text1"/>
        <w:pBdr>
          <w:top w:val="single" w:sz="4" w:space="1" w:color="auto"/>
          <w:left w:val="single" w:sz="4" w:space="4" w:color="auto"/>
          <w:bottom w:val="single" w:sz="4" w:space="1" w:color="auto"/>
          <w:right w:val="single" w:sz="4" w:space="4" w:color="auto"/>
        </w:pBdr>
        <w:rPr>
          <w:rFonts w:eastAsia="Calibri"/>
          <w:noProof/>
        </w:rPr>
      </w:pPr>
      <w:r>
        <w:rPr>
          <w:noProof/>
        </w:rPr>
        <w:t>В основата на предложения инструмент е залегнал и дългогодишният опит с финансирането по линия на политиката на сближаване и фонд „Солидарност“ на Европейския съюз (Регламент (ЕО) № 2012/2002 от 11 ноември 2002 г., с неговите изменения), като същевременно се създава нов специален инструмент за противодействие на неблагоприятните последици от оттеглянето на Обединеното кралство от Европейския съюз.</w:t>
      </w:r>
    </w:p>
    <w:p>
      <w:pPr>
        <w:pStyle w:val="Text1"/>
        <w:pBdr>
          <w:top w:val="single" w:sz="4" w:space="1" w:color="auto"/>
          <w:left w:val="single" w:sz="4" w:space="4" w:color="auto"/>
          <w:bottom w:val="single" w:sz="4" w:space="1" w:color="auto"/>
          <w:right w:val="single" w:sz="4" w:space="4" w:color="auto"/>
        </w:pBdr>
        <w:rPr>
          <w:noProof/>
        </w:rPr>
      </w:pPr>
      <w:r>
        <w:rPr>
          <w:noProof/>
        </w:rPr>
        <w:t>В решенията за предоставяне на финансова подкрепа на държава членка ще се вземат предвид мерките, финансирани по линия на програмите и инструментите на Съюза, и необходимостта финансирането да не се дублира.</w:t>
      </w:r>
    </w:p>
    <w:p>
      <w:pPr>
        <w:pStyle w:val="ManualHeading2"/>
        <w:rPr>
          <w:bCs/>
          <w:noProof/>
          <w:szCs w:val="24"/>
        </w:rPr>
      </w:pPr>
      <w:bookmarkStart w:id="24" w:name="_Toc514941980"/>
      <w:bookmarkStart w:id="25" w:name="_Toc520485207"/>
      <w:r>
        <w:rPr>
          <w:noProof/>
        </w:rPr>
        <w:t>1.5.</w:t>
      </w:r>
      <w:r>
        <w:rPr>
          <w:noProof/>
        </w:rPr>
        <w:tab/>
        <w:t>Срок на действие и финансово отражение</w:t>
      </w:r>
      <w:bookmarkEnd w:id="24"/>
      <w:bookmarkEnd w:id="25"/>
      <w:r>
        <w:rPr>
          <w:noProof/>
        </w:rPr>
        <w:t xml:space="preserve"> </w:t>
      </w:r>
    </w:p>
    <w:p>
      <w:pPr>
        <w:pStyle w:val="Text1"/>
        <w:rPr>
          <w:b/>
          <w:noProof/>
        </w:rPr>
      </w:pPr>
      <w:r>
        <w:rPr>
          <w:b/>
          <w:noProof/>
          <w:szCs w:val="24"/>
        </w:rPr>
        <w:t>X</w:t>
      </w:r>
      <w:r>
        <w:rPr>
          <w:b/>
          <w:i/>
          <w:noProof/>
        </w:rPr>
        <w:t xml:space="preserve"> </w:t>
      </w:r>
      <w:r>
        <w:rPr>
          <w:b/>
          <w:noProof/>
        </w:rPr>
        <w:t xml:space="preserve">ограничен срок на действие </w:t>
      </w:r>
    </w:p>
    <w:p>
      <w:pPr>
        <w:pStyle w:val="ListDash2"/>
        <w:rPr>
          <w:noProof/>
        </w:rPr>
      </w:pPr>
      <w:r>
        <w:rPr>
          <w:b/>
          <w:noProof/>
        </w:rPr>
        <w:t>X</w:t>
      </w:r>
      <w:r>
        <w:rPr>
          <w:noProof/>
        </w:rPr>
        <w:tab/>
        <w:t xml:space="preserve">в сила от 1.1.2021 г. до 31.12.2025 г. </w:t>
      </w:r>
    </w:p>
    <w:p>
      <w:pPr>
        <w:pStyle w:val="ListDash2"/>
        <w:rPr>
          <w:noProof/>
        </w:rPr>
      </w:pPr>
      <w:r>
        <w:rPr>
          <w:b/>
          <w:noProof/>
        </w:rPr>
        <w:t>X</w:t>
      </w:r>
      <w:r>
        <w:rPr>
          <w:noProof/>
        </w:rPr>
        <w:tab/>
        <w:t xml:space="preserve">Финансово отражение през 2021 г. и 2024 г. за бюджетни кредити за поети задължения и през 2021 г. и 2024 г. за бюджетни кредити за плащания. </w:t>
      </w:r>
    </w:p>
    <w:p>
      <w:pPr>
        <w:pStyle w:val="Text1"/>
        <w:rPr>
          <w:b/>
          <w:noProof/>
        </w:rPr>
      </w:pPr>
      <w:r>
        <w:rPr>
          <w:b/>
          <w:noProof/>
        </w:rPr>
        <w:sym w:font="Wingdings" w:char="F0A8"/>
      </w:r>
      <w:r>
        <w:rPr>
          <w:b/>
          <w:i/>
          <w:noProof/>
        </w:rPr>
        <w:t xml:space="preserve"> </w:t>
      </w:r>
      <w:r>
        <w:rPr>
          <w:b/>
          <w:noProof/>
        </w:rPr>
        <w:t>неограничен срок на действие</w:t>
      </w:r>
    </w:p>
    <w:p>
      <w:pPr>
        <w:pStyle w:val="ListDash1"/>
        <w:rPr>
          <w:noProof/>
        </w:rPr>
      </w:pPr>
      <w:r>
        <w:rPr>
          <w:noProof/>
        </w:rPr>
        <w:t>Изпълнение с период на започване на дейност от ГГГГ до ГГГГ,</w:t>
      </w:r>
    </w:p>
    <w:p>
      <w:pPr>
        <w:pStyle w:val="ListDash1"/>
        <w:rPr>
          <w:noProof/>
        </w:rPr>
      </w:pPr>
      <w:r>
        <w:rPr>
          <w:noProof/>
        </w:rPr>
        <w:t>последван от функциониране с пълен капацитет.</w:t>
      </w:r>
    </w:p>
    <w:p>
      <w:pPr>
        <w:pStyle w:val="ManualHeading2"/>
        <w:rPr>
          <w:noProof/>
          <w:szCs w:val="24"/>
        </w:rPr>
      </w:pPr>
      <w:bookmarkStart w:id="26" w:name="_Toc514941981"/>
      <w:bookmarkStart w:id="27" w:name="_Toc56534757"/>
      <w:r>
        <w:rPr>
          <w:noProof/>
        </w:rPr>
        <w:t>1.6.</w:t>
      </w:r>
      <w:r>
        <w:rPr>
          <w:noProof/>
        </w:rPr>
        <w:tab/>
        <w:t>Планирани методи на управление</w:t>
      </w:r>
      <w:bookmarkEnd w:id="26"/>
      <w:bookmarkEnd w:id="27"/>
      <w:r>
        <w:rPr>
          <w:rStyle w:val="FootnoteReference0"/>
          <w:noProof/>
        </w:rPr>
        <w:footnoteReference w:id="24"/>
      </w:r>
      <w:r>
        <w:rPr>
          <w:noProof/>
          <w:vertAlign w:val="superscript"/>
        </w:rPr>
        <w:t xml:space="preserve"> </w:t>
      </w:r>
    </w:p>
    <w:p>
      <w:pPr>
        <w:pStyle w:val="Text1"/>
        <w:rPr>
          <w:noProof/>
        </w:rPr>
      </w:pPr>
      <w:r>
        <w:rPr>
          <w:noProof/>
        </w:rPr>
        <w:sym w:font="Wingdings" w:char="F0A8"/>
      </w:r>
      <w:r>
        <w:rPr>
          <w:i/>
          <w:noProof/>
        </w:rPr>
        <w:t xml:space="preserve"> </w:t>
      </w:r>
      <w:r>
        <w:rPr>
          <w:b/>
          <w:noProof/>
        </w:rPr>
        <w:t>Пряко управление</w:t>
      </w:r>
      <w:r>
        <w:rPr>
          <w:noProof/>
        </w:rPr>
        <w:t xml:space="preserve"> от Комисията</w:t>
      </w:r>
    </w:p>
    <w:p>
      <w:pPr>
        <w:pStyle w:val="ListDash2"/>
        <w:rPr>
          <w:rFonts w:cs="EUAlbertina"/>
          <w:noProof/>
        </w:rPr>
      </w:pPr>
      <w:r>
        <w:rPr>
          <w:noProof/>
        </w:rPr>
        <w:sym w:font="Wingdings" w:char="F0A8"/>
      </w:r>
      <w:r>
        <w:rPr>
          <w:noProof/>
        </w:rPr>
        <w:t xml:space="preserve"> от нейните служби, включително от нейния персонал в делегациите на Съюза; </w:t>
      </w:r>
    </w:p>
    <w:p>
      <w:pPr>
        <w:pStyle w:val="ListDash2"/>
        <w:rPr>
          <w:noProof/>
        </w:rPr>
      </w:pPr>
      <w:r>
        <w:rPr>
          <w:noProof/>
        </w:rPr>
        <w:sym w:font="Wingdings" w:char="F0A8"/>
      </w:r>
      <w:r>
        <w:rPr>
          <w:noProof/>
        </w:rPr>
        <w:tab/>
        <w:t xml:space="preserve">от изпълнителните агенции </w:t>
      </w:r>
    </w:p>
    <w:p>
      <w:pPr>
        <w:pStyle w:val="Text1"/>
        <w:rPr>
          <w:noProof/>
        </w:rPr>
      </w:pPr>
      <w:r>
        <w:rPr>
          <w:b/>
          <w:noProof/>
          <w:szCs w:val="24"/>
        </w:rPr>
        <w:t>X</w:t>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A8"/>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 xml:space="preserve"> трети държави или на органите, определени от тях;</w:t>
      </w:r>
    </w:p>
    <w:p>
      <w:pPr>
        <w:pStyle w:val="ListDash2"/>
        <w:rPr>
          <w:noProof/>
        </w:rPr>
      </w:pPr>
      <w:r>
        <w:rPr>
          <w:noProof/>
        </w:rPr>
        <w:sym w:font="Wingdings" w:char="F0A8"/>
      </w:r>
      <w:r>
        <w:rPr>
          <w:noProof/>
        </w:rPr>
        <w:t xml:space="preserve"> международни организации и техните агенции (да се уточни);</w:t>
      </w:r>
    </w:p>
    <w:p>
      <w:pPr>
        <w:pStyle w:val="ListDash2"/>
        <w:rPr>
          <w:noProof/>
        </w:rPr>
      </w:pPr>
      <w:r>
        <w:rPr>
          <w:noProof/>
        </w:rPr>
        <w:sym w:font="Wingdings" w:char="F0A8"/>
      </w:r>
      <w:r>
        <w:rPr>
          <w:noProof/>
        </w:rPr>
        <w:t xml:space="preserve"> ЕИБ и Европейския инвестиционен фонд;</w:t>
      </w:r>
    </w:p>
    <w:p>
      <w:pPr>
        <w:pStyle w:val="ListDash2"/>
        <w:rPr>
          <w:noProof/>
        </w:rPr>
      </w:pPr>
      <w:r>
        <w:rPr>
          <w:noProof/>
        </w:rPr>
        <w:sym w:font="Wingdings" w:char="F0A8"/>
      </w:r>
      <w:r>
        <w:rPr>
          <w:noProof/>
        </w:rPr>
        <w:t xml:space="preserve"> органите, посочени в членове 70 и 71 от Финансовия регламент;</w:t>
      </w:r>
    </w:p>
    <w:p>
      <w:pPr>
        <w:pStyle w:val="ListDash2"/>
        <w:rPr>
          <w:noProof/>
        </w:rPr>
      </w:pPr>
      <w:r>
        <w:rPr>
          <w:noProof/>
        </w:rPr>
        <w:sym w:font="Wingdings" w:char="F0A8"/>
      </w:r>
      <w:r>
        <w:rPr>
          <w:noProof/>
        </w:rPr>
        <w:t xml:space="preserve"> публичноправни органи;</w:t>
      </w:r>
    </w:p>
    <w:p>
      <w:pPr>
        <w:pStyle w:val="ListDash2"/>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8" w:name="_Toc514941982"/>
      <w:bookmarkStart w:id="29" w:name="_Toc56534758"/>
      <w:r>
        <w:rPr>
          <w:noProof/>
        </w:rPr>
        <w:t>2.</w:t>
      </w:r>
      <w:r>
        <w:rPr>
          <w:noProof/>
        </w:rPr>
        <w:tab/>
        <w:t>МЕРКИ ЗА УПРАВЛЕНИЕ</w:t>
      </w:r>
      <w:bookmarkEnd w:id="28"/>
      <w:bookmarkEnd w:id="29"/>
      <w:r>
        <w:rPr>
          <w:noProof/>
        </w:rPr>
        <w:t xml:space="preserve"> </w:t>
      </w:r>
    </w:p>
    <w:p>
      <w:pPr>
        <w:pStyle w:val="ManualHeading2"/>
        <w:rPr>
          <w:noProof/>
        </w:rPr>
      </w:pPr>
      <w:bookmarkStart w:id="30" w:name="_Toc514941983"/>
      <w:bookmarkStart w:id="31" w:name="_Toc56534759"/>
      <w:r>
        <w:rPr>
          <w:noProof/>
        </w:rPr>
        <w:t>2.1.</w:t>
      </w:r>
      <w:r>
        <w:rPr>
          <w:noProof/>
        </w:rPr>
        <w:tab/>
        <w:t>Правила за мониторинг и докладване</w:t>
      </w:r>
      <w:bookmarkEnd w:id="30"/>
      <w:bookmarkEnd w:id="31"/>
      <w:r>
        <w:rPr>
          <w:noProof/>
        </w:rPr>
        <w:t xml:space="preserve"> </w:t>
      </w:r>
    </w:p>
    <w:p>
      <w:pPr>
        <w:pStyle w:val="Text1"/>
        <w:rPr>
          <w:i/>
          <w:noProof/>
          <w:sz w:val="22"/>
        </w:rPr>
      </w:pPr>
      <w:r>
        <w:rPr>
          <w:i/>
          <w:noProof/>
          <w:sz w:val="22"/>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Всички държави членки ще трябва да подадат заявление за финансиране от резерва, в което подробно ще се описват и обосновават публичните разходи, произтичащи от и свързани с оттеглянето на Обединеното от Съюза, съгласно условията за допустимост, посочени по-долу. В регламент ще бъде указан единен краен срок за подаване на заявления; Комисията предлага 30 септември 2023 г. като последен ден за подаване на тези заявления. </w:t>
      </w:r>
    </w:p>
    <w:p>
      <w:pPr>
        <w:pStyle w:val="Text1"/>
        <w:pBdr>
          <w:top w:val="single" w:sz="4" w:space="1" w:color="auto"/>
          <w:left w:val="single" w:sz="4" w:space="4" w:color="auto"/>
          <w:bottom w:val="single" w:sz="4" w:space="1" w:color="auto"/>
          <w:right w:val="single" w:sz="4" w:space="4" w:color="auto"/>
        </w:pBdr>
        <w:rPr>
          <w:noProof/>
        </w:rPr>
      </w:pPr>
      <w:r>
        <w:rPr>
          <w:noProof/>
        </w:rPr>
        <w:t>В допълнение към това, в рамките на заявлението държавите членки ще представят доклад за изпълнение, декларация за управление и независим одит, обхващащ референтния период за резерва. В доклада за изпълнението подробно ще бъдат описани предприетите мерки, направените разходи и др. в периода от 1 юли 2020 г. до 31 декември 2022 г., както и мерките за избягване на двойно финансиране и за обезпечаване на взаимно допълване с други инструменти за финансиране от Съюза и национални инструменти.</w:t>
      </w:r>
    </w:p>
    <w:p>
      <w:pPr>
        <w:pStyle w:val="Text1"/>
        <w:pBdr>
          <w:top w:val="single" w:sz="4" w:space="1" w:color="auto"/>
          <w:left w:val="single" w:sz="4" w:space="4" w:color="auto"/>
          <w:bottom w:val="single" w:sz="4" w:space="1" w:color="auto"/>
          <w:right w:val="single" w:sz="4" w:space="4" w:color="auto"/>
        </w:pBdr>
        <w:rPr>
          <w:noProof/>
        </w:rPr>
      </w:pPr>
      <w:r>
        <w:rPr>
          <w:noProof/>
        </w:rPr>
        <w:t>До 30 юни 2027 г. Комисията ще представи на Европейския парламент и на Съвета доклад относно работата на резерва.</w:t>
      </w:r>
    </w:p>
    <w:p>
      <w:pPr>
        <w:pStyle w:val="ManualHeading2"/>
        <w:rPr>
          <w:bCs/>
          <w:noProof/>
          <w:szCs w:val="24"/>
        </w:rPr>
      </w:pPr>
      <w:bookmarkStart w:id="32" w:name="_Toc514941984"/>
      <w:bookmarkStart w:id="33" w:name="_Toc520485211"/>
      <w:r>
        <w:rPr>
          <w:noProof/>
        </w:rPr>
        <w:t>2.2.</w:t>
      </w:r>
      <w:r>
        <w:rPr>
          <w:noProof/>
        </w:rPr>
        <w:tab/>
        <w:t>Система(и) за управление и контрол</w:t>
      </w:r>
      <w:bookmarkEnd w:id="32"/>
      <w:bookmarkEnd w:id="33"/>
      <w:r>
        <w:rPr>
          <w:noProof/>
        </w:rPr>
        <w:t xml:space="preserve"> </w:t>
      </w:r>
    </w:p>
    <w:p>
      <w:pPr>
        <w:pStyle w:val="ManualHeading3"/>
        <w:rPr>
          <w:noProof/>
        </w:rPr>
      </w:pPr>
      <w:bookmarkStart w:id="34" w:name="_Toc514941985"/>
      <w:bookmarkStart w:id="35" w:name="_Toc520485212"/>
      <w:r>
        <w:rPr>
          <w:noProof/>
        </w:rPr>
        <w:t>2.2.1.</w:t>
      </w:r>
      <w:r>
        <w:rPr>
          <w:noProof/>
        </w:rPr>
        <w:tab/>
        <w:t>Обосновка на предложените методи на управление, механизми за осъществяване на финансирането, начини за плащане и стратегия за контрол</w:t>
      </w:r>
      <w:bookmarkEnd w:id="34"/>
      <w:bookmarkEnd w:id="35"/>
    </w:p>
    <w:p>
      <w:pPr>
        <w:pStyle w:val="Text1"/>
        <w:pBdr>
          <w:top w:val="single" w:sz="4" w:space="1" w:color="auto"/>
          <w:left w:val="single" w:sz="4" w:space="4" w:color="auto"/>
          <w:bottom w:val="single" w:sz="4" w:space="1" w:color="auto"/>
          <w:right w:val="single" w:sz="4" w:space="4" w:color="auto"/>
        </w:pBdr>
        <w:rPr>
          <w:b/>
          <w:noProof/>
        </w:rPr>
      </w:pPr>
      <w:r>
        <w:rPr>
          <w:b/>
          <w:noProof/>
        </w:rPr>
        <w:t>Управление и контрол</w:t>
      </w:r>
    </w:p>
    <w:p>
      <w:pPr>
        <w:pStyle w:val="Text1"/>
        <w:pBdr>
          <w:top w:val="single" w:sz="4" w:space="1" w:color="auto"/>
          <w:left w:val="single" w:sz="4" w:space="4" w:color="auto"/>
          <w:bottom w:val="single" w:sz="4" w:space="1" w:color="auto"/>
          <w:right w:val="single" w:sz="4" w:space="4" w:color="auto"/>
        </w:pBdr>
        <w:rPr>
          <w:noProof/>
        </w:rPr>
      </w:pPr>
      <w:r>
        <w:rPr>
          <w:noProof/>
        </w:rPr>
        <w:t>Бюджетът, заделен за резерва, ще се изпълнява при споделено управление между държавите членки и Комисията, с което да се гарантира пълно спазване на принципите на добро финансово управление, прозрачност и недискриминация, както и че няма конфликт на интереси. По-специално държавите членки ще трябва да създадат система за управление и контрол и да определят органи, които да отговарят за управлението на резерва, както и независим одитен орган. В регламента ясно са заложени отговорностите на държавите членки и минимален набор от изисквания за органите, които да отговарят за управлението, контрола и одитирането на финансирането от резерва. Държавите членки ще въведат системи с цел предотвратяване, откриване и ефективно отстраняване на всички нередности и измами.</w:t>
      </w:r>
    </w:p>
    <w:p>
      <w:pPr>
        <w:pStyle w:val="Text1"/>
        <w:pBdr>
          <w:top w:val="single" w:sz="4" w:space="1" w:color="auto"/>
          <w:left w:val="single" w:sz="4" w:space="4" w:color="auto"/>
          <w:bottom w:val="single" w:sz="4" w:space="1" w:color="auto"/>
          <w:right w:val="single" w:sz="4" w:space="4" w:color="auto"/>
        </w:pBdr>
        <w:rPr>
          <w:noProof/>
        </w:rPr>
      </w:pPr>
      <w:r>
        <w:rPr>
          <w:noProof/>
        </w:rPr>
        <w:t>В срок от три месеца от влизането в сила на настоящия регламент държавите членки следва да уведомят Комисията за идентификационните данни на определените органи и на органа, на който ще бъде изплатено предварителното финансиране, и да потвърдят, че описанията на системите са съставени.</w:t>
      </w:r>
    </w:p>
    <w:p>
      <w:pPr>
        <w:pStyle w:val="Text1"/>
        <w:pBdr>
          <w:top w:val="single" w:sz="4" w:space="1" w:color="auto"/>
          <w:left w:val="single" w:sz="4" w:space="4" w:color="auto"/>
          <w:bottom w:val="single" w:sz="4" w:space="1" w:color="auto"/>
          <w:right w:val="single" w:sz="4" w:space="4" w:color="auto"/>
        </w:pBdr>
        <w:rPr>
          <w:noProof/>
        </w:rPr>
      </w:pPr>
      <w:r>
        <w:rPr>
          <w:noProof/>
        </w:rPr>
        <w:t>С цел опростяване държавите членки биха могли да използват съществуващи, вече определени органи и системи, създадени за целите на управлението и контрола на финансирането по линия на политиката на сближаване или фонд „Солидарност“ на Европейския съюз.</w:t>
      </w:r>
    </w:p>
    <w:p>
      <w:pPr>
        <w:pStyle w:val="Text1"/>
        <w:pBdr>
          <w:top w:val="single" w:sz="4" w:space="1" w:color="auto"/>
          <w:left w:val="single" w:sz="4" w:space="4" w:color="auto"/>
          <w:bottom w:val="single" w:sz="4" w:space="1" w:color="auto"/>
          <w:right w:val="single" w:sz="4" w:space="4" w:color="auto"/>
        </w:pBdr>
        <w:rPr>
          <w:noProof/>
        </w:rPr>
      </w:pPr>
      <w:r>
        <w:rPr>
          <w:noProof/>
        </w:rPr>
        <w:t xml:space="preserve">Комисията ще предприеме необходимите действия, за да обезпечи защитата на финансовите интереси на Съюза. </w:t>
      </w:r>
    </w:p>
    <w:p>
      <w:pPr>
        <w:pStyle w:val="Text1"/>
        <w:pBdr>
          <w:top w:val="single" w:sz="4" w:space="1" w:color="auto"/>
          <w:left w:val="single" w:sz="4" w:space="4" w:color="auto"/>
          <w:bottom w:val="single" w:sz="4" w:space="1" w:color="auto"/>
          <w:right w:val="single" w:sz="4" w:space="4" w:color="auto"/>
        </w:pBdr>
        <w:rPr>
          <w:b/>
          <w:noProof/>
        </w:rPr>
      </w:pPr>
      <w:r>
        <w:rPr>
          <w:b/>
          <w:noProof/>
        </w:rPr>
        <w:t>Финансово управление</w:t>
      </w:r>
    </w:p>
    <w:p>
      <w:pPr>
        <w:pStyle w:val="Text1"/>
        <w:pBdr>
          <w:top w:val="single" w:sz="4" w:space="1" w:color="auto"/>
          <w:left w:val="single" w:sz="4" w:space="4" w:color="auto"/>
          <w:bottom w:val="single" w:sz="4" w:space="1" w:color="auto"/>
          <w:right w:val="single" w:sz="4" w:space="4" w:color="auto"/>
        </w:pBdr>
        <w:rPr>
          <w:noProof/>
        </w:rPr>
      </w:pPr>
      <w:r>
        <w:rPr>
          <w:noProof/>
        </w:rPr>
        <w:t xml:space="preserve">Механизмът за осъществяване на финансирането и начините на плащане ще бъдат, както следва. Резервът ще обхваща всички държави членки и ще бъде приложен чрез два периода на разпределение — първия през 2021 г. във вид на значително предварително финансиране, а втория през 2024 г. във вид на плащане от допълнителни средства от резерва. Методът на разпределение при предварителното финансиране ще бъде определен в приложение I към регламента, така че да се гарантира пълна прозрачност. </w:t>
      </w:r>
    </w:p>
    <w:p>
      <w:pPr>
        <w:pStyle w:val="Text1"/>
        <w:pBdr>
          <w:top w:val="single" w:sz="4" w:space="1" w:color="auto"/>
          <w:left w:val="single" w:sz="4" w:space="4" w:color="auto"/>
          <w:bottom w:val="single" w:sz="4" w:space="1" w:color="auto"/>
          <w:right w:val="single" w:sz="4" w:space="4" w:color="auto"/>
        </w:pBdr>
        <w:rPr>
          <w:noProof/>
        </w:rPr>
      </w:pPr>
      <w:r>
        <w:rPr>
          <w:noProof/>
        </w:rPr>
        <w:t>До 30 септември 2023 г. всички държави членки ще подадат заявление за финансиране от резерва (представено в приложение II към регламента), в което се посочва подробна информация и обосновка за общите публични разходи, направени и платени от държавите членки от 1 юли 2020 г. до 31 декември 2022 г. Заявлението ще бъде придружено от доклад за изпълнението, в който подробно се описват предприетите мерки за противодействие на неблагоприятните последици от оттеглянето на Обединеното кралство от Съюза, как са изпълнени, декларация за управление, независимо одитно становище, обхващащо референтния период за резерва, и други.</w:t>
      </w:r>
    </w:p>
    <w:p>
      <w:pPr>
        <w:pStyle w:val="Text1"/>
        <w:pBdr>
          <w:top w:val="single" w:sz="4" w:space="1" w:color="auto"/>
          <w:left w:val="single" w:sz="4" w:space="4" w:color="auto"/>
          <w:bottom w:val="single" w:sz="4" w:space="1" w:color="auto"/>
          <w:right w:val="single" w:sz="4" w:space="4" w:color="auto"/>
        </w:pBdr>
        <w:rPr>
          <w:noProof/>
        </w:rPr>
      </w:pPr>
      <w:r>
        <w:rPr>
          <w:noProof/>
        </w:rPr>
        <w:t>Комисията ще оценява заявленията в пакет, с което да се гарантира еднакво третиране на всички държави членки и последователност в оценяването. При оценяването на заявленията за финансиране от резерва Комисията ще уравни изплатените суми по предварителното финансиране и ще събере неизползваните суми за целта на настоящия регламент. В случаи че разходи надвишават сумата, платена по предварителното финансиране, и прага от 0,06 % от номиналния БНД за 2021 г., е възможно да бъдат изплатени допълнителни вноски от резерва като принос към надвишаващите суми, в рамките на наличните финансови ресурси. Събраните от предварителното финансиране и пренесените суми може да се използват за възстановяване на допълнителни разходи на държавите членки, ако има искания за това.</w:t>
      </w:r>
    </w:p>
    <w:p>
      <w:pPr>
        <w:pStyle w:val="ManualHeading3"/>
        <w:rPr>
          <w:noProof/>
        </w:rPr>
      </w:pPr>
      <w:bookmarkStart w:id="36" w:name="_Toc514941986"/>
      <w:bookmarkStart w:id="37" w:name="_Toc520485213"/>
      <w:r>
        <w:rPr>
          <w:noProof/>
        </w:rPr>
        <w:t>2.2.2.</w:t>
      </w:r>
      <w:r>
        <w:rPr>
          <w:noProof/>
        </w:rPr>
        <w:tab/>
        <w:t>Информация относно установените рискове и системите за вътрешен контрол, създадени с цел намаляването им</w:t>
      </w:r>
      <w:bookmarkEnd w:id="36"/>
      <w:bookmarkEnd w:id="37"/>
    </w:p>
    <w:p>
      <w:pPr>
        <w:pStyle w:val="Text1"/>
        <w:pBdr>
          <w:top w:val="single" w:sz="4" w:space="1" w:color="auto"/>
          <w:left w:val="single" w:sz="4" w:space="4" w:color="auto"/>
          <w:bottom w:val="single" w:sz="4" w:space="1" w:color="auto"/>
          <w:right w:val="single" w:sz="4" w:space="4" w:color="auto"/>
        </w:pBdr>
        <w:rPr>
          <w:noProof/>
        </w:rPr>
      </w:pPr>
      <w:r>
        <w:rPr>
          <w:noProof/>
        </w:rPr>
        <w:t>Рисковете са, както следва. Важно е да се гарантира, че:</w:t>
      </w:r>
    </w:p>
    <w:p>
      <w:pPr>
        <w:pStyle w:val="Text1"/>
        <w:pBdr>
          <w:top w:val="single" w:sz="4" w:space="1" w:color="auto"/>
          <w:left w:val="single" w:sz="4" w:space="4" w:color="auto"/>
          <w:bottom w:val="single" w:sz="4" w:space="1" w:color="auto"/>
          <w:right w:val="single" w:sz="4" w:space="4" w:color="auto"/>
        </w:pBdr>
        <w:rPr>
          <w:noProof/>
          <w:szCs w:val="24"/>
        </w:rPr>
      </w:pPr>
      <w:r>
        <w:rPr>
          <w:noProof/>
        </w:rPr>
        <w:t>— общите публични разходи, декларирани от държавите членки, са свързани с мерките, предприети за противодействие на неблагоприятните последици от оттеглянето на Обединеното кралство от Съюза;</w:t>
      </w:r>
    </w:p>
    <w:p>
      <w:pPr>
        <w:pStyle w:val="Text1"/>
        <w:pBdr>
          <w:top w:val="single" w:sz="4" w:space="1" w:color="auto"/>
          <w:left w:val="single" w:sz="4" w:space="4" w:color="auto"/>
          <w:bottom w:val="single" w:sz="4" w:space="1" w:color="auto"/>
          <w:right w:val="single" w:sz="4" w:space="4" w:color="auto"/>
        </w:pBdr>
        <w:rPr>
          <w:noProof/>
          <w:szCs w:val="24"/>
        </w:rPr>
      </w:pPr>
      <w:r>
        <w:rPr>
          <w:noProof/>
        </w:rPr>
        <w:t>— общите публични разходи, декларирани от държавите членки, са ограничени до референтния период от 1 юли 2020 г. до 31 декември 2022 г.;</w:t>
      </w:r>
    </w:p>
    <w:p>
      <w:pPr>
        <w:pStyle w:val="Text1"/>
        <w:pBdr>
          <w:top w:val="single" w:sz="4" w:space="1" w:color="auto"/>
          <w:left w:val="single" w:sz="4" w:space="4" w:color="auto"/>
          <w:bottom w:val="single" w:sz="4" w:space="1" w:color="auto"/>
          <w:right w:val="single" w:sz="4" w:space="4" w:color="auto"/>
        </w:pBdr>
        <w:rPr>
          <w:noProof/>
        </w:rPr>
      </w:pPr>
      <w:r>
        <w:rPr>
          <w:noProof/>
        </w:rPr>
        <w:t>— избегнато е двойно финансиране.</w:t>
      </w:r>
    </w:p>
    <w:p>
      <w:pPr>
        <w:pStyle w:val="Text1"/>
        <w:pBdr>
          <w:top w:val="single" w:sz="4" w:space="1" w:color="auto"/>
          <w:left w:val="single" w:sz="4" w:space="4" w:color="auto"/>
          <w:bottom w:val="single" w:sz="4" w:space="1" w:color="auto"/>
          <w:right w:val="single" w:sz="4" w:space="4" w:color="auto"/>
        </w:pBdr>
        <w:rPr>
          <w:noProof/>
        </w:rPr>
      </w:pPr>
      <w:r>
        <w:rPr>
          <w:noProof/>
        </w:rPr>
        <w:t xml:space="preserve">Ще бъдат въведени мерки за справяне с тези рискове през целия период на изпълнение и отпускане на суми от резерва: </w:t>
      </w:r>
    </w:p>
    <w:p>
      <w:pPr>
        <w:pStyle w:val="Text1"/>
        <w:pBdr>
          <w:top w:val="single" w:sz="4" w:space="1" w:color="auto"/>
          <w:left w:val="single" w:sz="4" w:space="4" w:color="auto"/>
          <w:bottom w:val="single" w:sz="4" w:space="1" w:color="auto"/>
          <w:right w:val="single" w:sz="4" w:space="4" w:color="auto"/>
        </w:pBdr>
        <w:rPr>
          <w:noProof/>
        </w:rPr>
      </w:pPr>
      <w:r>
        <w:rPr>
          <w:noProof/>
        </w:rPr>
        <w:t>— залагането в законодателен акт на прозрачен метод за разпределение и изплащане;</w:t>
      </w:r>
    </w:p>
    <w:p>
      <w:pPr>
        <w:pStyle w:val="Text1"/>
        <w:pBdr>
          <w:top w:val="single" w:sz="4" w:space="1" w:color="auto"/>
          <w:left w:val="single" w:sz="4" w:space="4" w:color="auto"/>
          <w:bottom w:val="single" w:sz="4" w:space="1" w:color="auto"/>
          <w:right w:val="single" w:sz="4" w:space="4" w:color="auto"/>
        </w:pBdr>
        <w:rPr>
          <w:noProof/>
        </w:rPr>
      </w:pPr>
      <w:r>
        <w:rPr>
          <w:noProof/>
        </w:rPr>
        <w:t>— процедура за задълбочена оценка от страна на Комисията преди изплащането на допълнителни суми от резерва;</w:t>
      </w:r>
    </w:p>
    <w:p>
      <w:pPr>
        <w:pStyle w:val="Text1"/>
        <w:pBdr>
          <w:top w:val="single" w:sz="4" w:space="1" w:color="auto"/>
          <w:left w:val="single" w:sz="4" w:space="4" w:color="auto"/>
          <w:bottom w:val="single" w:sz="4" w:space="1" w:color="auto"/>
          <w:right w:val="single" w:sz="4" w:space="4" w:color="auto"/>
        </w:pBdr>
        <w:rPr>
          <w:noProof/>
        </w:rPr>
      </w:pPr>
      <w:r>
        <w:rPr>
          <w:noProof/>
        </w:rPr>
        <w:t>— събиране на цялото предварително финансиране или на части от него, в случай че приетите от Комисията допустими разходи, декларирани от държава членка, са по-ниски от предварителното финансиране или при установяване на нередности;</w:t>
      </w:r>
    </w:p>
    <w:p>
      <w:pPr>
        <w:pStyle w:val="Text1"/>
        <w:pBdr>
          <w:top w:val="single" w:sz="4" w:space="1" w:color="auto"/>
          <w:left w:val="single" w:sz="4" w:space="4" w:color="auto"/>
          <w:bottom w:val="single" w:sz="4" w:space="1" w:color="auto"/>
          <w:right w:val="single" w:sz="4" w:space="4" w:color="auto"/>
        </w:pBdr>
        <w:rPr>
          <w:noProof/>
        </w:rPr>
      </w:pPr>
      <w:r>
        <w:rPr>
          <w:noProof/>
        </w:rPr>
        <w:t>— използване на специална система за управление и контрол във връзка със споделеното управление в съответствие с член 63 от Регламент (ЕС, Евратом) 2018/1046, като например използваните по линия на политиката на сближаване или по линия на фонд „Солидарност“ на Европейския съюз. Държавите членки ще прилагат финансови корекции по отношение на неправомерните разходи.</w:t>
      </w:r>
    </w:p>
    <w:p>
      <w:pPr>
        <w:pStyle w:val="ManualHeading3"/>
        <w:rPr>
          <w:noProof/>
        </w:rPr>
      </w:pPr>
      <w:bookmarkStart w:id="38" w:name="_Toc514941987"/>
      <w:bookmarkStart w:id="39" w:name="_Toc520485214"/>
      <w:r>
        <w:rPr>
          <w:noProof/>
        </w:rPr>
        <w:t>2.2.3.</w:t>
      </w:r>
      <w:r>
        <w:rPr>
          <w:noProof/>
        </w:rPr>
        <w:tab/>
        <w:t>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w:t>
      </w:r>
      <w:bookmarkEnd w:id="38"/>
      <w:bookmarkEnd w:id="3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Комисията разгледа внимателно тези критични забележки с оглед постигането на правилния баланс между отчетност, опростяване и качество на изпълнението. </w:t>
      </w:r>
    </w:p>
    <w:p>
      <w:pPr>
        <w:pStyle w:val="Text1"/>
        <w:pBdr>
          <w:top w:val="single" w:sz="4" w:space="1" w:color="auto"/>
          <w:left w:val="single" w:sz="4" w:space="4" w:color="auto"/>
          <w:bottom w:val="single" w:sz="4" w:space="1" w:color="auto"/>
          <w:right w:val="single" w:sz="4" w:space="4" w:color="auto"/>
        </w:pBdr>
        <w:rPr>
          <w:noProof/>
        </w:rPr>
      </w:pPr>
      <w:r>
        <w:rPr>
          <w:noProof/>
        </w:rPr>
        <w:t>В този контекст Комисията предлага системата за управление и контрол на резерва да се ръководи от правилата, приложими за фондовете със споделено управление, като например Регламента за общоприложимите разпоредби и фонд „Солидарност“ на Европейския съюз. В регламента ясно са заложени отговорностите на държавите членки и минимален набор от изисквания за органите, които да отговарят за управлението, контрола и одитирането на финансирането от резерва. Държавите членки ще въведат системи с цел предотвратяване, откриване и ефективно отстраняване на всички нередности, измами и конфликти на интереси.</w:t>
      </w:r>
    </w:p>
    <w:p>
      <w:pPr>
        <w:pStyle w:val="Text1"/>
        <w:pBdr>
          <w:top w:val="single" w:sz="4" w:space="1" w:color="auto"/>
          <w:left w:val="single" w:sz="4" w:space="4" w:color="auto"/>
          <w:bottom w:val="single" w:sz="4" w:space="1" w:color="auto"/>
          <w:right w:val="single" w:sz="4" w:space="4" w:color="auto"/>
        </w:pBdr>
        <w:rPr>
          <w:noProof/>
        </w:rPr>
      </w:pPr>
      <w:r>
        <w:rPr>
          <w:noProof/>
        </w:rPr>
        <w:t>С цел избягване на допълнителни финансови и административни тежести за държавите членки в предложените разпоредби е намерен точен баланс между ниво на увереност и опростяване на правилата и се насърчава пренасянето на съществуващи системи.</w:t>
      </w:r>
    </w:p>
    <w:p>
      <w:pPr>
        <w:pStyle w:val="ManualHeading2"/>
        <w:rPr>
          <w:bCs/>
          <w:noProof/>
          <w:szCs w:val="24"/>
        </w:rPr>
      </w:pPr>
      <w:bookmarkStart w:id="40" w:name="_Toc514941988"/>
      <w:bookmarkStart w:id="41" w:name="_Toc520485215"/>
      <w:r>
        <w:rPr>
          <w:noProof/>
        </w:rPr>
        <w:t>2.3.</w:t>
      </w:r>
      <w:r>
        <w:rPr>
          <w:noProof/>
        </w:rPr>
        <w:tab/>
        <w:t>Мерки за предотвратяване на измами и нередности</w:t>
      </w:r>
      <w:bookmarkEnd w:id="40"/>
      <w:bookmarkEnd w:id="41"/>
      <w:r>
        <w:rPr>
          <w:noProof/>
        </w:rPr>
        <w:t xml:space="preserve"> </w:t>
      </w:r>
    </w:p>
    <w:p>
      <w:pPr>
        <w:pStyle w:val="Text1"/>
        <w:rPr>
          <w:i/>
          <w:noProof/>
          <w:sz w:val="20"/>
        </w:rPr>
      </w:pPr>
      <w:r>
        <w:rPr>
          <w:i/>
          <w:noProof/>
          <w:sz w:val="20"/>
        </w:rPr>
        <w:t>Да се посочат съществуващите или планираните мерки за превенция и защита, например от стратегията за борба с измамите.</w:t>
      </w:r>
    </w:p>
    <w:p>
      <w:pPr>
        <w:pStyle w:val="Text1"/>
        <w:pBdr>
          <w:top w:val="single" w:sz="4" w:space="1" w:color="auto"/>
          <w:left w:val="single" w:sz="4" w:space="4" w:color="auto"/>
          <w:bottom w:val="single" w:sz="4" w:space="1" w:color="auto"/>
          <w:right w:val="single" w:sz="4" w:space="4" w:color="auto"/>
        </w:pBdr>
        <w:rPr>
          <w:noProof/>
        </w:rPr>
      </w:pPr>
      <w:r>
        <w:rPr>
          <w:noProof/>
        </w:rPr>
        <w:t>Съгласно правилата за споделено управление държавите членки ще трябва да създадат система за управление и контрол и да определят органи, които да отговарят за управлението на резерва, както и независим одитен орган. В срок от три месеца от влизането в сила на настоящия регламент държавите членки ще уведомят Комисията за идентификационните данни на определените органи и на органа, на който ще бъде изплатено предварителното финансиране, и ще потвърдят, че описанията на системите са съставени.</w:t>
      </w:r>
    </w:p>
    <w:p>
      <w:pPr>
        <w:pStyle w:val="Text1"/>
        <w:pBdr>
          <w:top w:val="single" w:sz="4" w:space="1" w:color="auto"/>
          <w:left w:val="single" w:sz="4" w:space="4" w:color="auto"/>
          <w:bottom w:val="single" w:sz="4" w:space="1" w:color="auto"/>
          <w:right w:val="single" w:sz="4" w:space="4" w:color="auto"/>
        </w:pBdr>
        <w:rPr>
          <w:noProof/>
        </w:rPr>
      </w:pPr>
      <w:r>
        <w:rPr>
          <w:noProof/>
        </w:rPr>
        <w:t>Органите на държавите членки ще трябва да поддържат ефективни и пропорционални мерки и процедури за борба с измамите, по-специално като вземат под внимание установените рискове от измами. Органите на държавите ще могат да използват съществуващите понастоящем системи за предотвратяване на нередности и измами, създадени съгласно правилата за споделено управление, ръководещи фондовете по линия на политиката за сближаване и фонд „Солидарност“ на Европейския съюз.</w:t>
      </w:r>
    </w:p>
    <w:p>
      <w:pPr>
        <w:pStyle w:val="Text1"/>
        <w:pBdr>
          <w:top w:val="single" w:sz="4" w:space="1" w:color="auto"/>
          <w:left w:val="single" w:sz="4" w:space="4" w:color="auto"/>
          <w:bottom w:val="single" w:sz="4" w:space="1" w:color="auto"/>
          <w:right w:val="single" w:sz="4" w:space="4" w:color="auto"/>
        </w:pBdr>
        <w:rPr>
          <w:noProof/>
        </w:rPr>
      </w:pPr>
      <w:r>
        <w:rPr>
          <w:noProof/>
        </w:rPr>
        <w:t>Комисията и други институции на ЕС (Европейската сметна палата, OLAF) ще извършват своите обичайни проверки и одити.</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2" w:name="_Toc514941989"/>
      <w:bookmarkStart w:id="43" w:name="_Toc520485216"/>
      <w:r>
        <w:rPr>
          <w:noProof/>
        </w:rPr>
        <w:t>3.</w:t>
      </w:r>
      <w:r>
        <w:rPr>
          <w:noProof/>
        </w:rPr>
        <w:tab/>
        <w:t>ОЧАКВАНО ФИНАНСОВО ОТРАЖЕНИЕ НА ПРЕДЛОЖЕНИЕТО/ИНИЦИАТИВАТА</w:t>
      </w:r>
      <w:bookmarkEnd w:id="42"/>
      <w:bookmarkEnd w:id="43"/>
      <w:r>
        <w:rPr>
          <w:noProof/>
        </w:rPr>
        <w:t xml:space="preserve"> </w:t>
      </w:r>
    </w:p>
    <w:p>
      <w:pPr>
        <w:pStyle w:val="ManualHeading2"/>
        <w:rPr>
          <w:noProof/>
        </w:rPr>
      </w:pPr>
      <w:bookmarkStart w:id="44" w:name="_Toc514941990"/>
      <w:bookmarkStart w:id="45" w:name="_Toc520485217"/>
      <w:r>
        <w:rPr>
          <w:noProof/>
        </w:rPr>
        <w:t>3.1.</w:t>
      </w:r>
      <w:r>
        <w:rPr>
          <w:noProof/>
        </w:rPr>
        <w:tab/>
        <w:t>Функция от многогодишната финансова рамка и предложени нови разходни бюджетни редове</w:t>
      </w:r>
      <w:bookmarkEnd w:id="44"/>
      <w:bookmarkEnd w:id="45"/>
      <w:r>
        <w:rPr>
          <w:noProof/>
        </w:rPr>
        <w:t xml:space="preserve"> </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720"/>
        <w:gridCol w:w="1080"/>
        <w:gridCol w:w="1044"/>
        <w:gridCol w:w="1134"/>
        <w:gridCol w:w="814"/>
        <w:gridCol w:w="1448"/>
      </w:tblGrid>
      <w:tr>
        <w:tc>
          <w:tcPr>
            <w:tcW w:w="1440" w:type="dxa"/>
            <w:vMerge w:val="restart"/>
            <w:vAlign w:val="center"/>
          </w:tcPr>
          <w:p>
            <w:pPr>
              <w:spacing w:before="60" w:after="60"/>
              <w:jc w:val="center"/>
              <w:rPr>
                <w:noProof/>
              </w:rPr>
            </w:pPr>
            <w:r>
              <w:rPr>
                <w:noProof/>
                <w:sz w:val="18"/>
              </w:rPr>
              <w:t>Функция от многогодишната финансова рамка</w:t>
            </w:r>
          </w:p>
        </w:tc>
        <w:tc>
          <w:tcPr>
            <w:tcW w:w="372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на </w:t>
            </w:r>
            <w:r>
              <w:rPr>
                <w:noProof/>
              </w:rPr>
              <w:t xml:space="preserve"> </w:t>
            </w:r>
            <w:r>
              <w:rPr>
                <w:noProof/>
              </w:rPr>
              <w:cr/>
            </w:r>
            <w:r>
              <w:rPr>
                <w:noProof/>
              </w:rPr>
              <w:br/>
            </w:r>
            <w:r>
              <w:rPr>
                <w:noProof/>
                <w:sz w:val="18"/>
              </w:rPr>
              <w:t>разхода</w:t>
            </w:r>
          </w:p>
        </w:tc>
        <w:tc>
          <w:tcPr>
            <w:tcW w:w="4440" w:type="dxa"/>
            <w:gridSpan w:val="4"/>
            <w:vAlign w:val="center"/>
          </w:tcPr>
          <w:p>
            <w:pPr>
              <w:spacing w:before="60" w:after="60"/>
              <w:jc w:val="center"/>
              <w:rPr>
                <w:noProof/>
              </w:rPr>
            </w:pPr>
            <w:r>
              <w:rPr>
                <w:noProof/>
                <w:sz w:val="20"/>
              </w:rPr>
              <w:t xml:space="preserve">Принос </w:t>
            </w:r>
          </w:p>
        </w:tc>
      </w:tr>
      <w:tr>
        <w:tc>
          <w:tcPr>
            <w:tcW w:w="1440" w:type="dxa"/>
            <w:vMerge/>
            <w:vAlign w:val="center"/>
          </w:tcPr>
          <w:p>
            <w:pPr>
              <w:jc w:val="center"/>
              <w:rPr>
                <w:noProof/>
              </w:rPr>
            </w:pPr>
          </w:p>
        </w:tc>
        <w:tc>
          <w:tcPr>
            <w:tcW w:w="3720" w:type="dxa"/>
            <w:vAlign w:val="center"/>
          </w:tcPr>
          <w:p>
            <w:pPr>
              <w:rPr>
                <w:noProof/>
              </w:rPr>
            </w:pPr>
          </w:p>
        </w:tc>
        <w:tc>
          <w:tcPr>
            <w:tcW w:w="1080" w:type="dxa"/>
            <w:vAlign w:val="center"/>
          </w:tcPr>
          <w:p>
            <w:pPr>
              <w:jc w:val="center"/>
              <w:rPr>
                <w:noProof/>
              </w:rPr>
            </w:pPr>
            <w:r>
              <w:rPr>
                <w:noProof/>
                <w:sz w:val="18"/>
              </w:rPr>
              <w:t>Многогод./едногод.</w:t>
            </w:r>
            <w:r>
              <w:rPr>
                <w:rStyle w:val="FootnoteReference0"/>
                <w:noProof/>
                <w:sz w:val="18"/>
              </w:rPr>
              <w:footnoteReference w:id="25"/>
            </w:r>
            <w:r>
              <w:rPr>
                <w:noProof/>
              </w:rPr>
              <w:t xml:space="preserve"> </w:t>
            </w:r>
          </w:p>
        </w:tc>
        <w:tc>
          <w:tcPr>
            <w:tcW w:w="1044" w:type="dxa"/>
            <w:vAlign w:val="center"/>
          </w:tcPr>
          <w:p>
            <w:pPr>
              <w:jc w:val="center"/>
              <w:rPr>
                <w:noProof/>
              </w:rPr>
            </w:pPr>
            <w:r>
              <w:rPr>
                <w:noProof/>
                <w:sz w:val="18"/>
              </w:rPr>
              <w:t>от държави от ЕАСТ</w:t>
            </w:r>
            <w:r>
              <w:rPr>
                <w:rStyle w:val="FootnoteReference0"/>
                <w:noProof/>
                <w:sz w:val="18"/>
              </w:rPr>
              <w:footnoteReference w:id="26"/>
            </w:r>
          </w:p>
          <w:p>
            <w:pPr>
              <w:spacing w:before="0" w:after="0"/>
              <w:jc w:val="center"/>
              <w:rPr>
                <w:b/>
                <w:noProof/>
                <w:sz w:val="18"/>
              </w:rPr>
            </w:pPr>
          </w:p>
        </w:tc>
        <w:tc>
          <w:tcPr>
            <w:tcW w:w="1134" w:type="dxa"/>
            <w:vAlign w:val="center"/>
          </w:tcPr>
          <w:p>
            <w:pPr>
              <w:jc w:val="center"/>
              <w:rPr>
                <w:noProof/>
              </w:rPr>
            </w:pPr>
            <w:r>
              <w:rPr>
                <w:noProof/>
                <w:sz w:val="18"/>
              </w:rPr>
              <w:t>от държави кандидатки</w:t>
            </w:r>
            <w:r>
              <w:rPr>
                <w:rStyle w:val="FootnoteReference0"/>
                <w:noProof/>
                <w:sz w:val="18"/>
              </w:rPr>
              <w:footnoteReference w:id="27"/>
            </w:r>
          </w:p>
          <w:p>
            <w:pPr>
              <w:spacing w:before="0" w:after="0"/>
              <w:jc w:val="center"/>
              <w:rPr>
                <w:noProof/>
                <w:sz w:val="18"/>
              </w:rPr>
            </w:pPr>
          </w:p>
        </w:tc>
        <w:tc>
          <w:tcPr>
            <w:tcW w:w="814"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440" w:type="dxa"/>
            <w:vAlign w:val="center"/>
          </w:tcPr>
          <w:p>
            <w:pPr>
              <w:jc w:val="center"/>
              <w:rPr>
                <w:noProof/>
                <w:sz w:val="18"/>
              </w:rPr>
            </w:pPr>
            <w:r>
              <w:rPr>
                <w:noProof/>
                <w:sz w:val="18"/>
              </w:rPr>
              <w:t>Дял 16:</w:t>
            </w:r>
            <w:r>
              <w:rPr>
                <w:noProof/>
              </w:rPr>
              <w:t xml:space="preserve"> </w:t>
            </w:r>
            <w:r>
              <w:rPr>
                <w:noProof/>
              </w:rPr>
              <w:cr/>
            </w:r>
            <w:r>
              <w:rPr>
                <w:noProof/>
              </w:rPr>
              <w:br/>
            </w:r>
            <w:r>
              <w:rPr>
                <w:noProof/>
                <w:sz w:val="18"/>
              </w:rPr>
              <w:t>Разходи извън годишните тавани, определени в многогодишната финансова рамка</w:t>
            </w:r>
          </w:p>
        </w:tc>
        <w:tc>
          <w:tcPr>
            <w:tcW w:w="3720" w:type="dxa"/>
            <w:vAlign w:val="center"/>
          </w:tcPr>
          <w:p>
            <w:pPr>
              <w:spacing w:after="60"/>
              <w:rPr>
                <w:noProof/>
                <w:sz w:val="18"/>
              </w:rPr>
            </w:pPr>
            <w:r>
              <w:rPr>
                <w:noProof/>
                <w:sz w:val="18"/>
              </w:rPr>
              <w:t>16 02 03 Резерв за приспособяване във връзка с последиците от Брексит (BAR)</w:t>
            </w:r>
          </w:p>
        </w:tc>
        <w:tc>
          <w:tcPr>
            <w:tcW w:w="1080" w:type="dxa"/>
            <w:vAlign w:val="center"/>
          </w:tcPr>
          <w:p>
            <w:pPr>
              <w:jc w:val="center"/>
              <w:rPr>
                <w:noProof/>
                <w:color w:val="0000FF"/>
                <w:sz w:val="18"/>
              </w:rPr>
            </w:pPr>
            <w:r>
              <w:rPr>
                <w:noProof/>
                <w:sz w:val="18"/>
              </w:rPr>
              <w:t>Многогод.</w:t>
            </w:r>
          </w:p>
        </w:tc>
        <w:tc>
          <w:tcPr>
            <w:tcW w:w="1044" w:type="dxa"/>
            <w:vAlign w:val="center"/>
          </w:tcPr>
          <w:p>
            <w:pPr>
              <w:jc w:val="center"/>
              <w:rPr>
                <w:noProof/>
                <w:sz w:val="18"/>
              </w:rPr>
            </w:pPr>
            <w:r>
              <w:rPr>
                <w:noProof/>
                <w:sz w:val="18"/>
              </w:rPr>
              <w:t>НЕ</w:t>
            </w:r>
          </w:p>
        </w:tc>
        <w:tc>
          <w:tcPr>
            <w:tcW w:w="1134" w:type="dxa"/>
            <w:vAlign w:val="center"/>
          </w:tcPr>
          <w:p>
            <w:pPr>
              <w:jc w:val="center"/>
              <w:rPr>
                <w:noProof/>
                <w:sz w:val="18"/>
              </w:rPr>
            </w:pPr>
            <w:r>
              <w:rPr>
                <w:noProof/>
                <w:sz w:val="18"/>
              </w:rPr>
              <w:t>НЕ</w:t>
            </w:r>
          </w:p>
        </w:tc>
        <w:tc>
          <w:tcPr>
            <w:tcW w:w="814" w:type="dxa"/>
            <w:vAlign w:val="center"/>
          </w:tcPr>
          <w:p>
            <w:pPr>
              <w:jc w:val="center"/>
              <w:rPr>
                <w:noProof/>
                <w:sz w:val="18"/>
              </w:rPr>
            </w:pPr>
            <w:r>
              <w:rPr>
                <w:noProof/>
                <w:sz w:val="18"/>
              </w:rPr>
              <w:t>НЕ</w:t>
            </w:r>
          </w:p>
        </w:tc>
        <w:tc>
          <w:tcPr>
            <w:tcW w:w="1448" w:type="dxa"/>
            <w:vAlign w:val="center"/>
          </w:tcPr>
          <w:p>
            <w:pPr>
              <w:jc w:val="center"/>
              <w:rPr>
                <w:noProof/>
                <w:sz w:val="18"/>
              </w:rPr>
            </w:pPr>
            <w:r>
              <w:rPr>
                <w:noProof/>
                <w:sz w:val="18"/>
              </w:rPr>
              <w:t>НЕ</w:t>
            </w:r>
          </w:p>
        </w:tc>
      </w:tr>
      <w:tr>
        <w:tc>
          <w:tcPr>
            <w:tcW w:w="1440" w:type="dxa"/>
            <w:vAlign w:val="center"/>
          </w:tcPr>
          <w:p>
            <w:pPr>
              <w:jc w:val="center"/>
              <w:rPr>
                <w:noProof/>
                <w:sz w:val="18"/>
              </w:rPr>
            </w:pPr>
            <w:r>
              <w:rPr>
                <w:noProof/>
                <w:sz w:val="18"/>
              </w:rPr>
              <w:t>Дял 30: Резерви</w:t>
            </w:r>
          </w:p>
        </w:tc>
        <w:tc>
          <w:tcPr>
            <w:tcW w:w="3720" w:type="dxa"/>
            <w:vAlign w:val="center"/>
          </w:tcPr>
          <w:p>
            <w:pPr>
              <w:spacing w:after="60"/>
              <w:rPr>
                <w:noProof/>
                <w:sz w:val="18"/>
              </w:rPr>
            </w:pPr>
            <w:r>
              <w:rPr>
                <w:noProof/>
                <w:sz w:val="18"/>
              </w:rPr>
              <w:t>30 04 03 Резерв за приспособяване във връзка с последиците от Брексит (BAR)</w:t>
            </w:r>
          </w:p>
        </w:tc>
        <w:tc>
          <w:tcPr>
            <w:tcW w:w="1080" w:type="dxa"/>
            <w:vAlign w:val="center"/>
          </w:tcPr>
          <w:p>
            <w:pPr>
              <w:jc w:val="center"/>
              <w:rPr>
                <w:noProof/>
                <w:color w:val="0000FF"/>
                <w:sz w:val="18"/>
              </w:rPr>
            </w:pPr>
            <w:r>
              <w:rPr>
                <w:noProof/>
                <w:sz w:val="18"/>
              </w:rPr>
              <w:t>Многогод.</w:t>
            </w:r>
          </w:p>
        </w:tc>
        <w:tc>
          <w:tcPr>
            <w:tcW w:w="1044" w:type="dxa"/>
            <w:vAlign w:val="center"/>
          </w:tcPr>
          <w:p>
            <w:pPr>
              <w:jc w:val="center"/>
              <w:rPr>
                <w:noProof/>
                <w:sz w:val="18"/>
              </w:rPr>
            </w:pPr>
            <w:r>
              <w:rPr>
                <w:noProof/>
                <w:sz w:val="18"/>
              </w:rPr>
              <w:t>НЕ</w:t>
            </w:r>
          </w:p>
        </w:tc>
        <w:tc>
          <w:tcPr>
            <w:tcW w:w="1134" w:type="dxa"/>
            <w:vAlign w:val="center"/>
          </w:tcPr>
          <w:p>
            <w:pPr>
              <w:jc w:val="center"/>
              <w:rPr>
                <w:noProof/>
                <w:sz w:val="18"/>
              </w:rPr>
            </w:pPr>
            <w:r>
              <w:rPr>
                <w:noProof/>
                <w:sz w:val="18"/>
              </w:rPr>
              <w:t>НЕ</w:t>
            </w:r>
          </w:p>
        </w:tc>
        <w:tc>
          <w:tcPr>
            <w:tcW w:w="814" w:type="dxa"/>
            <w:vAlign w:val="center"/>
          </w:tcPr>
          <w:p>
            <w:pPr>
              <w:jc w:val="center"/>
              <w:rPr>
                <w:noProof/>
                <w:sz w:val="18"/>
              </w:rPr>
            </w:pPr>
            <w:r>
              <w:rPr>
                <w:noProof/>
                <w:sz w:val="18"/>
              </w:rPr>
              <w:t>НЕ</w:t>
            </w:r>
          </w:p>
        </w:tc>
        <w:tc>
          <w:tcPr>
            <w:tcW w:w="1448" w:type="dxa"/>
            <w:vAlign w:val="center"/>
          </w:tcPr>
          <w:p>
            <w:pPr>
              <w:jc w:val="center"/>
              <w:rPr>
                <w:noProof/>
                <w:sz w:val="18"/>
              </w:rPr>
            </w:pPr>
            <w:r>
              <w:rPr>
                <w:noProof/>
                <w:sz w:val="18"/>
              </w:rPr>
              <w:t>НЕ</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6" w:name="_Toc514941991"/>
      <w:bookmarkStart w:id="47" w:name="_Toc520485218"/>
      <w:r>
        <w:rPr>
          <w:noProof/>
        </w:rPr>
        <w:t>3.2.</w:t>
      </w:r>
      <w:r>
        <w:rPr>
          <w:noProof/>
        </w:rPr>
        <w:tab/>
        <w:t>Очаквано отражение върху разходите</w:t>
      </w:r>
      <w:bookmarkEnd w:id="46"/>
      <w:bookmarkEnd w:id="47"/>
      <w:r>
        <w:rPr>
          <w:noProof/>
        </w:rPr>
        <w:t xml:space="preserve"> </w:t>
      </w:r>
    </w:p>
    <w:p>
      <w:pPr>
        <w:pStyle w:val="ManualHeading3"/>
        <w:rPr>
          <w:noProof/>
          <w:u w:val="single"/>
        </w:rPr>
      </w:pPr>
      <w:bookmarkStart w:id="48" w:name="_Toc514941992"/>
      <w:bookmarkStart w:id="49" w:name="_Toc520485219"/>
      <w:r>
        <w:rPr>
          <w:noProof/>
        </w:rPr>
        <w:t>3.2.1.</w:t>
      </w:r>
      <w:r>
        <w:rPr>
          <w:noProof/>
        </w:rPr>
        <w:tab/>
        <w:t>Обобщение на очакваното отражение върху разходите</w:t>
      </w:r>
      <w:bookmarkEnd w:id="48"/>
      <w:bookmarkEnd w:id="49"/>
      <w:r>
        <w:rPr>
          <w:noProof/>
        </w:rPr>
        <w:t xml:space="preserve"> </w:t>
      </w:r>
    </w:p>
    <w:p>
      <w:pPr>
        <w:jc w:val="right"/>
        <w:rPr>
          <w:noProof/>
          <w:sz w:val="20"/>
        </w:rPr>
      </w:pPr>
      <w:r>
        <w:rPr>
          <w:noProof/>
          <w:sz w:val="20"/>
        </w:rPr>
        <w:t>В EUR, по текущи цени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Функция от многогодишната финансова </w:t>
            </w:r>
            <w:r>
              <w:rPr>
                <w:noProof/>
              </w:rPr>
              <w:t xml:space="preserve"> </w:t>
            </w:r>
            <w:r>
              <w:rPr>
                <w:noProof/>
              </w:rPr>
              <w:cr/>
            </w:r>
            <w:r>
              <w:rPr>
                <w:noProof/>
              </w:rPr>
              <w:br/>
            </w:r>
            <w:r>
              <w:rPr>
                <w:b/>
                <w:noProof/>
                <w:sz w:val="22"/>
              </w:rPr>
              <w:t xml:space="preserve">рамка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2"/>
              </w:rPr>
              <w:t>16 02 03 Резерв за приспособяване във връзка с последиците от Брексит (BAR)/30 04 03 Резерв за приспособяване във връзка с последиците от Брексит (BAR)</w:t>
            </w:r>
          </w:p>
        </w:tc>
      </w:tr>
    </w:tbl>
    <w:p>
      <w:pPr>
        <w:rPr>
          <w:noProof/>
          <w:sz w:val="16"/>
        </w:rPr>
      </w:pP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909"/>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 г.</w:t>
            </w:r>
          </w:p>
        </w:tc>
        <w:tc>
          <w:tcPr>
            <w:tcW w:w="868" w:type="dxa"/>
            <w:vAlign w:val="center"/>
          </w:tcPr>
          <w:p>
            <w:pPr>
              <w:jc w:val="center"/>
              <w:rPr>
                <w:b/>
                <w:noProof/>
                <w:sz w:val="20"/>
              </w:rPr>
            </w:pPr>
            <w:r>
              <w:rPr>
                <w:b/>
                <w:noProof/>
                <w:sz w:val="20"/>
              </w:rPr>
              <w:t>2022 г.</w:t>
            </w:r>
          </w:p>
        </w:tc>
        <w:tc>
          <w:tcPr>
            <w:tcW w:w="868" w:type="dxa"/>
            <w:vAlign w:val="center"/>
          </w:tcPr>
          <w:p>
            <w:pPr>
              <w:jc w:val="center"/>
              <w:rPr>
                <w:b/>
                <w:noProof/>
                <w:sz w:val="20"/>
              </w:rPr>
            </w:pPr>
            <w:r>
              <w:rPr>
                <w:b/>
                <w:noProof/>
                <w:sz w:val="20"/>
              </w:rPr>
              <w:t>2023 г.</w:t>
            </w:r>
          </w:p>
        </w:tc>
        <w:tc>
          <w:tcPr>
            <w:tcW w:w="868" w:type="dxa"/>
            <w:vAlign w:val="center"/>
          </w:tcPr>
          <w:p>
            <w:pPr>
              <w:jc w:val="center"/>
              <w:rPr>
                <w:b/>
                <w:noProof/>
                <w:sz w:val="20"/>
              </w:rPr>
            </w:pPr>
            <w:r>
              <w:rPr>
                <w:b/>
                <w:noProof/>
                <w:sz w:val="20"/>
              </w:rPr>
              <w:t>2024 г.</w:t>
            </w:r>
          </w:p>
        </w:tc>
        <w:tc>
          <w:tcPr>
            <w:tcW w:w="868" w:type="dxa"/>
            <w:vAlign w:val="center"/>
          </w:tcPr>
          <w:p>
            <w:pPr>
              <w:jc w:val="center"/>
              <w:rPr>
                <w:b/>
                <w:noProof/>
                <w:sz w:val="18"/>
              </w:rPr>
            </w:pPr>
            <w:r>
              <w:rPr>
                <w:b/>
                <w:noProof/>
                <w:sz w:val="18"/>
              </w:rPr>
              <w:t>2025 г.</w:t>
            </w:r>
          </w:p>
        </w:tc>
        <w:tc>
          <w:tcPr>
            <w:tcW w:w="868" w:type="dxa"/>
            <w:vAlign w:val="center"/>
          </w:tcPr>
          <w:p>
            <w:pPr>
              <w:jc w:val="center"/>
              <w:rPr>
                <w:b/>
                <w:noProof/>
                <w:sz w:val="18"/>
              </w:rPr>
            </w:pPr>
            <w:r>
              <w:rPr>
                <w:b/>
                <w:noProof/>
                <w:sz w:val="18"/>
              </w:rPr>
              <w:t>2026 г.</w:t>
            </w:r>
          </w:p>
        </w:tc>
        <w:tc>
          <w:tcPr>
            <w:tcW w:w="909" w:type="dxa"/>
            <w:vAlign w:val="center"/>
          </w:tcPr>
          <w:p>
            <w:pPr>
              <w:jc w:val="center"/>
              <w:rPr>
                <w:b/>
                <w:noProof/>
                <w:sz w:val="18"/>
              </w:rPr>
            </w:pPr>
            <w:r>
              <w:rPr>
                <w:b/>
                <w:noProof/>
                <w:sz w:val="18"/>
              </w:rPr>
              <w:t>2027 г.</w:t>
            </w:r>
          </w:p>
        </w:tc>
        <w:tc>
          <w:tcPr>
            <w:tcW w:w="909" w:type="dxa"/>
          </w:tcPr>
          <w:p>
            <w:pPr>
              <w:jc w:val="center"/>
              <w:rPr>
                <w:b/>
                <w:i/>
                <w:noProof/>
                <w:sz w:val="20"/>
              </w:rPr>
            </w:pPr>
            <w:r>
              <w:rPr>
                <w:b/>
                <w:i/>
                <w:noProof/>
                <w:sz w:val="20"/>
              </w:rPr>
              <w:t>След 2027 г.</w:t>
            </w:r>
          </w:p>
        </w:tc>
        <w:tc>
          <w:tcPr>
            <w:tcW w:w="1289" w:type="dxa"/>
            <w:vAlign w:val="center"/>
          </w:tcPr>
          <w:p>
            <w:pPr>
              <w:jc w:val="center"/>
              <w:rPr>
                <w:b/>
                <w:noProof/>
                <w:sz w:val="20"/>
              </w:rPr>
            </w:pPr>
            <w:r>
              <w:rPr>
                <w:b/>
                <w:noProof/>
                <w:sz w:val="20"/>
              </w:rPr>
              <w:t>ОБЩО</w:t>
            </w:r>
          </w:p>
        </w:tc>
      </w:tr>
      <w:tr>
        <w:trPr>
          <w:trHeight w:val="433"/>
          <w:jc w:val="center"/>
        </w:trPr>
        <w:tc>
          <w:tcPr>
            <w:tcW w:w="4103" w:type="dxa"/>
            <w:vMerge w:val="restart"/>
            <w:vAlign w:val="center"/>
          </w:tcPr>
          <w:p>
            <w:pPr>
              <w:rPr>
                <w:noProof/>
              </w:rPr>
            </w:pPr>
            <w:r>
              <w:rPr>
                <w:noProof/>
                <w:sz w:val="20"/>
              </w:rPr>
              <w:t xml:space="preserve">Бюджетни кредити за оперативни разходи </w:t>
            </w:r>
          </w:p>
        </w:tc>
        <w:tc>
          <w:tcPr>
            <w:tcW w:w="1440" w:type="dxa"/>
            <w:vAlign w:val="center"/>
          </w:tcPr>
          <w:p>
            <w:pPr>
              <w:spacing w:before="20" w:after="20"/>
              <w:jc w:val="left"/>
              <w:rPr>
                <w:noProof/>
                <w:sz w:val="18"/>
              </w:rPr>
            </w:pPr>
            <w:r>
              <w:rPr>
                <w:noProof/>
                <w:sz w:val="18"/>
              </w:rPr>
              <w:t>Поети задължения</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Плащания</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319"/>
          <w:jc w:val="center"/>
        </w:trPr>
        <w:tc>
          <w:tcPr>
            <w:tcW w:w="4103" w:type="dxa"/>
            <w:vAlign w:val="center"/>
          </w:tcPr>
          <w:p>
            <w:pPr>
              <w:spacing w:before="20" w:after="20"/>
              <w:jc w:val="left"/>
              <w:rPr>
                <w:noProof/>
              </w:rPr>
            </w:pPr>
            <w:r>
              <w:rPr>
                <w:noProof/>
                <w:sz w:val="20"/>
              </w:rPr>
              <w:t>Бюджетни кредити за административни разходи, финансирани от пакета за програмата</w:t>
            </w:r>
            <w:r>
              <w:rPr>
                <w:rStyle w:val="FootnoteReference0"/>
                <w:noProof/>
                <w:sz w:val="20"/>
              </w:rPr>
              <w:footnoteReference w:id="28"/>
            </w:r>
            <w:r>
              <w:rPr>
                <w:noProof/>
                <w:sz w:val="21"/>
              </w:rPr>
              <w:t xml:space="preserve"> </w:t>
            </w:r>
          </w:p>
        </w:tc>
        <w:tc>
          <w:tcPr>
            <w:tcW w:w="1440" w:type="dxa"/>
            <w:vAlign w:val="center"/>
          </w:tcPr>
          <w:p>
            <w:pPr>
              <w:spacing w:before="40" w:after="40"/>
              <w:jc w:val="left"/>
              <w:rPr>
                <w:noProof/>
                <w:sz w:val="18"/>
              </w:rPr>
            </w:pPr>
            <w:r>
              <w:rPr>
                <w:noProof/>
                <w:sz w:val="18"/>
              </w:rPr>
              <w:t>Поети задължения = Плащания</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ОБЩО бюджетни кредити за финансовия пакет на програмата</w:t>
            </w:r>
          </w:p>
        </w:tc>
        <w:tc>
          <w:tcPr>
            <w:tcW w:w="1440" w:type="dxa"/>
            <w:vAlign w:val="center"/>
          </w:tcPr>
          <w:p>
            <w:pPr>
              <w:jc w:val="left"/>
              <w:rPr>
                <w:noProof/>
                <w:sz w:val="18"/>
              </w:rPr>
            </w:pPr>
            <w:r>
              <w:rPr>
                <w:noProof/>
                <w:sz w:val="18"/>
              </w:rPr>
              <w:t>Поети задължения</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Плащания</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Функция от многогодишната финансова </w:t>
            </w:r>
            <w:r>
              <w:rPr>
                <w:noProof/>
              </w:rPr>
              <w:t xml:space="preserve"> </w:t>
            </w:r>
            <w:r>
              <w:rPr>
                <w:noProof/>
              </w:rPr>
              <w:cr/>
            </w:r>
            <w:r>
              <w:rPr>
                <w:noProof/>
              </w:rPr>
              <w:br/>
            </w:r>
            <w:r>
              <w:rPr>
                <w:b/>
                <w:noProof/>
                <w:sz w:val="22"/>
              </w:rPr>
              <w:t xml:space="preserve">рамка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„Административни разходи“</w:t>
            </w:r>
          </w:p>
        </w:tc>
      </w:tr>
    </w:tbl>
    <w:p>
      <w:pPr>
        <w:jc w:val="left"/>
        <w:rPr>
          <w:noProof/>
        </w:rPr>
      </w:pPr>
      <w:r>
        <w:rPr>
          <w:noProof/>
        </w:rPr>
        <w:t xml:space="preserve">Тази част следва да бъде попълнена, като се използва таблицата за бюджетни данни от административно естество, която най-напред се въвежда в </w:t>
      </w:r>
      <w:hyperlink r:id="rId13" w:history="1">
        <w:r>
          <w:rPr>
            <w:noProof/>
            <w:color w:val="0000FF"/>
            <w:u w:val="single"/>
          </w:rPr>
          <w:t>приложението към законодателната финансова обосновка, което се качва в DECIDE за провеждането на вътрешни консултации между службите.</w:t>
        </w:r>
      </w:hyperlink>
    </w:p>
    <w:p>
      <w:pPr>
        <w:jc w:val="left"/>
        <w:rPr>
          <w:noProof/>
          <w:color w:val="0000FF"/>
        </w:rPr>
      </w:pPr>
      <w:r>
        <w:rPr>
          <w:noProof/>
        </w:rPr>
        <w:br w:type="page"/>
      </w:r>
    </w:p>
    <w:p>
      <w:pPr>
        <w:jc w:val="left"/>
        <w:rPr>
          <w:noProof/>
        </w:rPr>
      </w:pPr>
    </w:p>
    <w:p>
      <w:pPr>
        <w:jc w:val="right"/>
        <w:rPr>
          <w:noProof/>
          <w:sz w:val="20"/>
        </w:rPr>
      </w:pPr>
      <w:r>
        <w:rPr>
          <w:noProof/>
          <w:sz w:val="20"/>
        </w:rPr>
        <w:t>млн. EUR (до третия знак след десетичната запетая)</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1291"/>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 г.</w:t>
            </w:r>
          </w:p>
        </w:tc>
        <w:tc>
          <w:tcPr>
            <w:tcW w:w="868" w:type="dxa"/>
            <w:vAlign w:val="center"/>
          </w:tcPr>
          <w:p>
            <w:pPr>
              <w:jc w:val="center"/>
              <w:rPr>
                <w:b/>
                <w:noProof/>
                <w:sz w:val="20"/>
              </w:rPr>
            </w:pPr>
            <w:r>
              <w:rPr>
                <w:b/>
                <w:noProof/>
                <w:sz w:val="20"/>
              </w:rPr>
              <w:t>2022 г.</w:t>
            </w:r>
          </w:p>
        </w:tc>
        <w:tc>
          <w:tcPr>
            <w:tcW w:w="868" w:type="dxa"/>
            <w:vAlign w:val="center"/>
          </w:tcPr>
          <w:p>
            <w:pPr>
              <w:jc w:val="center"/>
              <w:rPr>
                <w:b/>
                <w:noProof/>
                <w:sz w:val="20"/>
              </w:rPr>
            </w:pPr>
            <w:r>
              <w:rPr>
                <w:b/>
                <w:noProof/>
                <w:sz w:val="20"/>
              </w:rPr>
              <w:t>2023 г.</w:t>
            </w:r>
          </w:p>
        </w:tc>
        <w:tc>
          <w:tcPr>
            <w:tcW w:w="868" w:type="dxa"/>
            <w:vAlign w:val="center"/>
          </w:tcPr>
          <w:p>
            <w:pPr>
              <w:jc w:val="center"/>
              <w:rPr>
                <w:b/>
                <w:noProof/>
                <w:sz w:val="20"/>
              </w:rPr>
            </w:pPr>
            <w:r>
              <w:rPr>
                <w:b/>
                <w:noProof/>
                <w:sz w:val="20"/>
              </w:rPr>
              <w:t>2024 г.</w:t>
            </w:r>
          </w:p>
        </w:tc>
        <w:tc>
          <w:tcPr>
            <w:tcW w:w="868" w:type="dxa"/>
            <w:vAlign w:val="center"/>
          </w:tcPr>
          <w:p>
            <w:pPr>
              <w:jc w:val="center"/>
              <w:rPr>
                <w:b/>
                <w:noProof/>
                <w:sz w:val="18"/>
              </w:rPr>
            </w:pPr>
            <w:r>
              <w:rPr>
                <w:b/>
                <w:noProof/>
                <w:sz w:val="18"/>
              </w:rPr>
              <w:t>2025 г.</w:t>
            </w:r>
          </w:p>
        </w:tc>
        <w:tc>
          <w:tcPr>
            <w:tcW w:w="868" w:type="dxa"/>
            <w:vAlign w:val="center"/>
          </w:tcPr>
          <w:p>
            <w:pPr>
              <w:jc w:val="center"/>
              <w:rPr>
                <w:b/>
                <w:noProof/>
                <w:sz w:val="18"/>
              </w:rPr>
            </w:pPr>
            <w:r>
              <w:rPr>
                <w:b/>
                <w:noProof/>
                <w:sz w:val="18"/>
              </w:rPr>
              <w:t>2026 г.</w:t>
            </w:r>
          </w:p>
        </w:tc>
        <w:tc>
          <w:tcPr>
            <w:tcW w:w="1291" w:type="dxa"/>
          </w:tcPr>
          <w:p>
            <w:pPr>
              <w:jc w:val="center"/>
              <w:rPr>
                <w:b/>
                <w:noProof/>
                <w:sz w:val="20"/>
              </w:rPr>
            </w:pPr>
            <w:r>
              <w:rPr>
                <w:b/>
                <w:noProof/>
                <w:sz w:val="20"/>
              </w:rPr>
              <w:t>2027 г.</w:t>
            </w:r>
          </w:p>
        </w:tc>
        <w:tc>
          <w:tcPr>
            <w:tcW w:w="1291" w:type="dxa"/>
            <w:vAlign w:val="center"/>
          </w:tcPr>
          <w:p>
            <w:pPr>
              <w:jc w:val="center"/>
              <w:rPr>
                <w:b/>
                <w:noProof/>
                <w:sz w:val="20"/>
              </w:rPr>
            </w:pPr>
            <w:r>
              <w:rPr>
                <w:b/>
                <w:noProof/>
                <w:sz w:val="20"/>
              </w:rPr>
              <w:t>ОБЩО</w:t>
            </w:r>
          </w:p>
        </w:tc>
      </w:tr>
      <w:tr>
        <w:trPr>
          <w:trHeight w:val="313"/>
          <w:jc w:val="center"/>
        </w:trPr>
        <w:tc>
          <w:tcPr>
            <w:tcW w:w="6245" w:type="dxa"/>
            <w:gridSpan w:val="2"/>
            <w:vAlign w:val="center"/>
          </w:tcPr>
          <w:p>
            <w:pPr>
              <w:spacing w:before="20" w:after="20"/>
              <w:rPr>
                <w:noProof/>
              </w:rPr>
            </w:pPr>
            <w:r>
              <w:rPr>
                <w:noProof/>
                <w:sz w:val="22"/>
              </w:rPr>
              <w:t xml:space="preserve">Човешки ресурси </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r>
        <w:trPr>
          <w:trHeight w:val="351"/>
          <w:jc w:val="center"/>
        </w:trPr>
        <w:tc>
          <w:tcPr>
            <w:tcW w:w="6245" w:type="dxa"/>
            <w:gridSpan w:val="2"/>
            <w:vAlign w:val="center"/>
          </w:tcPr>
          <w:p>
            <w:pPr>
              <w:spacing w:before="20" w:after="20"/>
              <w:rPr>
                <w:noProof/>
              </w:rPr>
            </w:pPr>
            <w:r>
              <w:rPr>
                <w:noProof/>
                <w:sz w:val="22"/>
              </w:rPr>
              <w:t xml:space="preserve">Други административни разходи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291" w:type="dxa"/>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ОБЩО бюджетни кредити за ФУНКЦИЯ 7 от многогодишната финансова рамка</w:t>
            </w:r>
          </w:p>
        </w:tc>
        <w:tc>
          <w:tcPr>
            <w:tcW w:w="2046" w:type="dxa"/>
            <w:vAlign w:val="center"/>
          </w:tcPr>
          <w:p>
            <w:pPr>
              <w:spacing w:before="20" w:after="20"/>
              <w:rPr>
                <w:noProof/>
                <w:sz w:val="22"/>
              </w:rPr>
            </w:pPr>
            <w:r>
              <w:rPr>
                <w:noProof/>
                <w:sz w:val="18"/>
              </w:rPr>
              <w:t>(Общо поети задължения = Общо плащания)</w:t>
            </w:r>
          </w:p>
        </w:tc>
        <w:tc>
          <w:tcPr>
            <w:tcW w:w="868"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bl>
    <w:p>
      <w:pPr>
        <w:jc w:val="right"/>
        <w:rPr>
          <w:noProof/>
          <w:sz w:val="20"/>
        </w:rPr>
      </w:pPr>
      <w:r>
        <w:rPr>
          <w:noProof/>
          <w:sz w:val="20"/>
        </w:rPr>
        <w:t>млн. EUR (до третия знак след десетичната запетая)</w:t>
      </w:r>
    </w:p>
    <w:tbl>
      <w:tblPr>
        <w:tblW w:w="1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1292"/>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 г.</w:t>
            </w:r>
          </w:p>
        </w:tc>
        <w:tc>
          <w:tcPr>
            <w:tcW w:w="868" w:type="dxa"/>
            <w:vAlign w:val="center"/>
          </w:tcPr>
          <w:p>
            <w:pPr>
              <w:jc w:val="center"/>
              <w:rPr>
                <w:noProof/>
                <w:sz w:val="20"/>
              </w:rPr>
            </w:pPr>
            <w:r>
              <w:rPr>
                <w:b/>
                <w:noProof/>
                <w:sz w:val="20"/>
              </w:rPr>
              <w:t>2022 г.</w:t>
            </w:r>
          </w:p>
        </w:tc>
        <w:tc>
          <w:tcPr>
            <w:tcW w:w="868" w:type="dxa"/>
            <w:vAlign w:val="center"/>
          </w:tcPr>
          <w:p>
            <w:pPr>
              <w:jc w:val="center"/>
              <w:rPr>
                <w:noProof/>
                <w:sz w:val="20"/>
              </w:rPr>
            </w:pPr>
            <w:r>
              <w:rPr>
                <w:b/>
                <w:noProof/>
                <w:sz w:val="20"/>
              </w:rPr>
              <w:t>2023 г.</w:t>
            </w:r>
          </w:p>
        </w:tc>
        <w:tc>
          <w:tcPr>
            <w:tcW w:w="868" w:type="dxa"/>
            <w:vAlign w:val="center"/>
          </w:tcPr>
          <w:p>
            <w:pPr>
              <w:jc w:val="center"/>
              <w:rPr>
                <w:noProof/>
                <w:sz w:val="20"/>
              </w:rPr>
            </w:pPr>
            <w:r>
              <w:rPr>
                <w:b/>
                <w:noProof/>
                <w:sz w:val="20"/>
              </w:rPr>
              <w:t>2024 г.</w:t>
            </w:r>
          </w:p>
        </w:tc>
        <w:tc>
          <w:tcPr>
            <w:tcW w:w="868" w:type="dxa"/>
            <w:vAlign w:val="center"/>
          </w:tcPr>
          <w:p>
            <w:pPr>
              <w:jc w:val="center"/>
              <w:rPr>
                <w:b/>
                <w:noProof/>
                <w:sz w:val="18"/>
              </w:rPr>
            </w:pPr>
            <w:r>
              <w:rPr>
                <w:b/>
                <w:noProof/>
                <w:sz w:val="18"/>
              </w:rPr>
              <w:t>2025 г.</w:t>
            </w:r>
          </w:p>
        </w:tc>
        <w:tc>
          <w:tcPr>
            <w:tcW w:w="868" w:type="dxa"/>
            <w:vAlign w:val="center"/>
          </w:tcPr>
          <w:p>
            <w:pPr>
              <w:jc w:val="center"/>
              <w:rPr>
                <w:b/>
                <w:noProof/>
                <w:sz w:val="18"/>
              </w:rPr>
            </w:pPr>
            <w:r>
              <w:rPr>
                <w:b/>
                <w:noProof/>
                <w:sz w:val="18"/>
              </w:rPr>
              <w:t>2026 г.</w:t>
            </w:r>
          </w:p>
        </w:tc>
        <w:tc>
          <w:tcPr>
            <w:tcW w:w="1292" w:type="dxa"/>
            <w:vAlign w:val="center"/>
          </w:tcPr>
          <w:p>
            <w:pPr>
              <w:jc w:val="center"/>
              <w:rPr>
                <w:b/>
                <w:noProof/>
                <w:sz w:val="20"/>
              </w:rPr>
            </w:pPr>
            <w:r>
              <w:rPr>
                <w:b/>
                <w:noProof/>
                <w:sz w:val="20"/>
              </w:rPr>
              <w:t>2027 г.</w:t>
            </w:r>
          </w:p>
        </w:tc>
        <w:tc>
          <w:tcPr>
            <w:tcW w:w="1292" w:type="dxa"/>
            <w:vAlign w:val="center"/>
          </w:tcPr>
          <w:p>
            <w:pPr>
              <w:jc w:val="center"/>
              <w:rPr>
                <w:b/>
                <w:noProof/>
                <w:sz w:val="20"/>
              </w:rPr>
            </w:pPr>
            <w:r>
              <w:rPr>
                <w:b/>
                <w:noProof/>
                <w:sz w:val="20"/>
              </w:rPr>
              <w:t>ОБЩО</w:t>
            </w:r>
          </w:p>
        </w:tc>
      </w:tr>
      <w:tr>
        <w:trPr>
          <w:jc w:val="center"/>
        </w:trPr>
        <w:tc>
          <w:tcPr>
            <w:tcW w:w="4173" w:type="dxa"/>
            <w:vMerge w:val="restart"/>
            <w:shd w:val="clear" w:color="auto" w:fill="C0C0C0"/>
            <w:vAlign w:val="center"/>
          </w:tcPr>
          <w:p>
            <w:pPr>
              <w:jc w:val="center"/>
              <w:rPr>
                <w:b/>
                <w:noProof/>
              </w:rPr>
            </w:pPr>
            <w:r>
              <w:rPr>
                <w:b/>
                <w:noProof/>
                <w:sz w:val="22"/>
              </w:rPr>
              <w:t xml:space="preserve">ОБЩО бюджетни </w:t>
            </w:r>
            <w:r>
              <w:rPr>
                <w:noProof/>
              </w:rPr>
              <w:t xml:space="preserve"> </w:t>
            </w:r>
            <w:r>
              <w:rPr>
                <w:noProof/>
              </w:rPr>
              <w:cr/>
            </w:r>
            <w:r>
              <w:rPr>
                <w:noProof/>
              </w:rPr>
              <w:br/>
            </w:r>
            <w:r>
              <w:rPr>
                <w:b/>
                <w:noProof/>
                <w:sz w:val="22"/>
              </w:rPr>
              <w:t xml:space="preserve">кредити за всички ФУНКЦИИ </w:t>
            </w:r>
            <w:r>
              <w:rPr>
                <w:noProof/>
              </w:rPr>
              <w:t xml:space="preserve"> </w:t>
            </w:r>
            <w:r>
              <w:rPr>
                <w:noProof/>
              </w:rPr>
              <w:cr/>
            </w:r>
            <w:r>
              <w:rPr>
                <w:noProof/>
              </w:rPr>
              <w:br/>
            </w:r>
            <w:r>
              <w:rPr>
                <w:noProof/>
                <w:sz w:val="22"/>
              </w:rP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60" w:after="60"/>
              <w:jc w:val="right"/>
              <w:rPr>
                <w:noProof/>
                <w:sz w:val="20"/>
              </w:rPr>
            </w:pPr>
            <w:r>
              <w:rPr>
                <w:noProof/>
                <w:sz w:val="20"/>
              </w:rPr>
              <w:t>4 245,132</w:t>
            </w:r>
          </w:p>
        </w:tc>
        <w:tc>
          <w:tcPr>
            <w:tcW w:w="868"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1 126, 912</w:t>
            </w:r>
          </w:p>
        </w:tc>
        <w:tc>
          <w:tcPr>
            <w:tcW w:w="868" w:type="dxa"/>
            <w:vAlign w:val="center"/>
          </w:tcPr>
          <w:p>
            <w:pPr>
              <w:spacing w:before="60" w:after="60"/>
              <w:rPr>
                <w:noProof/>
                <w:sz w:val="20"/>
              </w:rPr>
            </w:pPr>
            <w:r>
              <w:rPr>
                <w:noProof/>
                <w:sz w:val="20"/>
              </w:rPr>
              <w:t>0,300</w:t>
            </w:r>
          </w:p>
        </w:tc>
        <w:tc>
          <w:tcPr>
            <w:tcW w:w="868" w:type="dxa"/>
            <w:vAlign w:val="center"/>
          </w:tcPr>
          <w:p>
            <w:pPr>
              <w:spacing w:before="60" w:after="60"/>
              <w:jc w:val="right"/>
              <w:rPr>
                <w:noProof/>
                <w:sz w:val="20"/>
              </w:rPr>
            </w:pPr>
            <w:r>
              <w:rPr>
                <w:noProof/>
                <w:sz w:val="20"/>
              </w:rPr>
              <w:t>0,150</w:t>
            </w:r>
          </w:p>
        </w:tc>
        <w:tc>
          <w:tcPr>
            <w:tcW w:w="1292"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5 373,544</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Плащания</w:t>
            </w:r>
          </w:p>
        </w:tc>
        <w:tc>
          <w:tcPr>
            <w:tcW w:w="868" w:type="dxa"/>
            <w:vAlign w:val="center"/>
          </w:tcPr>
          <w:p>
            <w:pPr>
              <w:spacing w:before="60" w:after="60"/>
              <w:jc w:val="right"/>
              <w:rPr>
                <w:noProof/>
                <w:sz w:val="20"/>
                <w:highlight w:val="magenta"/>
              </w:rPr>
            </w:pPr>
            <w:r>
              <w:rPr>
                <w:noProof/>
                <w:sz w:val="20"/>
              </w:rPr>
              <w:t>4 245,132</w:t>
            </w:r>
          </w:p>
        </w:tc>
        <w:tc>
          <w:tcPr>
            <w:tcW w:w="868"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1 126, 912</w:t>
            </w:r>
          </w:p>
        </w:tc>
        <w:tc>
          <w:tcPr>
            <w:tcW w:w="868" w:type="dxa"/>
            <w:vAlign w:val="center"/>
          </w:tcPr>
          <w:p>
            <w:pPr>
              <w:spacing w:before="60" w:after="60"/>
              <w:rPr>
                <w:noProof/>
                <w:sz w:val="20"/>
              </w:rPr>
            </w:pPr>
            <w:r>
              <w:rPr>
                <w:noProof/>
                <w:sz w:val="20"/>
              </w:rPr>
              <w:t>0,300</w:t>
            </w:r>
          </w:p>
        </w:tc>
        <w:tc>
          <w:tcPr>
            <w:tcW w:w="868" w:type="dxa"/>
            <w:vAlign w:val="center"/>
          </w:tcPr>
          <w:p>
            <w:pPr>
              <w:spacing w:before="60" w:after="60"/>
              <w:jc w:val="right"/>
              <w:rPr>
                <w:noProof/>
                <w:sz w:val="20"/>
              </w:rPr>
            </w:pPr>
            <w:r>
              <w:rPr>
                <w:noProof/>
                <w:sz w:val="20"/>
              </w:rPr>
              <w:t>0,150</w:t>
            </w:r>
          </w:p>
        </w:tc>
        <w:tc>
          <w:tcPr>
            <w:tcW w:w="1292"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5 373,544</w:t>
            </w:r>
          </w:p>
        </w:tc>
      </w:tr>
    </w:tbl>
    <w:p>
      <w:pPr>
        <w:jc w:val="left"/>
        <w:rPr>
          <w:noProof/>
        </w:rPr>
      </w:pPr>
    </w:p>
    <w:p>
      <w:pPr>
        <w:jc w:val="left"/>
        <w:rPr>
          <w:noProof/>
        </w:rPr>
      </w:pPr>
    </w:p>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bookmarkStart w:id="50" w:name="_Toc514941993"/>
      <w:bookmarkStart w:id="51" w:name="_Toc520485220"/>
      <w:r>
        <w:rPr>
          <w:noProof/>
        </w:rPr>
        <w:t>3.2.2.</w:t>
      </w:r>
      <w:r>
        <w:rPr>
          <w:noProof/>
        </w:rPr>
        <w:tab/>
        <w:t>Обобщение на очаквано отражение върху бюджетните кредити за административни разходи</w:t>
      </w:r>
      <w:bookmarkEnd w:id="50"/>
      <w:bookmarkEnd w:id="51"/>
    </w:p>
    <w:p>
      <w:pPr>
        <w:pStyle w:val="ListDash1"/>
        <w:rPr>
          <w:noProof/>
        </w:rPr>
      </w:pPr>
      <w:r>
        <w:rPr>
          <w:b/>
          <w:noProof/>
        </w:rPr>
        <w:t>X</w:t>
      </w:r>
      <w:r>
        <w:rPr>
          <w:noProof/>
        </w:rPr>
        <w:tab/>
        <w:t xml:space="preserve">Предложението/инициативата не налага използване на допълнителни бюджетни кредити за административни разходи </w:t>
      </w:r>
    </w:p>
    <w:p>
      <w:pPr>
        <w:pStyle w:val="ListDash1"/>
        <w:rPr>
          <w:noProof/>
        </w:rPr>
      </w:pPr>
      <w:r>
        <w:rPr>
          <w:noProof/>
        </w:rPr>
        <w:sym w:font="Wingdings" w:char="F0A8"/>
      </w:r>
      <w:r>
        <w:rPr>
          <w:noProof/>
        </w:rPr>
        <w:tab/>
        <w:t>Предложението/инициативата налага използване на бюджетни кредити за административни разходи съгласно обяснението по-долу:</w:t>
      </w:r>
    </w:p>
    <w:p>
      <w:pPr>
        <w:jc w:val="right"/>
        <w:rPr>
          <w:noProof/>
          <w:sz w:val="16"/>
          <w:szCs w:val="16"/>
        </w:rPr>
      </w:pPr>
      <w:r>
        <w:rPr>
          <w:noProof/>
          <w:sz w:val="20"/>
        </w:rPr>
        <w:t>млн. EUR (до третия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Години</w:t>
            </w:r>
          </w:p>
        </w:tc>
        <w:tc>
          <w:tcPr>
            <w:tcW w:w="1080" w:type="dxa"/>
            <w:vAlign w:val="center"/>
          </w:tcPr>
          <w:p>
            <w:pPr>
              <w:spacing w:before="60" w:after="60" w:line="200" w:lineRule="exact"/>
              <w:jc w:val="center"/>
              <w:rPr>
                <w:noProof/>
                <w:sz w:val="16"/>
                <w:szCs w:val="16"/>
              </w:rPr>
            </w:pPr>
            <w:r>
              <w:rPr>
                <w:b/>
                <w:noProof/>
                <w:sz w:val="20"/>
              </w:rPr>
              <w:t>2021 г.</w:t>
            </w:r>
          </w:p>
        </w:tc>
        <w:tc>
          <w:tcPr>
            <w:tcW w:w="1080" w:type="dxa"/>
            <w:vAlign w:val="center"/>
          </w:tcPr>
          <w:p>
            <w:pPr>
              <w:spacing w:before="60" w:after="60" w:line="200" w:lineRule="exact"/>
              <w:jc w:val="center"/>
              <w:rPr>
                <w:noProof/>
                <w:sz w:val="16"/>
                <w:szCs w:val="16"/>
              </w:rPr>
            </w:pPr>
            <w:r>
              <w:rPr>
                <w:b/>
                <w:noProof/>
                <w:sz w:val="20"/>
              </w:rPr>
              <w:t>2022 г.</w:t>
            </w:r>
          </w:p>
        </w:tc>
        <w:tc>
          <w:tcPr>
            <w:tcW w:w="1080" w:type="dxa"/>
            <w:vAlign w:val="center"/>
          </w:tcPr>
          <w:p>
            <w:pPr>
              <w:spacing w:before="60" w:after="60" w:line="200" w:lineRule="exact"/>
              <w:jc w:val="center"/>
              <w:rPr>
                <w:noProof/>
                <w:sz w:val="16"/>
                <w:szCs w:val="16"/>
              </w:rPr>
            </w:pPr>
            <w:r>
              <w:rPr>
                <w:b/>
                <w:noProof/>
                <w:sz w:val="20"/>
              </w:rPr>
              <w:t>2023 г.</w:t>
            </w:r>
          </w:p>
        </w:tc>
        <w:tc>
          <w:tcPr>
            <w:tcW w:w="1080" w:type="dxa"/>
            <w:vAlign w:val="center"/>
          </w:tcPr>
          <w:p>
            <w:pPr>
              <w:spacing w:before="60" w:after="60" w:line="200" w:lineRule="exact"/>
              <w:jc w:val="center"/>
              <w:rPr>
                <w:noProof/>
                <w:sz w:val="16"/>
                <w:szCs w:val="16"/>
              </w:rPr>
            </w:pPr>
            <w:r>
              <w:rPr>
                <w:b/>
                <w:noProof/>
                <w:sz w:val="20"/>
              </w:rPr>
              <w:t>2024 г.</w:t>
            </w:r>
          </w:p>
        </w:tc>
        <w:tc>
          <w:tcPr>
            <w:tcW w:w="1080" w:type="dxa"/>
            <w:vAlign w:val="center"/>
          </w:tcPr>
          <w:p>
            <w:pPr>
              <w:spacing w:line="200" w:lineRule="exact"/>
              <w:jc w:val="center"/>
              <w:rPr>
                <w:b/>
                <w:noProof/>
                <w:sz w:val="16"/>
                <w:szCs w:val="16"/>
              </w:rPr>
            </w:pPr>
            <w:r>
              <w:rPr>
                <w:b/>
                <w:noProof/>
                <w:sz w:val="18"/>
              </w:rPr>
              <w:t>2025 г.</w:t>
            </w:r>
          </w:p>
        </w:tc>
        <w:tc>
          <w:tcPr>
            <w:tcW w:w="1080" w:type="dxa"/>
            <w:vAlign w:val="center"/>
          </w:tcPr>
          <w:p>
            <w:pPr>
              <w:spacing w:line="200" w:lineRule="exact"/>
              <w:jc w:val="center"/>
              <w:rPr>
                <w:b/>
                <w:noProof/>
                <w:sz w:val="16"/>
                <w:szCs w:val="16"/>
              </w:rPr>
            </w:pPr>
            <w:r>
              <w:rPr>
                <w:b/>
                <w:noProof/>
                <w:sz w:val="18"/>
              </w:rPr>
              <w:t>2026 г.</w:t>
            </w:r>
          </w:p>
        </w:tc>
        <w:tc>
          <w:tcPr>
            <w:tcW w:w="1080" w:type="dxa"/>
            <w:vAlign w:val="center"/>
          </w:tcPr>
          <w:p>
            <w:pPr>
              <w:spacing w:line="200" w:lineRule="exact"/>
              <w:jc w:val="center"/>
              <w:rPr>
                <w:b/>
                <w:noProof/>
                <w:sz w:val="16"/>
                <w:szCs w:val="16"/>
              </w:rPr>
            </w:pPr>
            <w:r>
              <w:rPr>
                <w:b/>
                <w:noProof/>
                <w:sz w:val="18"/>
              </w:rPr>
              <w:t>2027 г.</w:t>
            </w:r>
          </w:p>
        </w:tc>
        <w:tc>
          <w:tcPr>
            <w:tcW w:w="1080" w:type="dxa"/>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ФУНКЦИЯ 7</w:t>
            </w:r>
            <w:r>
              <w:rPr>
                <w:noProof/>
              </w:rPr>
              <w:t xml:space="preserve"> </w:t>
            </w:r>
            <w:r>
              <w:rPr>
                <w:noProof/>
              </w:rPr>
              <w:cr/>
            </w:r>
            <w:r>
              <w:rPr>
                <w:noProof/>
              </w:rPr>
              <w:br/>
            </w:r>
            <w:r>
              <w:rPr>
                <w:b/>
                <w:noProof/>
                <w:sz w:val="16"/>
              </w:rPr>
              <w:t>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административни разходи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Междинен сбор за ФУНКЦИЯ 7</w:t>
            </w:r>
            <w:r>
              <w:rPr>
                <w:noProof/>
              </w:rPr>
              <w:t xml:space="preserve"> </w:t>
            </w:r>
            <w:r>
              <w:rPr>
                <w:noProof/>
              </w:rPr>
              <w:cr/>
            </w:r>
            <w:r>
              <w:rPr>
                <w:noProof/>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bl>
    <w:p>
      <w:pPr>
        <w:spacing w:line="200" w:lineRule="exact"/>
        <w:rPr>
          <w:noProof/>
          <w:sz w:val="16"/>
          <w:szCs w:val="16"/>
        </w:rPr>
      </w:pPr>
    </w:p>
    <w:p>
      <w:pPr>
        <w:spacing w:line="200" w:lineRule="exact"/>
        <w:rPr>
          <w:noProof/>
          <w:sz w:val="16"/>
          <w:szCs w:val="16"/>
        </w:rPr>
      </w:pPr>
    </w:p>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Извън ФУНКЦИЯ 7</w:t>
            </w:r>
            <w:r>
              <w:rPr>
                <w:rStyle w:val="FootnoteReference0"/>
                <w:b/>
                <w:noProof/>
                <w:sz w:val="16"/>
              </w:rPr>
              <w:footnoteReference w:id="29"/>
            </w:r>
            <w:r>
              <w:rPr>
                <w:noProof/>
              </w:rPr>
              <w:t xml:space="preserve"> </w:t>
            </w:r>
            <w:r>
              <w:rPr>
                <w:noProof/>
              </w:rPr>
              <w:cr/>
            </w:r>
            <w:r>
              <w:rPr>
                <w:noProof/>
              </w:rPr>
              <w:br/>
            </w:r>
            <w:r>
              <w:rPr>
                <w:b/>
                <w:noProof/>
                <w:sz w:val="16"/>
              </w:rPr>
              <w:t>от многогодишната финансова рамка</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административни </w:t>
            </w:r>
            <w:r>
              <w:rPr>
                <w:noProof/>
              </w:rPr>
              <w:t xml:space="preserve"> </w:t>
            </w:r>
            <w:r>
              <w:rPr>
                <w:noProof/>
              </w:rPr>
              <w:cr/>
            </w:r>
            <w:r>
              <w:rPr>
                <w:noProof/>
              </w:rPr>
              <w:br/>
            </w:r>
            <w:r>
              <w:rPr>
                <w:noProof/>
                <w:sz w:val="16"/>
              </w:rPr>
              <w:t>разходи</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Междинен сбор </w:t>
            </w:r>
            <w:r>
              <w:rPr>
                <w:noProof/>
              </w:rPr>
              <w:t xml:space="preserve"> </w:t>
            </w:r>
            <w:r>
              <w:rPr>
                <w:noProof/>
              </w:rPr>
              <w:cr/>
            </w:r>
            <w:r>
              <w:rPr>
                <w:noProof/>
              </w:rPr>
              <w:br/>
            </w:r>
            <w:r>
              <w:rPr>
                <w:b/>
                <w:noProof/>
                <w:sz w:val="16"/>
              </w:rPr>
              <w:t>извън ФУНКЦИЯ 7</w:t>
            </w:r>
            <w:r>
              <w:rPr>
                <w:noProof/>
              </w:rPr>
              <w:t xml:space="preserve"> </w:t>
            </w:r>
            <w:r>
              <w:rPr>
                <w:noProof/>
              </w:rPr>
              <w:cr/>
            </w:r>
            <w:r>
              <w:rPr>
                <w:noProof/>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noProof/>
                <w:sz w:val="16"/>
                <w:szCs w:val="16"/>
              </w:rPr>
            </w:pPr>
            <w:r>
              <w:rPr>
                <w:noProof/>
                <w:sz w:val="16"/>
                <w:szCs w:val="16"/>
              </w:rPr>
              <w:t>2,550</w:t>
            </w:r>
          </w:p>
        </w:tc>
      </w:tr>
    </w:tbl>
    <w:p>
      <w:pPr>
        <w:rPr>
          <w:noProof/>
          <w:sz w:val="18"/>
        </w:rPr>
      </w:pPr>
      <w:r>
        <w:rPr>
          <w:noProof/>
          <w:sz w:val="18"/>
        </w:rPr>
        <w:t>Бюджетните кредити, необходими за човешки ресурси и други разходи с административен характер, ще бъдат покрити от бюджетни кредити на ГД, които вече са определени за управлението на действието и/или които са преразпределени в рамките на ГД, при необходимост заедно с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Очаквани нужди от човешки ресурси</w:t>
      </w:r>
    </w:p>
    <w:p>
      <w:pPr>
        <w:pStyle w:val="ListDash1"/>
        <w:rPr>
          <w:noProof/>
        </w:rPr>
      </w:pPr>
      <w:r>
        <w:rPr>
          <w:b/>
          <w:noProof/>
        </w:rPr>
        <w:t>X</w:t>
      </w:r>
      <w:r>
        <w:rPr>
          <w:noProof/>
        </w:rPr>
        <w:tab/>
        <w:t xml:space="preserve">Предложението/инициативата не налага използване на допълнителни човешки ресурси. </w:t>
      </w:r>
    </w:p>
    <w:p>
      <w:pPr>
        <w:pStyle w:val="ListDash1"/>
        <w:rPr>
          <w:noProof/>
        </w:rPr>
      </w:pPr>
      <w:r>
        <w:rPr>
          <w:noProof/>
        </w:rPr>
        <w:sym w:font="Wingdings" w:char="F0A8"/>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еквиваленти на пълно работно време</w:t>
      </w:r>
    </w:p>
    <w:tbl>
      <w:tblPr>
        <w:tblW w:w="5324"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71"/>
        <w:gridCol w:w="1479"/>
        <w:gridCol w:w="934"/>
        <w:gridCol w:w="1068"/>
        <w:gridCol w:w="934"/>
        <w:gridCol w:w="1068"/>
        <w:gridCol w:w="1068"/>
        <w:gridCol w:w="935"/>
        <w:gridCol w:w="932"/>
      </w:tblGrid>
      <w:tr>
        <w:trPr>
          <w:trHeight w:val="289"/>
        </w:trPr>
        <w:tc>
          <w:tcPr>
            <w:tcW w:w="1492" w:type="pct"/>
            <w:gridSpan w:val="2"/>
            <w:vAlign w:val="center"/>
          </w:tcPr>
          <w:p>
            <w:pPr>
              <w:spacing w:before="40" w:after="40"/>
              <w:jc w:val="center"/>
              <w:rPr>
                <w:i/>
                <w:noProof/>
                <w:sz w:val="16"/>
                <w:szCs w:val="16"/>
              </w:rPr>
            </w:pPr>
            <w:r>
              <w:rPr>
                <w:b/>
                <w:noProof/>
                <w:sz w:val="16"/>
                <w:szCs w:val="16"/>
              </w:rPr>
              <w:t>Години</w:t>
            </w:r>
          </w:p>
        </w:tc>
        <w:tc>
          <w:tcPr>
            <w:tcW w:w="472" w:type="pct"/>
            <w:shd w:val="clear" w:color="auto" w:fill="auto"/>
            <w:vAlign w:val="center"/>
          </w:tcPr>
          <w:p>
            <w:pPr>
              <w:spacing w:before="20" w:after="20"/>
              <w:jc w:val="center"/>
              <w:rPr>
                <w:b/>
                <w:noProof/>
                <w:sz w:val="16"/>
                <w:szCs w:val="16"/>
              </w:rPr>
            </w:pPr>
            <w:r>
              <w:rPr>
                <w:b/>
                <w:noProof/>
                <w:sz w:val="20"/>
              </w:rPr>
              <w:t>2021 г.</w:t>
            </w:r>
          </w:p>
        </w:tc>
        <w:tc>
          <w:tcPr>
            <w:tcW w:w="540" w:type="pct"/>
            <w:shd w:val="clear" w:color="auto" w:fill="auto"/>
            <w:vAlign w:val="center"/>
          </w:tcPr>
          <w:p>
            <w:pPr>
              <w:spacing w:before="20" w:after="20"/>
              <w:jc w:val="center"/>
              <w:rPr>
                <w:b/>
                <w:noProof/>
                <w:sz w:val="20"/>
              </w:rPr>
            </w:pPr>
            <w:r>
              <w:rPr>
                <w:b/>
                <w:noProof/>
                <w:sz w:val="20"/>
              </w:rPr>
              <w:t>2022 г.</w:t>
            </w:r>
          </w:p>
        </w:tc>
        <w:tc>
          <w:tcPr>
            <w:tcW w:w="472" w:type="pct"/>
            <w:shd w:val="clear" w:color="auto" w:fill="auto"/>
            <w:vAlign w:val="center"/>
          </w:tcPr>
          <w:p>
            <w:pPr>
              <w:spacing w:before="20" w:after="20"/>
              <w:jc w:val="center"/>
              <w:rPr>
                <w:b/>
                <w:noProof/>
                <w:sz w:val="20"/>
              </w:rPr>
            </w:pPr>
            <w:r>
              <w:rPr>
                <w:b/>
                <w:noProof/>
                <w:sz w:val="20"/>
              </w:rPr>
              <w:t>2023 г.</w:t>
            </w:r>
          </w:p>
        </w:tc>
        <w:tc>
          <w:tcPr>
            <w:tcW w:w="540" w:type="pct"/>
            <w:shd w:val="clear" w:color="auto" w:fill="auto"/>
            <w:vAlign w:val="center"/>
          </w:tcPr>
          <w:p>
            <w:pPr>
              <w:spacing w:before="20" w:after="20"/>
              <w:jc w:val="center"/>
              <w:rPr>
                <w:b/>
                <w:noProof/>
                <w:sz w:val="20"/>
              </w:rPr>
            </w:pPr>
            <w:r>
              <w:rPr>
                <w:b/>
                <w:noProof/>
                <w:sz w:val="20"/>
              </w:rPr>
              <w:t>2024 г.</w:t>
            </w:r>
          </w:p>
        </w:tc>
        <w:tc>
          <w:tcPr>
            <w:tcW w:w="540" w:type="pct"/>
            <w:shd w:val="clear" w:color="auto" w:fill="auto"/>
            <w:vAlign w:val="center"/>
          </w:tcPr>
          <w:p>
            <w:pPr>
              <w:jc w:val="center"/>
              <w:rPr>
                <w:b/>
                <w:noProof/>
                <w:sz w:val="20"/>
              </w:rPr>
            </w:pPr>
            <w:r>
              <w:rPr>
                <w:b/>
                <w:noProof/>
                <w:sz w:val="20"/>
              </w:rPr>
              <w:t>2025 г.</w:t>
            </w:r>
          </w:p>
        </w:tc>
        <w:tc>
          <w:tcPr>
            <w:tcW w:w="473" w:type="pct"/>
            <w:shd w:val="clear" w:color="auto" w:fill="auto"/>
            <w:vAlign w:val="center"/>
          </w:tcPr>
          <w:p>
            <w:pPr>
              <w:jc w:val="center"/>
              <w:rPr>
                <w:b/>
                <w:noProof/>
                <w:sz w:val="20"/>
              </w:rPr>
            </w:pPr>
            <w:r>
              <w:rPr>
                <w:b/>
                <w:noProof/>
                <w:sz w:val="20"/>
              </w:rPr>
              <w:t>2026 г.</w:t>
            </w:r>
          </w:p>
        </w:tc>
        <w:tc>
          <w:tcPr>
            <w:tcW w:w="472" w:type="pct"/>
          </w:tcPr>
          <w:p>
            <w:pPr>
              <w:jc w:val="center"/>
              <w:rPr>
                <w:b/>
                <w:noProof/>
                <w:sz w:val="20"/>
              </w:rPr>
            </w:pPr>
            <w:r>
              <w:rPr>
                <w:b/>
                <w:noProof/>
                <w:sz w:val="20"/>
              </w:rPr>
              <w:t>2027 г.</w:t>
            </w:r>
          </w:p>
        </w:tc>
      </w:tr>
      <w:tr>
        <w:trPr>
          <w:trHeight w:val="289"/>
        </w:trPr>
        <w:tc>
          <w:tcPr>
            <w:tcW w:w="1492" w:type="pct"/>
            <w:gridSpan w:val="2"/>
          </w:tcPr>
          <w:p>
            <w:pPr>
              <w:spacing w:beforeLines="20" w:before="48" w:afterLines="20" w:after="48"/>
              <w:ind w:left="134"/>
              <w:jc w:val="left"/>
              <w:rPr>
                <w:b/>
                <w:noProof/>
                <w:sz w:val="16"/>
                <w:szCs w:val="16"/>
              </w:rPr>
            </w:pPr>
            <w:r>
              <w:rPr>
                <w:noProof/>
                <w:sz w:val="16"/>
              </w:rPr>
              <w:t>Централа и представителства на Комисията</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473"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vAlign w:val="center"/>
          </w:tcPr>
          <w:p>
            <w:pPr>
              <w:spacing w:beforeLines="20" w:before="48" w:afterLines="20" w:after="48"/>
              <w:jc w:val="center"/>
              <w:rPr>
                <w:noProof/>
                <w:sz w:val="16"/>
                <w:szCs w:val="16"/>
              </w:rPr>
            </w:pPr>
            <w:r>
              <w:rPr>
                <w:noProof/>
                <w:sz w:val="16"/>
                <w:szCs w:val="16"/>
              </w:rPr>
              <w:t>1 AD</w:t>
            </w:r>
          </w:p>
        </w:tc>
      </w:tr>
      <w:tr>
        <w:trPr>
          <w:trHeight w:val="289"/>
        </w:trPr>
        <w:tc>
          <w:tcPr>
            <w:tcW w:w="1492" w:type="pct"/>
            <w:gridSpan w:val="2"/>
          </w:tcPr>
          <w:p>
            <w:pPr>
              <w:spacing w:beforeLines="20" w:before="48" w:afterLines="20" w:after="48"/>
              <w:ind w:left="134"/>
              <w:jc w:val="left"/>
              <w:rPr>
                <w:noProof/>
                <w:sz w:val="16"/>
                <w:szCs w:val="16"/>
              </w:rPr>
            </w:pPr>
            <w:r>
              <w:rPr>
                <w:noProof/>
                <w:sz w:val="16"/>
              </w:rPr>
              <w:t>Делегации</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4"/>
              <w:jc w:val="left"/>
              <w:rPr>
                <w:noProof/>
                <w:sz w:val="16"/>
                <w:szCs w:val="16"/>
              </w:rPr>
            </w:pPr>
            <w:r>
              <w:rPr>
                <w:noProof/>
                <w:sz w:val="16"/>
              </w:rPr>
              <w:t>Научни изследвания</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485"/>
        </w:trPr>
        <w:tc>
          <w:tcPr>
            <w:tcW w:w="744" w:type="pct"/>
            <w:vMerge w:val="restart"/>
            <w:vAlign w:val="center"/>
          </w:tcPr>
          <w:p>
            <w:pPr>
              <w:spacing w:beforeLines="20" w:before="48" w:afterLines="20" w:after="48"/>
              <w:ind w:left="136"/>
              <w:jc w:val="left"/>
              <w:rPr>
                <w:b/>
                <w:noProof/>
                <w:sz w:val="16"/>
                <w:szCs w:val="16"/>
              </w:rPr>
            </w:pPr>
            <w:r>
              <w:rPr>
                <w:noProof/>
                <w:sz w:val="16"/>
                <w:szCs w:val="16"/>
              </w:rPr>
              <w:t>Финансирани от ФУНКЦИЯ 7 от многогодишната финансова рамка</w:t>
            </w:r>
            <w:r>
              <w:rPr>
                <w:b/>
                <w:noProof/>
                <w:sz w:val="16"/>
              </w:rPr>
              <w:t xml:space="preserve"> </w:t>
            </w:r>
          </w:p>
        </w:tc>
        <w:tc>
          <w:tcPr>
            <w:tcW w:w="747" w:type="pct"/>
            <w:vAlign w:val="center"/>
          </w:tcPr>
          <w:p>
            <w:pPr>
              <w:spacing w:beforeLines="20" w:before="48" w:afterLines="20" w:after="48"/>
              <w:ind w:left="136"/>
              <w:jc w:val="left"/>
              <w:rPr>
                <w:b/>
                <w:noProof/>
                <w:sz w:val="16"/>
                <w:szCs w:val="16"/>
              </w:rPr>
            </w:pPr>
            <w:r>
              <w:rPr>
                <w:noProof/>
                <w:sz w:val="16"/>
              </w:rPr>
              <w:t>- в централата</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vAlign w:val="center"/>
          </w:tcPr>
          <w:p>
            <w:pPr>
              <w:spacing w:beforeLines="20" w:before="48" w:afterLines="20" w:after="48"/>
              <w:ind w:left="136"/>
              <w:jc w:val="left"/>
              <w:rPr>
                <w:noProof/>
                <w:sz w:val="16"/>
                <w:szCs w:val="16"/>
              </w:rPr>
            </w:pPr>
          </w:p>
        </w:tc>
        <w:tc>
          <w:tcPr>
            <w:tcW w:w="747" w:type="pct"/>
            <w:vAlign w:val="center"/>
          </w:tcPr>
          <w:p>
            <w:pPr>
              <w:spacing w:beforeLines="20" w:before="48" w:afterLines="20" w:after="48"/>
              <w:ind w:left="136"/>
              <w:jc w:val="left"/>
              <w:rPr>
                <w:noProof/>
                <w:sz w:val="16"/>
                <w:szCs w:val="16"/>
              </w:rPr>
            </w:pPr>
            <w:r>
              <w:rPr>
                <w:noProof/>
                <w:sz w:val="16"/>
              </w:rPr>
              <w:t xml:space="preserve">- в делегациите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370"/>
        </w:trPr>
        <w:tc>
          <w:tcPr>
            <w:tcW w:w="744" w:type="pct"/>
            <w:vMerge w:val="restart"/>
            <w:vAlign w:val="center"/>
          </w:tcPr>
          <w:p>
            <w:pPr>
              <w:spacing w:beforeLines="20" w:before="48" w:afterLines="20" w:after="48"/>
              <w:ind w:left="136"/>
              <w:jc w:val="left"/>
              <w:rPr>
                <w:b/>
                <w:noProof/>
                <w:sz w:val="16"/>
                <w:szCs w:val="16"/>
              </w:rPr>
            </w:pPr>
            <w:r>
              <w:rPr>
                <w:noProof/>
                <w:sz w:val="16"/>
                <w:szCs w:val="16"/>
              </w:rPr>
              <w:t>Финансирани от финансовия пакет на програмата</w:t>
            </w:r>
            <w:r>
              <w:rPr>
                <w:rStyle w:val="FootnoteReference0"/>
                <w:noProof/>
                <w:sz w:val="16"/>
                <w:szCs w:val="16"/>
              </w:rPr>
              <w:footnoteReference w:id="30"/>
            </w:r>
          </w:p>
        </w:tc>
        <w:tc>
          <w:tcPr>
            <w:tcW w:w="747" w:type="pct"/>
            <w:shd w:val="clear" w:color="auto" w:fill="auto"/>
            <w:vAlign w:val="center"/>
          </w:tcPr>
          <w:p>
            <w:pPr>
              <w:spacing w:beforeLines="20" w:before="48" w:afterLines="20" w:after="48"/>
              <w:ind w:left="136"/>
              <w:jc w:val="left"/>
              <w:rPr>
                <w:b/>
                <w:noProof/>
                <w:sz w:val="16"/>
                <w:szCs w:val="16"/>
              </w:rPr>
            </w:pPr>
            <w:r>
              <w:rPr>
                <w:noProof/>
                <w:sz w:val="16"/>
              </w:rPr>
              <w:t>- в централата</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tcPr>
          <w:p>
            <w:pPr>
              <w:spacing w:beforeLines="20" w:before="48" w:afterLines="20" w:after="48"/>
              <w:ind w:left="136"/>
              <w:jc w:val="left"/>
              <w:rPr>
                <w:b/>
                <w:noProof/>
                <w:sz w:val="16"/>
                <w:szCs w:val="16"/>
              </w:rPr>
            </w:pPr>
          </w:p>
        </w:tc>
        <w:tc>
          <w:tcPr>
            <w:tcW w:w="747" w:type="pct"/>
            <w:shd w:val="clear" w:color="auto" w:fill="auto"/>
            <w:vAlign w:val="center"/>
          </w:tcPr>
          <w:p>
            <w:pPr>
              <w:spacing w:beforeLines="20" w:before="48" w:afterLines="20" w:after="48"/>
              <w:ind w:left="136"/>
              <w:jc w:val="left"/>
              <w:rPr>
                <w:b/>
                <w:noProof/>
                <w:sz w:val="16"/>
                <w:szCs w:val="16"/>
              </w:rPr>
            </w:pPr>
            <w:r>
              <w:rPr>
                <w:noProof/>
                <w:sz w:val="16"/>
              </w:rPr>
              <w:t xml:space="preserve">- в делегациите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6"/>
              <w:jc w:val="left"/>
              <w:rPr>
                <w:noProof/>
                <w:sz w:val="16"/>
                <w:szCs w:val="16"/>
              </w:rPr>
            </w:pPr>
            <w:r>
              <w:rPr>
                <w:noProof/>
                <w:sz w:val="16"/>
                <w:szCs w:val="16"/>
              </w:rPr>
              <w:t>Научни изследвания</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Borders>
              <w:bottom w:val="double" w:sz="4" w:space="0" w:color="auto"/>
            </w:tcBorders>
          </w:tcPr>
          <w:p>
            <w:pPr>
              <w:spacing w:beforeLines="20" w:before="48" w:afterLines="20" w:after="48"/>
              <w:ind w:left="134"/>
              <w:jc w:val="left"/>
              <w:rPr>
                <w:noProof/>
                <w:sz w:val="16"/>
                <w:szCs w:val="16"/>
              </w:rPr>
            </w:pPr>
            <w:r>
              <w:rPr>
                <w:noProof/>
                <w:sz w:val="16"/>
              </w:rPr>
              <w:t>Други бюджетни редове (да се посочат)</w:t>
            </w: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tcPr>
          <w:p>
            <w:pPr>
              <w:spacing w:beforeLines="20" w:before="48" w:afterLines="20" w:after="48"/>
              <w:jc w:val="center"/>
              <w:rPr>
                <w:noProof/>
                <w:sz w:val="16"/>
                <w:szCs w:val="16"/>
              </w:rPr>
            </w:pPr>
          </w:p>
        </w:tc>
      </w:tr>
      <w:tr>
        <w:trPr>
          <w:trHeight w:val="289"/>
        </w:trPr>
        <w:tc>
          <w:tcPr>
            <w:tcW w:w="1492" w:type="pct"/>
            <w:gridSpan w:val="2"/>
            <w:tcBorders>
              <w:top w:val="double" w:sz="4" w:space="0" w:color="auto"/>
            </w:tcBorders>
          </w:tcPr>
          <w:p>
            <w:pPr>
              <w:spacing w:beforeLines="20" w:before="48" w:afterLines="20" w:after="48"/>
              <w:ind w:left="136"/>
              <w:jc w:val="left"/>
              <w:rPr>
                <w:noProof/>
                <w:sz w:val="16"/>
                <w:szCs w:val="16"/>
              </w:rPr>
            </w:pPr>
            <w:r>
              <w:rPr>
                <w:b/>
                <w:noProof/>
                <w:sz w:val="16"/>
              </w:rPr>
              <w:t>ОБЩО</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47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vAlign w:val="center"/>
          </w:tcPr>
          <w:p>
            <w:pPr>
              <w:spacing w:beforeLines="20" w:before="48" w:afterLines="20" w:after="48"/>
              <w:jc w:val="center"/>
              <w:rPr>
                <w:noProof/>
                <w:sz w:val="16"/>
                <w:szCs w:val="16"/>
              </w:rPr>
            </w:pPr>
            <w:r>
              <w:rPr>
                <w:noProof/>
                <w:sz w:val="16"/>
                <w:szCs w:val="16"/>
              </w:rPr>
              <w:t>1 AD</w:t>
            </w:r>
          </w:p>
        </w:tc>
      </w:tr>
    </w:tbl>
    <w:p>
      <w:pPr>
        <w:spacing w:after="60"/>
        <w:jc w:val="right"/>
        <w:rPr>
          <w:i/>
          <w:noProof/>
          <w:sz w:val="20"/>
        </w:rPr>
      </w:pPr>
    </w:p>
    <w:p>
      <w:pPr>
        <w:spacing w:after="60"/>
        <w:jc w:val="right"/>
        <w:rPr>
          <w:i/>
          <w:noProof/>
          <w:sz w:val="20"/>
        </w:rPr>
      </w:pPr>
    </w:p>
    <w:p>
      <w:pPr>
        <w:ind w:left="850"/>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Длъжностни лица и срочно наети служители</w:t>
            </w:r>
          </w:p>
        </w:tc>
        <w:tc>
          <w:tcPr>
            <w:tcW w:w="7392" w:type="dxa"/>
          </w:tcPr>
          <w:p>
            <w:pPr>
              <w:rPr>
                <w:noProof/>
                <w:sz w:val="20"/>
              </w:rPr>
            </w:pPr>
          </w:p>
        </w:tc>
      </w:tr>
      <w:tr>
        <w:tc>
          <w:tcPr>
            <w:tcW w:w="3240" w:type="dxa"/>
          </w:tcPr>
          <w:p>
            <w:pPr>
              <w:spacing w:before="60" w:after="60"/>
              <w:rPr>
                <w:noProof/>
                <w:sz w:val="20"/>
              </w:rPr>
            </w:pPr>
            <w:r>
              <w:rPr>
                <w:noProof/>
                <w:sz w:val="20"/>
              </w:rPr>
              <w:t>Външен персонал</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bookmarkStart w:id="52" w:name="_Toc514941994"/>
      <w:bookmarkStart w:id="53" w:name="_Toc520485221"/>
      <w:r>
        <w:rPr>
          <w:noProof/>
        </w:rPr>
        <w:t>3.2.3.</w:t>
      </w:r>
      <w:r>
        <w:rPr>
          <w:noProof/>
        </w:rPr>
        <w:tab/>
        <w:t>Финансов принос от трети страни</w:t>
      </w:r>
      <w:bookmarkEnd w:id="52"/>
      <w:bookmarkEnd w:id="53"/>
      <w:r>
        <w:rPr>
          <w:noProof/>
        </w:rPr>
        <w:t xml:space="preserve"> </w:t>
      </w:r>
    </w:p>
    <w:p>
      <w:pPr>
        <w:pStyle w:val="Text1"/>
        <w:rPr>
          <w:noProof/>
        </w:rPr>
      </w:pPr>
      <w:r>
        <w:rPr>
          <w:noProof/>
        </w:rPr>
        <w:t>Предложението/инициативата:</w:t>
      </w:r>
    </w:p>
    <w:p>
      <w:pPr>
        <w:pStyle w:val="ListDash1"/>
        <w:rPr>
          <w:noProof/>
        </w:rPr>
      </w:pPr>
      <w:r>
        <w:rPr>
          <w:b/>
          <w:noProof/>
        </w:rPr>
        <w:t>X</w:t>
      </w:r>
      <w:r>
        <w:rPr>
          <w:noProof/>
        </w:rPr>
        <w:tab/>
        <w:t>не предвижда съфинансиране от трети страни</w:t>
      </w:r>
    </w:p>
    <w:p>
      <w:pPr>
        <w:pStyle w:val="ListDash1"/>
        <w:rPr>
          <w:noProof/>
        </w:rPr>
      </w:pPr>
      <w:r>
        <w:rPr>
          <w:noProof/>
        </w:rPr>
        <w:sym w:font="Wingdings" w:char="F0A8"/>
      </w:r>
      <w:r>
        <w:rPr>
          <w:noProof/>
        </w:rPr>
        <w:tab/>
        <w:t>предвижда следното съфинансиране от трети страни, като оценките са дадени по-долу:</w:t>
      </w:r>
    </w:p>
    <w:p>
      <w:pPr>
        <w:jc w:val="right"/>
        <w:rPr>
          <w:noProof/>
          <w:sz w:val="20"/>
        </w:rPr>
      </w:pPr>
      <w:r>
        <w:rPr>
          <w:noProof/>
          <w:sz w:val="20"/>
        </w:rPr>
        <w:t>Бюджетни кредити в млн. евро (до третия знак след десетичната запетая)</w:t>
      </w:r>
    </w:p>
    <w:tbl>
      <w:tblPr>
        <w:tblW w:w="92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Години</w:t>
            </w:r>
          </w:p>
        </w:tc>
        <w:tc>
          <w:tcPr>
            <w:tcW w:w="964" w:type="dxa"/>
            <w:vAlign w:val="center"/>
          </w:tcPr>
          <w:p>
            <w:pPr>
              <w:jc w:val="center"/>
              <w:rPr>
                <w:noProof/>
                <w:sz w:val="20"/>
              </w:rPr>
            </w:pPr>
            <w:r>
              <w:rPr>
                <w:b/>
                <w:noProof/>
                <w:sz w:val="20"/>
              </w:rPr>
              <w:t>2021 г.</w:t>
            </w:r>
          </w:p>
        </w:tc>
        <w:tc>
          <w:tcPr>
            <w:tcW w:w="964" w:type="dxa"/>
            <w:vAlign w:val="center"/>
          </w:tcPr>
          <w:p>
            <w:pPr>
              <w:jc w:val="center"/>
              <w:rPr>
                <w:b/>
                <w:noProof/>
                <w:sz w:val="20"/>
              </w:rPr>
            </w:pPr>
            <w:r>
              <w:rPr>
                <w:b/>
                <w:noProof/>
                <w:sz w:val="20"/>
              </w:rPr>
              <w:t>2022 г.</w:t>
            </w:r>
          </w:p>
        </w:tc>
        <w:tc>
          <w:tcPr>
            <w:tcW w:w="964" w:type="dxa"/>
            <w:vAlign w:val="center"/>
          </w:tcPr>
          <w:p>
            <w:pPr>
              <w:jc w:val="center"/>
              <w:rPr>
                <w:b/>
                <w:noProof/>
                <w:sz w:val="20"/>
              </w:rPr>
            </w:pPr>
            <w:r>
              <w:rPr>
                <w:b/>
                <w:noProof/>
                <w:sz w:val="20"/>
              </w:rPr>
              <w:t>2023 г.</w:t>
            </w:r>
          </w:p>
        </w:tc>
        <w:tc>
          <w:tcPr>
            <w:tcW w:w="964" w:type="dxa"/>
            <w:vAlign w:val="center"/>
          </w:tcPr>
          <w:p>
            <w:pPr>
              <w:jc w:val="center"/>
              <w:rPr>
                <w:b/>
                <w:noProof/>
                <w:sz w:val="20"/>
              </w:rPr>
            </w:pPr>
            <w:r>
              <w:rPr>
                <w:b/>
                <w:noProof/>
                <w:sz w:val="20"/>
              </w:rPr>
              <w:t>2024 г.</w:t>
            </w:r>
          </w:p>
        </w:tc>
        <w:tc>
          <w:tcPr>
            <w:tcW w:w="964" w:type="dxa"/>
            <w:vAlign w:val="center"/>
          </w:tcPr>
          <w:p>
            <w:pPr>
              <w:jc w:val="center"/>
              <w:rPr>
                <w:b/>
                <w:noProof/>
                <w:sz w:val="20"/>
              </w:rPr>
            </w:pPr>
            <w:r>
              <w:rPr>
                <w:b/>
                <w:noProof/>
                <w:sz w:val="20"/>
              </w:rPr>
              <w:t>2025 г.</w:t>
            </w:r>
          </w:p>
        </w:tc>
        <w:tc>
          <w:tcPr>
            <w:tcW w:w="964" w:type="dxa"/>
            <w:vAlign w:val="center"/>
          </w:tcPr>
          <w:p>
            <w:pPr>
              <w:jc w:val="center"/>
              <w:rPr>
                <w:b/>
                <w:noProof/>
                <w:sz w:val="20"/>
              </w:rPr>
            </w:pPr>
            <w:r>
              <w:rPr>
                <w:b/>
                <w:noProof/>
                <w:sz w:val="20"/>
              </w:rPr>
              <w:t>2026 г.</w:t>
            </w:r>
          </w:p>
        </w:tc>
        <w:tc>
          <w:tcPr>
            <w:tcW w:w="1158" w:type="dxa"/>
            <w:vAlign w:val="center"/>
          </w:tcPr>
          <w:p>
            <w:pPr>
              <w:spacing w:before="60" w:after="60"/>
              <w:jc w:val="center"/>
              <w:rPr>
                <w:b/>
                <w:noProof/>
                <w:sz w:val="20"/>
              </w:rPr>
            </w:pPr>
            <w:r>
              <w:rPr>
                <w:b/>
                <w:noProof/>
                <w:sz w:val="20"/>
              </w:rPr>
              <w:t>ОБЩО</w:t>
            </w:r>
          </w:p>
        </w:tc>
      </w:tr>
      <w:tr>
        <w:trPr>
          <w:cantSplit/>
          <w:jc w:val="center"/>
        </w:trPr>
        <w:tc>
          <w:tcPr>
            <w:tcW w:w="2340" w:type="dxa"/>
          </w:tcPr>
          <w:p>
            <w:pPr>
              <w:rPr>
                <w:noProof/>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bookmarkStart w:id="54" w:name="_Toc514941995"/>
      <w:bookmarkStart w:id="55" w:name="_Toc520485222"/>
      <w:r>
        <w:rPr>
          <w:noProof/>
        </w:rPr>
        <w:t>3.3.</w:t>
      </w:r>
      <w:r>
        <w:rPr>
          <w:noProof/>
        </w:rPr>
        <w:tab/>
        <w:t>Очаквано отражение върху приходите</w:t>
      </w:r>
      <w:bookmarkEnd w:id="54"/>
      <w:bookmarkEnd w:id="55"/>
      <w:r>
        <w:rPr>
          <w:noProof/>
        </w:rPr>
        <w:t xml:space="preserve"> </w:t>
      </w:r>
    </w:p>
    <w:p>
      <w:pPr>
        <w:pStyle w:val="ListDash1"/>
        <w:rPr>
          <w:noProof/>
        </w:rPr>
      </w:pPr>
      <w:r>
        <w:rPr>
          <w:b/>
          <w:noProof/>
        </w:rPr>
        <w:t>X</w:t>
      </w:r>
      <w:r>
        <w:rPr>
          <w:noProof/>
        </w:rPr>
        <w:tab/>
        <w:t>Предложението/инициативата няма финансово отражение върху приходите.</w:t>
      </w:r>
    </w:p>
    <w:p>
      <w:pPr>
        <w:pStyle w:val="ListDash1"/>
        <w:rPr>
          <w:noProof/>
        </w:rPr>
      </w:pPr>
      <w:r>
        <w:rPr>
          <w:noProof/>
        </w:rPr>
        <w:sym w:font="Wingdings" w:char="F0A8"/>
      </w:r>
      <w:r>
        <w:rPr>
          <w:noProof/>
        </w:rPr>
        <w:tab/>
        <w:t>Предложението/инициативата има следното финансово отражение:</w:t>
      </w:r>
    </w:p>
    <w:p>
      <w:pPr>
        <w:pStyle w:val="ListDash2"/>
        <w:rPr>
          <w:noProof/>
        </w:rPr>
      </w:pPr>
      <w:r>
        <w:rPr>
          <w:noProof/>
        </w:rPr>
        <w:sym w:font="Wingdings" w:char="F0A8"/>
      </w:r>
      <w:r>
        <w:rPr>
          <w:noProof/>
        </w:rPr>
        <w:tab/>
        <w:t xml:space="preserve">върху собствените ресурси </w:t>
      </w:r>
    </w:p>
    <w:p>
      <w:pPr>
        <w:pStyle w:val="ListDash2"/>
        <w:rPr>
          <w:noProof/>
        </w:rPr>
      </w:pPr>
      <w:r>
        <w:rPr>
          <w:noProof/>
        </w:rPr>
        <w:sym w:font="Wingdings" w:char="F0A8"/>
      </w:r>
      <w:r>
        <w:rPr>
          <w:noProof/>
        </w:rPr>
        <w:tab/>
        <w:t>върху другите приходи</w:t>
      </w:r>
    </w:p>
    <w:p>
      <w:pPr>
        <w:rPr>
          <w:noProof/>
        </w:rPr>
      </w:pPr>
      <w:r>
        <w:rPr>
          <w:noProof/>
        </w:rPr>
        <w:t xml:space="preserve">Моля, посочете дали приходите са записани по разходни бюджетни редове </w:t>
      </w:r>
      <w:r>
        <w:rPr>
          <w:noProof/>
        </w:rPr>
        <w:sym w:font="Wingdings" w:char="F0A8"/>
      </w:r>
      <w:r>
        <w:rPr>
          <w:noProof/>
        </w:rPr>
        <w:tab/>
      </w:r>
    </w:p>
    <w:p>
      <w:pPr>
        <w:jc w:val="right"/>
        <w:rPr>
          <w:i/>
          <w:noProof/>
          <w:sz w:val="16"/>
        </w:rPr>
      </w:pPr>
      <w:r>
        <w:rPr>
          <w:noProof/>
          <w:sz w:val="20"/>
        </w:rPr>
        <w:t>млн. EUR (до третия знак след десетичната запетая)</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128"/>
      </w:tblGrid>
      <w:tr>
        <w:trPr>
          <w:trHeight w:val="388"/>
          <w:jc w:val="center"/>
        </w:trPr>
        <w:tc>
          <w:tcPr>
            <w:tcW w:w="2144" w:type="dxa"/>
            <w:vMerge w:val="restart"/>
            <w:vAlign w:val="center"/>
          </w:tcPr>
          <w:p>
            <w:pPr>
              <w:spacing w:before="40" w:after="40"/>
              <w:rPr>
                <w:noProof/>
                <w:sz w:val="18"/>
              </w:rPr>
            </w:pPr>
            <w:r>
              <w:rPr>
                <w:noProof/>
                <w:sz w:val="18"/>
              </w:rPr>
              <w:t>Приходен бюджетен ред:</w:t>
            </w:r>
          </w:p>
        </w:tc>
        <w:tc>
          <w:tcPr>
            <w:tcW w:w="6168" w:type="dxa"/>
            <w:gridSpan w:val="6"/>
            <w:vAlign w:val="center"/>
          </w:tcPr>
          <w:p>
            <w:pPr>
              <w:jc w:val="center"/>
              <w:rPr>
                <w:noProof/>
                <w:sz w:val="18"/>
              </w:rPr>
            </w:pPr>
            <w:r>
              <w:rPr>
                <w:noProof/>
                <w:sz w:val="18"/>
              </w:rPr>
              <w:t>Отражение на предложението/инициативата</w:t>
            </w:r>
            <w:r>
              <w:rPr>
                <w:rStyle w:val="FootnoteReference0"/>
                <w:noProof/>
                <w:sz w:val="18"/>
              </w:rPr>
              <w:footnoteReference w:id="31"/>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 г.</w:t>
            </w:r>
          </w:p>
        </w:tc>
        <w:tc>
          <w:tcPr>
            <w:tcW w:w="900" w:type="dxa"/>
            <w:vAlign w:val="center"/>
          </w:tcPr>
          <w:p>
            <w:pPr>
              <w:jc w:val="center"/>
              <w:rPr>
                <w:b/>
                <w:noProof/>
                <w:sz w:val="20"/>
              </w:rPr>
            </w:pPr>
            <w:r>
              <w:rPr>
                <w:b/>
                <w:noProof/>
                <w:sz w:val="20"/>
              </w:rPr>
              <w:t>2022 г.</w:t>
            </w:r>
          </w:p>
        </w:tc>
        <w:tc>
          <w:tcPr>
            <w:tcW w:w="900" w:type="dxa"/>
            <w:vAlign w:val="center"/>
          </w:tcPr>
          <w:p>
            <w:pPr>
              <w:jc w:val="center"/>
              <w:rPr>
                <w:b/>
                <w:noProof/>
                <w:sz w:val="20"/>
              </w:rPr>
            </w:pPr>
            <w:r>
              <w:rPr>
                <w:b/>
                <w:noProof/>
                <w:sz w:val="20"/>
              </w:rPr>
              <w:t>2023 г.</w:t>
            </w:r>
          </w:p>
        </w:tc>
        <w:tc>
          <w:tcPr>
            <w:tcW w:w="1080" w:type="dxa"/>
            <w:vAlign w:val="center"/>
          </w:tcPr>
          <w:p>
            <w:pPr>
              <w:jc w:val="center"/>
              <w:rPr>
                <w:b/>
                <w:noProof/>
                <w:sz w:val="20"/>
              </w:rPr>
            </w:pPr>
            <w:r>
              <w:rPr>
                <w:b/>
                <w:noProof/>
                <w:sz w:val="20"/>
              </w:rPr>
              <w:t>2024 г.</w:t>
            </w:r>
          </w:p>
        </w:tc>
        <w:tc>
          <w:tcPr>
            <w:tcW w:w="1080" w:type="dxa"/>
            <w:vAlign w:val="center"/>
          </w:tcPr>
          <w:p>
            <w:pPr>
              <w:jc w:val="center"/>
              <w:rPr>
                <w:b/>
                <w:noProof/>
                <w:sz w:val="20"/>
              </w:rPr>
            </w:pPr>
            <w:r>
              <w:rPr>
                <w:b/>
                <w:noProof/>
                <w:sz w:val="20"/>
              </w:rPr>
              <w:t>2025 г.</w:t>
            </w:r>
          </w:p>
        </w:tc>
        <w:tc>
          <w:tcPr>
            <w:tcW w:w="1128" w:type="dxa"/>
            <w:vAlign w:val="center"/>
          </w:tcPr>
          <w:p>
            <w:pPr>
              <w:jc w:val="center"/>
              <w:rPr>
                <w:b/>
                <w:noProof/>
                <w:sz w:val="20"/>
              </w:rPr>
            </w:pPr>
            <w:r>
              <w:rPr>
                <w:b/>
                <w:noProof/>
                <w:sz w:val="20"/>
              </w:rPr>
              <w:t>2026 г.</w:t>
            </w:r>
          </w:p>
        </w:tc>
      </w:tr>
      <w:tr>
        <w:trPr>
          <w:trHeight w:val="388"/>
          <w:jc w:val="center"/>
        </w:trPr>
        <w:tc>
          <w:tcPr>
            <w:tcW w:w="2144" w:type="dxa"/>
            <w:vAlign w:val="center"/>
          </w:tcPr>
          <w:p>
            <w:pPr>
              <w:spacing w:before="40" w:after="40"/>
              <w:rPr>
                <w:noProof/>
                <w:sz w:val="18"/>
              </w:rPr>
            </w:pPr>
            <w:r>
              <w:rPr>
                <w:noProof/>
                <w:sz w:val="18"/>
              </w:rPr>
              <w:t>Член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128" w:type="dxa"/>
          </w:tcPr>
          <w:p>
            <w:pPr>
              <w:spacing w:beforeLines="40" w:before="96" w:afterLines="40" w:after="96"/>
              <w:jc w:val="center"/>
              <w:rPr>
                <w:noProof/>
                <w:sz w:val="18"/>
              </w:rPr>
            </w:pPr>
          </w:p>
        </w:tc>
      </w:tr>
    </w:tbl>
    <w:p>
      <w:pPr>
        <w:pStyle w:val="Text1"/>
        <w:rPr>
          <w:noProof/>
          <w:sz w:val="22"/>
        </w:rPr>
      </w:pPr>
      <w:r>
        <w:rPr>
          <w:noProof/>
          <w:sz w:val="22"/>
        </w:rPr>
        <w:t>За целевите приходи да се посочат съответните разходни бюджетни редове.</w:t>
      </w:r>
    </w:p>
    <w:p>
      <w:pPr>
        <w:pStyle w:val="Text1"/>
        <w:rPr>
          <w:noProof/>
        </w:rPr>
      </w:pPr>
      <w:r>
        <w:rPr>
          <w:noProof/>
          <w:sz w:val="22"/>
        </w:rPr>
        <w:t>Други забележки (например метод/формула за изчисляване на отражението върху приходите или друга информация).</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Споразумение за оттеглянето на Обединено кралство Великобритания и Северна Ирландия от Европейския съюз и Европейската общност за атомна енергия („Споразумението за оттегляне“) (ОВ L 29, 31.1.2020 г., стр. 7).</w:t>
      </w:r>
    </w:p>
  </w:footnote>
  <w:footnote w:id="2">
    <w:p>
      <w:pPr>
        <w:pStyle w:val="FootnoteText"/>
      </w:pPr>
      <w:r>
        <w:rPr>
          <w:rStyle w:val="FootnoteReference0"/>
        </w:rPr>
        <w:footnoteRef/>
      </w:r>
      <w:r>
        <w:tab/>
      </w:r>
      <w:r>
        <w:rPr>
          <w:shd w:val="clear" w:color="auto" w:fill="FFFFFF"/>
        </w:rPr>
        <w:t>Преработен текст на Политическата декларация, очертаваща рамката на бъдещите отношения между Европейския съюз и Обединеното кралство, договорена на равнище преговарящи на 17 октомври 2019 г. (ОВ C 34, 31.1.2020 г., стр. 1).</w:t>
      </w:r>
    </w:p>
  </w:footnote>
  <w:footnote w:id="3">
    <w:p>
      <w:pPr>
        <w:pStyle w:val="FootnoteText"/>
      </w:pPr>
      <w:r>
        <w:rPr>
          <w:rStyle w:val="FootnoteReference0"/>
        </w:rPr>
        <w:footnoteRef/>
      </w:r>
      <w:r>
        <w:tab/>
        <w:t>Заключения на Европейския съвет, 17, 18, 19, 20 и 21 юли 2020 г., EUCO 10/20, CO EUR 8 CONCL 4.</w:t>
      </w:r>
    </w:p>
  </w:footnote>
  <w:footnote w:id="4">
    <w:p>
      <w:pPr>
        <w:pStyle w:val="FootnoteText"/>
      </w:pPr>
      <w:r>
        <w:rPr>
          <w:rStyle w:val="FootnoteReference0"/>
        </w:rPr>
        <w:footnoteRef/>
      </w:r>
      <w:r>
        <w:tab/>
        <w:t>Регламент (ЕО) № 2012/2002 от 11 ноември 2002 г. за създаване на фонд „Солидарност“ на Европейския съюз (ОВ L 311, 14.11.2002 г., стр. 3), изменен с Регламент (ЕС) № 661/2014 на Европейския парламент и на Съвета от 15 май 2014 г. (ОВ L 189, 27.6.2014 г., стр. 143) и с Регламент (ЕС) № 461/2020 на Европейския парламент и на Съвета от 30 март 2020 г. (ОВ L 99, 31.3.2020 г., стр. 9).</w:t>
      </w:r>
    </w:p>
  </w:footnote>
  <w:footnote w:id="5">
    <w:p>
      <w:pPr>
        <w:pStyle w:val="FootnoteText"/>
      </w:pPr>
      <w:r>
        <w:rPr>
          <w:rStyle w:val="FootnoteReference0"/>
        </w:rPr>
        <w:footnoteRef/>
      </w:r>
      <w:r>
        <w:tab/>
        <w:t>Регламент (ЕС, Евратом) 2018/1046 на Европейския парламент и на Съвета от 18 юли 2018 г. за финансовите правила, приложими за общия бюджет на Съюза (ОВ L 193, 30.7.2018 г., стр. 1).</w:t>
      </w:r>
    </w:p>
  </w:footnote>
  <w:footnote w:id="6">
    <w:p>
      <w:pPr>
        <w:pStyle w:val="FootnoteText"/>
      </w:pPr>
      <w:r>
        <w:rPr>
          <w:rStyle w:val="FootnoteReference0"/>
        </w:rPr>
        <w:footnoteRef/>
      </w:r>
      <w:r>
        <w:tab/>
        <w:t>Регламент (ЕС, Евратом) 2020/2093 на Съвета от 17 декември 2020 г. за определяне на многогодишната финансова рамка за годините 2021—2027 (ОВ L 433I, 22.12.2020 г., стр. 11).</w:t>
      </w:r>
    </w:p>
  </w:footnote>
  <w:footnote w:id="7">
    <w:p>
      <w:pPr>
        <w:pStyle w:val="FootnoteText"/>
      </w:pPr>
      <w:r>
        <w:rPr>
          <w:rStyle w:val="FootnoteReference0"/>
        </w:rPr>
        <w:footnoteRef/>
      </w:r>
      <w:r>
        <w:tab/>
        <w:t>EUCO 10/20, CO EUR 8, CONCL 4 от 21 юли 2020 г. — параграфи A26 и 134.</w:t>
      </w:r>
    </w:p>
  </w:footnote>
  <w:footnote w:id="8">
    <w:p>
      <w:pPr>
        <w:pStyle w:val="FootnoteText"/>
      </w:pPr>
      <w:r>
        <w:rPr>
          <w:rStyle w:val="FootnoteReference0"/>
        </w:rPr>
        <w:footnoteRef/>
      </w:r>
      <w:r>
        <w:tab/>
        <w:t>ОВ С [...], [...] г., стр. [...].</w:t>
      </w:r>
    </w:p>
  </w:footnote>
  <w:footnote w:id="9">
    <w:p>
      <w:pPr>
        <w:pStyle w:val="FootnoteText"/>
      </w:pPr>
      <w:r>
        <w:rPr>
          <w:rStyle w:val="FootnoteReference0"/>
        </w:rPr>
        <w:footnoteRef/>
      </w:r>
      <w:r>
        <w:tab/>
        <w:t>ОВ С [...], [...] г., стр. [...].</w:t>
      </w:r>
    </w:p>
  </w:footnote>
  <w:footnote w:id="10">
    <w:p>
      <w:pPr>
        <w:pStyle w:val="FootnoteText"/>
      </w:pPr>
      <w:r>
        <w:rPr>
          <w:rStyle w:val="FootnoteReference0"/>
        </w:rPr>
        <w:footnoteRef/>
      </w:r>
      <w:r>
        <w:tab/>
        <w:t>ОВ С [...], [...] г., стр. [...].</w:t>
      </w:r>
    </w:p>
  </w:footnote>
  <w:footnote w:id="11">
    <w:p>
      <w:pPr>
        <w:pStyle w:val="FootnoteText"/>
      </w:pPr>
      <w:r>
        <w:rPr>
          <w:rStyle w:val="FootnoteReference0"/>
        </w:rPr>
        <w:footnoteRef/>
      </w:r>
      <w:r>
        <w:tab/>
        <w:t>Споразумение за оттеглянето на Обединено кралство Великобритания и Северна Ирландия от Европейския съюз и Европейската общност за атомна енергия („Споразумението за оттегляне“) (ОВ L 29, 31.1.2020 г., стр. 7).</w:t>
      </w:r>
    </w:p>
  </w:footnote>
  <w:footnote w:id="12">
    <w:p>
      <w:pPr>
        <w:pStyle w:val="FootnoteText"/>
        <w:rPr>
          <w:sz w:val="22"/>
        </w:rPr>
      </w:pPr>
      <w:r>
        <w:rPr>
          <w:rStyle w:val="FootnoteReference0"/>
        </w:rPr>
        <w:footnoteRef/>
      </w:r>
      <w:r>
        <w:tab/>
        <w:t>Регламент (ЕС, Евратом) 2018/1046 на Европейския парламент и на Съвета от 18 юли 2018 г. за финансовите правила, приложими за общия бюджет на Съюза (ОВ L 193, 30.7.2018 г., стр. 1).</w:t>
      </w:r>
    </w:p>
  </w:footnote>
  <w:footnote w:id="13">
    <w:p>
      <w:pPr>
        <w:pStyle w:val="FootnoteText"/>
      </w:pPr>
      <w:r>
        <w:rPr>
          <w:rStyle w:val="FootnoteReference0"/>
        </w:rPr>
        <w:footnoteRef/>
      </w:r>
      <w:r>
        <w:tab/>
        <w:t>Междуинституционално споразумение между Европейския парламент, Съвета на Европейския съюз и Европейската комисия за по-добро законотворчество (ОВ L 123, 12.5.2016 г., стр. 1).</w:t>
      </w:r>
    </w:p>
  </w:footnote>
  <w:footnote w:id="14">
    <w:p>
      <w:pPr>
        <w:pStyle w:val="FootnoteText"/>
      </w:pPr>
      <w:r>
        <w:rPr>
          <w:rStyle w:val="FootnoteReference0"/>
        </w:rPr>
        <w:footnoteRef/>
      </w:r>
      <w:r>
        <w:tab/>
        <w:t>Регламент (ЕО, Евратом) № 2988/95 на Съвета от 18 декември 1995 г. относно защитата на финансовите интереси на Европейските общности (ОВ L 312, 23.12.1995 г., стр. 1).</w:t>
      </w:r>
    </w:p>
  </w:footnote>
  <w:footnote w:id="15">
    <w:p>
      <w:pPr>
        <w:pStyle w:val="FootnoteText"/>
      </w:pPr>
      <w:r>
        <w:rPr>
          <w:rStyle w:val="FootnoteReference0"/>
        </w:rPr>
        <w:footnoteRef/>
      </w:r>
      <w:r>
        <w:tab/>
        <w:t>Регламент (Евратом, ЕО) № 2185/96 на Съвета от 11 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(ОВ L 292, 15.11.1996 г., стр. 2).</w:t>
      </w:r>
    </w:p>
    <w:p>
      <w:pPr>
        <w:pStyle w:val="FootnoteText"/>
      </w:pPr>
    </w:p>
  </w:footnote>
  <w:footnote w:id="16">
    <w:p>
      <w:pPr>
        <w:pStyle w:val="FootnoteText"/>
      </w:pPr>
      <w:r>
        <w:rPr>
          <w:rStyle w:val="FootnoteReference0"/>
        </w:rPr>
        <w:footnoteRef/>
      </w:r>
      <w:r>
        <w:tab/>
        <w:t>Регламент (ЕС) 2017/1939 на Съвета от 12 октомври 2017 г. за установяване на засилено сътрудничество за създаване на Европейска прокуратура (OВ L 283, 31.10.2017 г., стр. 1).</w:t>
      </w:r>
    </w:p>
    <w:p>
      <w:pPr>
        <w:rPr>
          <w:rStyle w:val="FootnoteReference0"/>
        </w:rPr>
      </w:pPr>
    </w:p>
  </w:footnote>
  <w:footnote w:id="17">
    <w:p>
      <w:pPr>
        <w:pStyle w:val="FootnoteText"/>
      </w:pPr>
      <w:r>
        <w:rPr>
          <w:rStyle w:val="FootnoteReference0"/>
        </w:rPr>
        <w:footnoteRef/>
      </w:r>
      <w:r>
        <w:tab/>
        <w:t>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№C1073/1999 на Европейския парламент и на Съвета и Регламент (Евратом) № 1074/1999 на Съвета (ОВ L 248, 18.9.2013 г., стр. 1).</w:t>
      </w:r>
    </w:p>
  </w:footnote>
  <w:footnote w:id="18">
    <w:p>
      <w:pPr>
        <w:pStyle w:val="FootnoteText"/>
      </w:pPr>
      <w:r>
        <w:rPr>
          <w:rStyle w:val="FootnoteReference0"/>
        </w:rPr>
        <w:footnoteRef/>
      </w:r>
      <w:r>
        <w:tab/>
        <w:t>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(ОВ L 198, 28.7.2017 г., стр. 29).</w:t>
      </w:r>
    </w:p>
  </w:footnote>
  <w:footnote w:id="19">
    <w:p>
      <w:pPr>
        <w:pStyle w:val="FootnoteText"/>
      </w:pPr>
      <w:r>
        <w:rPr>
          <w:rStyle w:val="FootnoteReference0"/>
        </w:rPr>
        <w:footnoteRef/>
      </w:r>
      <w:r>
        <w:tab/>
        <w:t>Регламент (ЕС)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(ОВ L 295, 21.11.2018 г., стр. 39).</w:t>
      </w:r>
    </w:p>
  </w:footnote>
  <w:footnote w:id="20">
    <w:p>
      <w:pPr>
        <w:pStyle w:val="FootnoteText"/>
      </w:pPr>
      <w:r>
        <w:rPr>
          <w:rStyle w:val="FootnoteReference0"/>
        </w:rPr>
        <w:footnoteRef/>
      </w:r>
      <w:r>
        <w:tab/>
        <w:t>ОВ C… .</w:t>
      </w:r>
    </w:p>
  </w:footnote>
  <w:footnote w:id="21">
    <w:p>
      <w:pPr>
        <w:pStyle w:val="FootnoteText"/>
      </w:pPr>
      <w:r>
        <w:rPr>
          <w:rStyle w:val="FootnoteReference0"/>
        </w:rPr>
        <w:footnoteRef/>
      </w:r>
      <w:r>
        <w:tab/>
        <w:t>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 (ОВ L 187, 26.6.2014 г., стр. 1).</w:t>
      </w:r>
    </w:p>
  </w:footnote>
  <w:footnote w:id="22">
    <w:p>
      <w:pPr>
        <w:pStyle w:val="FootnoteText"/>
        <w:rPr>
          <w:sz w:val="18"/>
        </w:rPr>
      </w:pPr>
      <w:r>
        <w:rPr>
          <w:rStyle w:val="FootnoteReference0"/>
        </w:rPr>
        <w:footnoteRef/>
      </w:r>
      <w:r>
        <w:tab/>
      </w:r>
      <w:r>
        <w:rPr>
          <w:color w:val="444444"/>
          <w:szCs w:val="21"/>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 4.5.2016 г., стр. 1)</w:t>
      </w:r>
      <w:r>
        <w:t>.</w:t>
      </w:r>
    </w:p>
  </w:footnote>
  <w:footnote w:id="23">
    <w:p>
      <w:pPr>
        <w:pStyle w:val="FootnoteText"/>
      </w:pPr>
      <w:r>
        <w:rPr>
          <w:rStyle w:val="FootnoteReference0"/>
        </w:rPr>
        <w:footnoteRef/>
      </w:r>
      <w:r>
        <w:tab/>
        <w:t>Съгласно член 58, параграф 2, буква а) или б) от Финансовия регламент.</w:t>
      </w:r>
    </w:p>
  </w:footnote>
  <w:footnote w:id="24">
    <w:p>
      <w:pPr>
        <w:pStyle w:val="FootnoteText"/>
      </w:pPr>
      <w:r>
        <w:rPr>
          <w:rStyle w:val="FootnoteReference0"/>
        </w:rPr>
        <w:footnoteRef/>
      </w:r>
      <w:r>
        <w:tab/>
        <w:t>Подробности във връзка с методите на управление и позоваванията на Финансовия регламент могат да бъдат намерени на уебсайта BudgWeb:</w:t>
      </w:r>
      <w:r>
        <w:tab/>
        <w:t xml:space="preserve"> </w:t>
      </w:r>
      <w:r>
        <w:cr/>
      </w:r>
      <w:r>
        <w:br/>
      </w:r>
      <w:hyperlink r:id="rId1" w:history="1">
        <w:r>
          <w:rPr>
            <w:rStyle w:val="Hyperlink"/>
          </w:rPr>
          <w:t>https://myintracomm.ec.europa.eu/budgweb/EN/man/budgmanag/Pages/budgmanag.aspx</w:t>
        </w:r>
      </w:hyperlink>
    </w:p>
  </w:footnote>
  <w:footnote w:id="25">
    <w:p>
      <w:pPr>
        <w:pStyle w:val="FootnoteText"/>
      </w:pPr>
      <w:r>
        <w:rPr>
          <w:rStyle w:val="FootnoteReference0"/>
        </w:rPr>
        <w:footnoteRef/>
      </w:r>
      <w:r>
        <w:tab/>
        <w:t>Многогод. = многогодишни бюджетни кредити / Едногод. = едногодишни бюджетни кредити.</w:t>
      </w:r>
    </w:p>
  </w:footnote>
  <w:footnote w:id="26">
    <w:p>
      <w:pPr>
        <w:pStyle w:val="FootnoteText"/>
      </w:pPr>
      <w:r>
        <w:rPr>
          <w:rStyle w:val="FootnoteReference0"/>
        </w:rPr>
        <w:footnoteRef/>
      </w:r>
      <w:r>
        <w:tab/>
        <w:t>ЕАСТ: Европейска асоциация за свободна търговия.</w:t>
      </w:r>
    </w:p>
  </w:footnote>
  <w:footnote w:id="27">
    <w:p>
      <w:pPr>
        <w:pStyle w:val="FootnoteText"/>
      </w:pPr>
      <w:r>
        <w:rPr>
          <w:rStyle w:val="FootnoteReference0"/>
        </w:rPr>
        <w:footnoteRef/>
      </w:r>
      <w:r>
        <w:tab/>
        <w:t>Държави кандидатки и ако е приложимо, потенциални кандидатки от Западните Балкани.</w:t>
      </w:r>
    </w:p>
  </w:footnote>
  <w:footnote w:id="28">
    <w:p>
      <w:pPr>
        <w:pStyle w:val="FootnoteText"/>
      </w:pPr>
      <w:r>
        <w:rPr>
          <w:rStyle w:val="FootnoteReference0"/>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29">
    <w:p>
      <w:pPr>
        <w:pStyle w:val="FootnoteText"/>
      </w:pPr>
      <w:r>
        <w:rPr>
          <w:rStyle w:val="FootnoteReference0"/>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30">
    <w:p>
      <w:pPr>
        <w:pStyle w:val="FootnoteText"/>
      </w:pPr>
      <w:r>
        <w:rPr>
          <w:rStyle w:val="FootnoteReference0"/>
        </w:rPr>
        <w:footnoteRef/>
      </w:r>
      <w:r>
        <w:tab/>
        <w:t>Подтаван за външния персонал, покрит с бюджетните кредити за оперативни разходи (предишни редове BA).</w:t>
      </w:r>
    </w:p>
  </w:footnote>
  <w:footnote w:id="31">
    <w:p>
      <w:pPr>
        <w:pStyle w:val="FootnoteText"/>
      </w:pPr>
      <w:r>
        <w:rPr>
          <w:rStyle w:val="FootnoteReference0"/>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20 %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D0A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3CCE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BAB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9CBB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8E8F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1498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B2079A"/>
    <w:lvl w:ilvl="0">
      <w:start w:val="1"/>
      <w:numFmt w:val="decimal"/>
      <w:pStyle w:val="ListNumber"/>
      <w:lvlText w:val="%1."/>
      <w:lvlJc w:val="left"/>
      <w:pPr>
        <w:tabs>
          <w:tab w:val="num" w:pos="360"/>
        </w:tabs>
        <w:ind w:left="360" w:hanging="360"/>
      </w:pPr>
    </w:lvl>
  </w:abstractNum>
  <w:abstractNum w:abstractNumId="7">
    <w:nsid w:val="FFFFFF89"/>
    <w:multiLevelType w:val="singleLevel"/>
    <w:tmpl w:val="8F80A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15"/>
  </w:num>
  <w:num w:numId="7">
    <w:abstractNumId w:val="23"/>
    <w:lvlOverride w:ilvl="0">
      <w:startOverride w:val="1"/>
    </w:lvlOverride>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22"/>
  </w:num>
  <w:num w:numId="16">
    <w:abstractNumId w:val="11"/>
  </w:num>
  <w:num w:numId="17">
    <w:abstractNumId w:val="13"/>
  </w:num>
  <w:num w:numId="18">
    <w:abstractNumId w:val="9"/>
  </w:num>
  <w:num w:numId="19">
    <w:abstractNumId w:val="21"/>
  </w:num>
  <w:num w:numId="20">
    <w:abstractNumId w:val="8"/>
  </w:num>
  <w:num w:numId="21">
    <w:abstractNumId w:val="14"/>
  </w:num>
  <w:num w:numId="22">
    <w:abstractNumId w:val="18"/>
  </w:num>
  <w:num w:numId="23">
    <w:abstractNumId w:val="19"/>
  </w:num>
  <w:num w:numId="24">
    <w:abstractNumId w:val="10"/>
  </w:num>
  <w:num w:numId="25">
    <w:abstractNumId w:val="17"/>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4 09:17: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F6DE111-B676-4D4B-9427-13BEDFEE77F5"/>
    <w:docVar w:name="LW_COVERPAGE_TYPE" w:val="1"/>
    <w:docVar w:name="LW_CROSSREFERENCE" w:val="&lt;UNUSED&gt;"/>
    <w:docVar w:name="LW_DocType" w:val="COM"/>
    <w:docVar w:name="LW_EMISSION" w:val="25.12.2020"/>
    <w:docVar w:name="LW_EMISSION_ISODATE" w:val="2020-12-25"/>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80"/>
    <w:docVar w:name="LW_REF.II.NEW.CP_YEAR" w:val="2020"/>
    <w:docVar w:name="LW_REF.INST.NEW" w:val="COM"/>
    <w:docVar w:name="LW_REF.INST.NEW_ADOPTED" w:val="final"/>
    <w:docVar w:name="LW_REF.INST.NEW_TEXT" w:val="(2020)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9?\u1098?\u1079?\u1076?\u1072?\u1074?\u1072?\u1085?\u1077? \u1085?\u1072? \u1088?\u1077?\u1079?\u1077?\u1088?\u1074? \u1079?\u1072? \u1087?\u1088?\u1080?\u1089?\u1087?\u1086?\u1089?\u1086?\u1073?\u1103?\u1074?\u1072?\u1085?\u1077? \u1074?\u1098?\u1074? \u1074?\u1088?\u1098?\u1079?\u1082?\u1072? \u1089? \u1087?\u1086?\u1089?\u1083?\u1077?\u1076?\u1080?\u1094?\u1080?\u1090?\u1077? \u1086?\u1090? \u1041?\u1088?\u1077?\u1082?\u1089?\u1080?\u1090?"/>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bg-BG"/>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bg-BG"/>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033">
      <w:bodyDiv w:val="1"/>
      <w:marLeft w:val="0"/>
      <w:marRight w:val="0"/>
      <w:marTop w:val="0"/>
      <w:marBottom w:val="0"/>
      <w:divBdr>
        <w:top w:val="none" w:sz="0" w:space="0" w:color="auto"/>
        <w:left w:val="none" w:sz="0" w:space="0" w:color="auto"/>
        <w:bottom w:val="none" w:sz="0" w:space="0" w:color="auto"/>
        <w:right w:val="none" w:sz="0" w:space="0" w:color="auto"/>
      </w:divBdr>
    </w:div>
    <w:div w:id="251592870">
      <w:bodyDiv w:val="1"/>
      <w:marLeft w:val="0"/>
      <w:marRight w:val="0"/>
      <w:marTop w:val="0"/>
      <w:marBottom w:val="0"/>
      <w:divBdr>
        <w:top w:val="none" w:sz="0" w:space="0" w:color="auto"/>
        <w:left w:val="none" w:sz="0" w:space="0" w:color="auto"/>
        <w:bottom w:val="none" w:sz="0" w:space="0" w:color="auto"/>
        <w:right w:val="none" w:sz="0" w:space="0" w:color="auto"/>
      </w:divBdr>
    </w:div>
    <w:div w:id="714474310">
      <w:bodyDiv w:val="1"/>
      <w:marLeft w:val="0"/>
      <w:marRight w:val="0"/>
      <w:marTop w:val="0"/>
      <w:marBottom w:val="0"/>
      <w:divBdr>
        <w:top w:val="none" w:sz="0" w:space="0" w:color="auto"/>
        <w:left w:val="none" w:sz="0" w:space="0" w:color="auto"/>
        <w:bottom w:val="none" w:sz="0" w:space="0" w:color="auto"/>
        <w:right w:val="none" w:sz="0" w:space="0" w:color="auto"/>
      </w:divBdr>
    </w:div>
    <w:div w:id="1569070715">
      <w:bodyDiv w:val="1"/>
      <w:marLeft w:val="0"/>
      <w:marRight w:val="0"/>
      <w:marTop w:val="0"/>
      <w:marBottom w:val="0"/>
      <w:divBdr>
        <w:top w:val="none" w:sz="0" w:space="0" w:color="auto"/>
        <w:left w:val="none" w:sz="0" w:space="0" w:color="auto"/>
        <w:bottom w:val="none" w:sz="0" w:space="0" w:color="auto"/>
        <w:right w:val="none" w:sz="0" w:space="0" w:color="auto"/>
      </w:divBdr>
    </w:div>
    <w:div w:id="1627082764">
      <w:bodyDiv w:val="1"/>
      <w:marLeft w:val="0"/>
      <w:marRight w:val="0"/>
      <w:marTop w:val="0"/>
      <w:marBottom w:val="0"/>
      <w:divBdr>
        <w:top w:val="none" w:sz="0" w:space="0" w:color="auto"/>
        <w:left w:val="none" w:sz="0" w:space="0" w:color="auto"/>
        <w:bottom w:val="none" w:sz="0" w:space="0" w:color="auto"/>
        <w:right w:val="none" w:sz="0" w:space="0" w:color="auto"/>
      </w:divBdr>
    </w:div>
    <w:div w:id="1701127342">
      <w:bodyDiv w:val="1"/>
      <w:marLeft w:val="0"/>
      <w:marRight w:val="0"/>
      <w:marTop w:val="0"/>
      <w:marBottom w:val="0"/>
      <w:divBdr>
        <w:top w:val="none" w:sz="0" w:space="0" w:color="auto"/>
        <w:left w:val="none" w:sz="0" w:space="0" w:color="auto"/>
        <w:bottom w:val="none" w:sz="0" w:space="0" w:color="auto"/>
        <w:right w:val="none" w:sz="0" w:space="0" w:color="auto"/>
      </w:divBdr>
    </w:div>
    <w:div w:id="1735621576">
      <w:bodyDiv w:val="1"/>
      <w:marLeft w:val="0"/>
      <w:marRight w:val="0"/>
      <w:marTop w:val="0"/>
      <w:marBottom w:val="0"/>
      <w:divBdr>
        <w:top w:val="none" w:sz="0" w:space="0" w:color="auto"/>
        <w:left w:val="none" w:sz="0" w:space="0" w:color="auto"/>
        <w:bottom w:val="none" w:sz="0" w:space="0" w:color="auto"/>
        <w:right w:val="none" w:sz="0" w:space="0" w:color="auto"/>
      </w:divBdr>
    </w:div>
    <w:div w:id="1935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260E-59EB-49F5-9CCB-412EAD03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40</Pages>
  <Words>12171</Words>
  <Characters>71692</Characters>
  <Application>Microsoft Office Word</Application>
  <DocSecurity>0</DocSecurity>
  <Lines>1838</Lines>
  <Paragraphs>665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2020-11-26T08:40:00Z</cp:lastPrinted>
  <dcterms:created xsi:type="dcterms:W3CDTF">2021-01-13T11:00:00Z</dcterms:created>
  <dcterms:modified xsi:type="dcterms:W3CDTF">2021-01-14T08:17:00Z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