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DE80C6B2-82F6-4896-A5FB-F5AAC07B7430" style="width:451.35pt;height:338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objettivi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noProof/>
        </w:rPr>
      </w:pPr>
      <w:r>
        <w:rPr>
          <w:noProof/>
        </w:rPr>
        <w:t>Ir-Renju Unit tal-Gran Brittanja u l-Irlanda ta' Fuq (“Ir-Renju Unit” jew “UK”) ħareġ mill-Unjoni Ewropea (“UE”) u mill-Komunità Ewropea tal-Enerġija Atomika (“Euratom”) – minn hawn ’il quddiem b’mod kollettiv imsejħin “l-Unjoni” – fl-1 ta’ Frar 2020. Il-Ftehim dwar il-Ħruġ</w:t>
      </w:r>
      <w:r>
        <w:rPr>
          <w:rStyle w:val="FootnoteReference0"/>
          <w:rFonts w:eastAsia="Calibri"/>
          <w:noProof/>
        </w:rPr>
        <w:footnoteReference w:id="1"/>
      </w:r>
      <w:r>
        <w:rPr>
          <w:noProof/>
        </w:rPr>
        <w:t xml:space="preserve"> li ġie konkluż bejn l-Unjoni u r-Renju Unit daħal fis-seħħ f'din id-data, żgura t-tluq ordnat tar-Renju Unit u pprovda ċertezza tad-dritt f’oqsma importanti, inklużi d-drittijiet taċ-ċittadini, is-saldu finanzjarju u l-evitar ta’ fruntiera fiżika fuq il-gżira tal-Irlanda.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  <w:szCs w:val="24"/>
        </w:rPr>
      </w:pPr>
      <w:r>
        <w:rPr>
          <w:noProof/>
        </w:rPr>
        <w:t>Skont il-Ftehim dwar il-Ħruġ, intlaħaq qbil dwar perjodu ta’ tranżizzjoni, li għandu jdum sal-31 ta’ Diċembru 2020 u li jiggarantixxi kundizzjonijiet ta’ “żamma tal-istatus quo” għaċ-ċittadini, il-konsumaturi, in-negozji, l-investituri, l-istudenti u r-riċerkaturi, pereżempju, kemm fl-UE kif ukoll fir-Renju Unit. L-UE u r-Renju Unit innegozjaw qafas ġdid ta’ relazzjonijiet, ibbażat fuq id-Dikjarazzjoni Politika maqbula bejn l-UE u r-Renju Unit</w:t>
      </w:r>
      <w:r>
        <w:rPr>
          <w:rStyle w:val="FootnoteReference0"/>
          <w:rFonts w:eastAsia="Calibri"/>
          <w:noProof/>
        </w:rPr>
        <w:footnoteReference w:id="2"/>
      </w:r>
      <w:r>
        <w:rPr>
          <w:noProof/>
        </w:rPr>
        <w:t xml:space="preserve">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  <w:szCs w:val="24"/>
        </w:rPr>
      </w:pPr>
      <w:r>
        <w:rPr>
          <w:noProof/>
        </w:rPr>
        <w:t xml:space="preserve">Irrispettivament mit-tip ta’ kwalunkwe ftehim futur, il-fatt li r-Renju Unit mhux se jibqa’ jipparteċipa fil-politiki tal-Unjoni minn tmiem il-perjodu ta’ tranżizzjoni se joħloq ostakli għall-kummerċ ta’ oġġetti u servizzi u għall-mobbiltà u l-iskambji transfruntiera li ma kinux jeżistu qabel. Dan se jseħħ fiż-żewġ direzzjonijiet, jiġifieri mir-Renju Unit lejn l-Unjoni, kif ukoll mill-Unjoni lejn ir-Renju Unit.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noProof/>
          <w:szCs w:val="24"/>
        </w:rPr>
      </w:pPr>
      <w:r>
        <w:rPr>
          <w:noProof/>
        </w:rPr>
        <w:t xml:space="preserve">Abbażi tad-deċennji ta’ sħubija mill-qrib fl-UE, hemm interdipendenza ekonomika, kummerċjali u soċjali importanti bejn ir-Renju Unit, minn naħa waħda, u l-Istati Membri tal-UE, min-naħa l-oħra. Għalhekk, minkejja l-miżuri ta’ tħejjija stabbiliti kemm mill-Kummissjoni kif ukoll mill-Istati Membri, fi tmiem il-perjodu ta’ tranżizzjoni, ħafna setturi ekonomiċi u negozji, speċjalment kumpaniji b’esponiment sinifikanti għar-Renju Unit, se jiffaċċjaw diffikultajiet bħala konsegwenza tat-telf ta’ aċċess iffaċilitat għas-suq tiegħu jew inkella se jkunu affettwati minn relazzjonijiet kummerċjali u ekonomiċi aktar kumplessi. Dan jista’ jirriżulta f’telf ta’ impjiegi. F’dan l-isfond, l-Istati Membri jistgħu jiddeċiedu li jiġġieldu l-impatt negattiv billi jintroduċu skemi ta’ appoġġ speċifiċi biex jgħinu lir-reġjuni u lin-negozji affettwati fil-ġestjoni tal-bidla jew billi jintroduċu miżuri li jgħinu jippreservaw il-livelli ta’ impjieg. Wieħed mis-setturi li l-aktar jintlaqat ħażin huwa s-settur tas-sajd minħabba l-limitazzjoni konsegwenti tal-attivitajiet tas-sajd.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noProof/>
        </w:rPr>
      </w:pPr>
      <w:r>
        <w:rPr>
          <w:noProof/>
        </w:rPr>
        <w:t>L-amministrazzjonijiet pubbliċi tal-Istati Membri huma affettwati wkoll peress li kellhom jistabbilixxu infrastruttura u faċilitajiet addizzjonali u jirreklutaw persunal addizzjonali. Pereżempju, fil-qasam tad-dwana u tat-tassazzjoni indiretta, xi amministrazzjonijiet nazzjonali għamlu investimenti sinifikanti fl-infrastruttura u r-riżorsi umani, primarjament fl-Istati Membri li huma l-punti ewlenin ta’ dħul u ħruġ għall-kummerċ tal-Unjoni Ewropea mar-Renju Unit. Fil-qasam tal-kontrolli sanitarji u fitosanitarji, l-Istati Membri kellhom jistabbilixxu Postijiet ta’ Spezzjoni fil-Fruntiera ġodda jew jestendu dawk eżistenti fil-punti tad-dħul tal-importazzjonijiet mir-Renju Unit lejn l-UE. L-Istati Membri jista’ jkollhom iżidu l-miżuri ta’ kontroll fuq il-baħar u fil-portijiet għal monitoraġġ u spezzjoni addizzjonali. L-amministrazzjonijiet tal-Istati Membri kellhom jadattaw ir-regoli għall-ħruġ taċ-ċertifikati u l-</w:t>
      </w:r>
      <w:r>
        <w:rPr>
          <w:noProof/>
        </w:rPr>
        <w:lastRenderedPageBreak/>
        <w:t xml:space="preserve">awtorizzazzjoni tal-prodotti, ir-rekwiżiti tal-istabbiliment, it-tikkettar u l-immarkar, kif ukoll jipprevedu u jaġġornaw miżuri speċifiċi ta’ sensibilizzazzjoni dwar il-konsegwenzi li l-irtirar se jkollu fuq iċ-ċittadini u n-negozji.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noProof/>
        </w:rPr>
      </w:pPr>
      <w:r>
        <w:rPr>
          <w:noProof/>
        </w:rPr>
        <w:t xml:space="preserve">Mir-referendum tar-Renju Unit fl-2016, l-Istati Membri u l-UE kienu qed iħejju b’mod attiv għall-ħruġ kemm f’termini politiċi kif ukoll ekonomiċi. Huma ilhom jistabbilixxu miżuri ta’ tħejjija biex iqisu l-effetti possibbli tal-ħruġ tar-Renju Unit mill-Unjoni fuq il-partijiet ikkonċernati kollha affettwati. Il-Kummissjoni ripetutament talbet lill-atturi rilevanti kollha biex jieħdu l-passi meħtieġa biex jevitaw jew inaqqsu l-impatt potenzjali. Minkejja l-miżuri li diġà ttieħdu jew li huma ppjanati, il-ħruġ tar-Renju Unit mill-Unjoni huwa sitwazzjoni mingħajr preċedent għall-Istati Membri kollha li teħtieġ azzjoni speċifika, immirata u rapida. Huwa ġust li wieħed jassumi li, minħabba r-relazzjoni ekonomika u kummerċjali partikolarment mill-qrib li ġiet żviluppata mal-Istati Membri matul is-47 sena tas-sħubija tar-Renju Unit fl-UE, xi Stati Membri, reġjuni u setturi se jintlaqtu aktar mill-ħruġ u huma mistennija li jesperjenzaw telf ekonomiku u finanzjarju li għadu mhux possibbli li jiġi kwantifikat. Dawn l-azzjonijiet addizzjonali x’aktarx li jkollhom impatt sinifikanti fuq l-infiq pubbliku, speċjalment fit-terminu qasir u f’dawk l-Istati Membri u r-reġjuni affettwati b’mod partikolari, u b’hekk jirriżultaw fi ħtieġa urġenti għal finanzjament pubbliku addizzjonali biex jiġu kkumpensati dawn il-konsegwenzi, speċjalment fl-ewwel snin wara l-irtirar.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noProof/>
        </w:rPr>
      </w:pPr>
      <w:r>
        <w:rPr>
          <w:noProof/>
        </w:rPr>
        <w:t>Għalhekk, il-konklużjonijiet tal-Kunsill Ewropew, maqbula fil-laqgħa speċjali tiegħu tas-17-21 ta’ Lulju 2020, jipprevedu l-istabbiliment ta’ Riżerva speċjali ġdida ta’ Aġġustament għall-Brexit (ir-“Riżerva”) fi ħdan l-istrumenti speċjali barra mil-limiti massimi tal-baġit tal-UE tal-qafas finanzjarju pluriennali “biex jiġu miġġielda l-konsegwenzi mhux previsti u negattivi fl-Istati Membri u s-setturi li huma l-aktar affettwati”</w:t>
      </w:r>
      <w:r>
        <w:rPr>
          <w:rStyle w:val="FootnoteReference0"/>
          <w:rFonts w:eastAsia="Calibri"/>
          <w:noProof/>
        </w:rPr>
        <w:footnoteReference w:id="3"/>
      </w:r>
      <w:r>
        <w:rPr>
          <w:noProof/>
        </w:rPr>
        <w:t>. Il-Kunsill Ewropew stieden lill-Kummissjoni biex tippreżenta proposta.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Ir-Riżerva stabbilita skont dan ir-Regolament se tipprovdi appoġġ lill-Istati Membri, lir-reġjuni u lis-setturi, b’mod partikolari dawk li huma l-aktar milquta mill-konsegwenzi negattivi tal-ħruġ tar-Renju Unit mill-Unjoni, u b’hekk ittaffi l-impatt tagħha fuq il-koeżjoni ekonomika, soċjali u territorjali. Ir-riżerva se tipprovdi kontribuzzjonijiet finanzjarji biex tkopri n-nefqa pubblika addizzjonali kollha mġarrba mill-Istati Membri, jew parti minnha, speċjalment dawk li jiddependu l-aktar fuq ir-relazzjonijiet kummerċjali u ekonomiċi mar-Renju Unit, għal miżuri marbuta direttament mal-ħruġ. Ir-Riżerva tikkumplimenta għodod eżistenti oħra disponibbli taħt Next Generation EU u l-baġit fit-tul li jmiss tal-UE.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ta’ politika eżistenti fil-qasam ta’ politika u ma’ politiki oħra tal-UE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Ir-Riżerva se tkun kumplimentari u se tiżgura sinerġiji ma’ programmi u strumenti ta’ finanzjament oħra tal-Unjoni. Il-qafas finanzjarju pluriennali 2021-2027, NextGenerationEU u l-programmi ta’ akkumpanjament inkluż l-Assistenza għall-Irkupru għall-Koeżjoni u t-Territorji tal-Ewropa (REACT-EU) taħt il-fondi strutturali u ta’ koeżjoni, il-fondi tal-politika ta’ koeżjoni ta’ wara l-2020, il-Fond għal Tranżizzjoni Ġusta, il-Faċilità għall-Irkupru u r-Reżiljenza u InvestEU se jiffokaw aktar fuq l-indirizzar tal-effetti tal-kriżi kkawżata mill-COVID-19 u jipprovdu appoġġ lill-ekonomiji tal-Istati Membri biex isiru aktar reżiljenti, sostenibbli u mħejjija aħjar għall-futur. Ir-Riżerva se tikkonċentra r-riżorsi tagħha b’mod speċifiku u esklużiv fuq l-effett dirett tal-avveniment speċifiku u mingħajr preċedent tal-ħruġ tar-Renju Unit mill-Unjoni, li jnaqqas l-impatt tiegħu f’termini ta’ koeżjoni territorjali.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lastRenderedPageBreak/>
        <w:t>L-istrument propost jispira ruħu wkoll mill-esperjenza li ilha teżisti tal-Fond ta’ Solidarjetà tal-Unjoni Ewropea</w:t>
      </w:r>
      <w:r>
        <w:rPr>
          <w:rStyle w:val="FootnoteReference0"/>
          <w:rFonts w:eastAsia="Arial Unicode MS"/>
          <w:noProof/>
        </w:rPr>
        <w:footnoteReference w:id="4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Bħalissa ma hemm l-ebda strument li jipprovdi appoġġ finanzjarju lill-Istati Membri, speċifikament u direttament marbut mal-konsegwenzi ekonomiċi u soċjali tal-ħruġ tar-Renju Unit mill-Unjoni.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Il-proposta hija parti mit-tħejjija għal tmiem il-perjodu ta’ tranżizzjoni bejn ir-Renju Unit u l-Unjoni. Huwa jibni fuq u jikkomplementa l-ħidma li saret mill-istituzzjonijiet tal-UE u l-Istati Membri fil-kuntest tal-miżuri ta’ tħejjija meħuda skont il-politiki rispettivi tal-Unjoni matul in-negozjati skont l-Artikolu 50 tat-TUE u l-ħidma ta’ sensibilizzazzjoni tal-Kummissjoni biex tgħin biex jiġi żgurat li l-amministrazzjonijiet nazzjonali tal-Istati Membri jkunu lesti għal tmiem il-perjodu ta’ tranżizzjoni. L-arkitettura tiegħu tqis is-sitwazzjoni bla preċedent għall-Istati Membri, l-uniċità tagħha u l-ħtieġa li dawn jirreaġixxu malajr u b’mod flessibbli għall-isfidi hekk kif jinħolqu fl-ekonomiji tagħhom.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noProof/>
        </w:rPr>
      </w:pPr>
      <w:r>
        <w:rPr>
          <w:noProof/>
        </w:rPr>
        <w:t>Din il-proposta tissejjes fuq l-Artikoli 175 u 322 tat-Trattat dwar il-Funzjonament tal-Unjoni Ewropea (TFUE).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noProof/>
        </w:rPr>
      </w:pPr>
      <w:r>
        <w:rPr>
          <w:noProof/>
        </w:rPr>
        <w:t>L-Artikolu 174 tat-TFUE jipprevedi li sabiex tippromwovi l-iżvilupp armonjuż tagħha in ġenerali, l-Unjoni għandha tiżviluppa u tfittex li twettaq l-azzjonijiet tagħha li jwasslu sabiex tissaħħaħ il-koeżjoni ekonomika, soċjali u territorjali fi ħdanha.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noProof/>
        </w:rPr>
      </w:pPr>
      <w:r>
        <w:rPr>
          <w:noProof/>
        </w:rPr>
        <w:t xml:space="preserve">Id-dritt li wieħed jaġixxi biex jintlaħaq dan l-għan huwa minqux fit-tielet paragrafu tal-Artikolu 175 tat-TFUE li jistabbilixxi li, jekk ikun hemm bżonn ta’ azzjonijiet speċifiċi barra mill-Fondi u mingħajr preġudizzju għall-miżuri deċiżi fil-qafas tal-politiki l-oħra tal-Unjoni, tali azzjonijiet jistgħu jiġu adottati mill-Parlament Ewropew u mill-Kunsill li jaġixxu skont il-proċedura leġiżlattiva ordinarja u wara li jikkonsultaw lill-Kumitat Ekonomiku u Soċjali Ewropew u lill-Kumitat tar-Reġjuni.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noProof/>
        </w:rPr>
      </w:pPr>
      <w:r>
        <w:rPr>
          <w:noProof/>
        </w:rPr>
        <w:t>F’konformità mat-tielet paragrafu tal-Artikolu 175 tat-TFUE, il-proposta tipprevedi li r-Riżerva għandha l-għan li ssaħħaħ il-koeżjoni ekonomika, soċjali u territorjali billi tipprovdi appoġġ finanzjarju lill-Istati Membri, lir-reġjuni u lis-setturi l-aktar milquta biex jindirizzaw il-konsegwenzi negattivi tal-ħruġ tar-Renju Unit mill-Unjoni u b’hekk tiżgura s-solidarjetà tal-UE u ssaħħaħ ir-reżiljenza.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noProof/>
        </w:rPr>
      </w:pPr>
      <w:r>
        <w:rPr>
          <w:noProof/>
        </w:rPr>
        <w:t>Il-proposta hija bbażata wkoll fuq l-Artikolu 322 tat-TFUE minħabba li fiha regoli speċifiċi dwar ir-riporti li jidderogaw mill-prinċipju tal-annwalità stabbilit fir-Regolament (UE, Euratom) 2018/1046 tal-Parlament Ewropew u tal-Kunsill (ir- “Regolament Finanzjarju”)</w:t>
      </w:r>
      <w:r>
        <w:rPr>
          <w:rStyle w:val="FootnoteReference0"/>
          <w:rFonts w:eastAsia="Calibri"/>
          <w:noProof/>
        </w:rPr>
        <w:footnoteReference w:id="5"/>
      </w:r>
      <w:r>
        <w:rPr>
          <w:noProof/>
        </w:rPr>
        <w:t xml:space="preserve">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Is-sussidjarjetà u l-proporzjonalità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noProof/>
        </w:rPr>
      </w:pPr>
      <w:r>
        <w:rPr>
          <w:noProof/>
        </w:rPr>
        <w:t xml:space="preserve">F’konformità mal-Artikolu 4(2) TFUE, l-Unjoni għandha kompetenza kondiviża mal-Istati Membri fil-qasam tal-koeżjoni ekonomika, soċjali u territorjali kif ukoll f’ċerti aspetti tal-politika soċjali. Il-finanzjament tal-attivitajiet proposti permezz tar-Regolament propost </w:t>
      </w:r>
      <w:r>
        <w:rPr>
          <w:noProof/>
        </w:rPr>
        <w:lastRenderedPageBreak/>
        <w:t xml:space="preserve">f’konformità mal-prinċipji ta’ ġestjoni kondiviża jirrispetta l-prinċipji tal-valur miżjud Ewropew u tas-sussidjarjetà. Finanzjament mill-baġit tal-Unjoni jikkonċentra fuq attivitajiet li l-objettivi tagħhom ma jistgħux jintlaħqu b’mod suffiċjenti mill-Istati Membri waħedhom, u fejn l-intervent tal-Unjoni jista’ jġib valur addizzjonali mqabbel ma’ azzjoni mill-Istati Membri waħedhom.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noProof/>
        </w:rPr>
      </w:pPr>
      <w:r>
        <w:rPr>
          <w:noProof/>
        </w:rPr>
        <w:t>Fid-dawl ta’ dan ta’ hawn fuq, jenħtieġ li r-Riżerva stabbilita mir-Regolament tipprovdi appoġġ lill-Istati Membri biex jiġġieldu l-konsegwenzi negattivi tal-ħruġ tar-Renju Unit mill-Unjoni. L-objettiv ġenerali tagħha huwa għalhekk li ssaħħaħ il-koeżjoni, permezz ta’ miżuri li jippermettu li jittaffa l-impatt ekonomiku, soċjali u territorjali tal-ħruġ fuq l-ekonomiji tal-Istati Membri u li jiġu protetti l-livelli tal-impjiegi.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Barra minn hekk, il-prinċipju tas-sussidjarjetà huwa rifless ukoll mill-fatt li r-Riżerva se tiġi implimentata taħt ġestjoni kondiviża. L-interventi ma jkunux ġestiti direttament mill-Kummissjoni Ewropea, iżda minflok ikunu implimentati bi sħubija mal-Istati Membri. Għaldaqstant l-azzjoni tal-Unjoni hija limitata għal dak li hu meħtieġ biex jintlaħqu l-objettivi tal-Unjoni kif stabbiliti fit-Trattati. F’konformità mal-prinċipju tas-sussidjarjetà, hija tiddefinixxi kriterji ta’ eliġibbiltà ċari għar-Riżerva li għandha tiġi mobilizzata u tipprovdi flessibbiltà fl-użu tagħha fi proporzjon mas-sitwazzjoni unika.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Il-proposta hija konformi mal-prinċipju tal-proporzjonalità peress li ma tmurx lil hinn mill-minimu meħtieġ sabiex jintlaħaq l-objettiv iddikjarat fil-livell Ewropew u li huwa meħtieġ għal dak il-għan.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noProof/>
        </w:rPr>
      </w:pPr>
      <w:r>
        <w:rPr>
          <w:noProof/>
        </w:rPr>
        <w:t xml:space="preserve">Qed jiġi propost li jinħoloq strument ġdid peress li l-għanijiet deskritti fit-taqsimiet preċedenti ma jistgħux jintlaħqu sa livell suffiċjenti minn azzjonijiet individwali tal-Istati Membri. Taħt il-politika ta’ koeżjoni, l-istrument magħżul huwa Regolament tal-Parlament Ewropew u tal-Kunsill f’konformità mal-proċedura leġislattiva ordinarja kif stabbilit fl-Artikolu 175(3) TFUE, li jiżgura trattament ugwali tal-Istati Membri. L-istrument propost jispira ruħu mill-esperjenza li ilha teżisti tal-Fond ta’ Solidarjetà tal-Unjoni Ewropea u tal-politika ta’ koeżjoni, filwaqt li jadatta għaċ-ċirkostanzi kompletament ġodda u l-objettiv li jiġu miġġielda l-effetti tal-ħruġ tar-Renju Unit mill-Unjoni Ewropea.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RIŻULTATI TAL-EVALWAZZJONIJIET EX POST,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Evalwazzjonijiet ex post/kontrolli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Huwa impossibbli li jiġi evalwat ex post l-impatt jew li tiġi vverifikata l-idoneità tal-leġiżlazzjoni eżistenti minħabba li la hemm leġiżlazzjoni bħal din u lanqas preċedent bħal dan.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highlight w:val="yellow"/>
        </w:rPr>
      </w:pPr>
      <w:r>
        <w:rPr>
          <w:noProof/>
        </w:rPr>
        <w:t>Minħabba l-urġenza biex titħejja l-proposta u biex tkun tista’ tiġi adottata fil-ħin mill-koleġiżlaturi, ma setgħetx titwettaq konsultazzjoni mal-partijiet ikkonċernati. Madankollu, bi tħejjija għal din il-proposta, saru sensiela ta’ laqgħat ma’ rappreżentanti ta’ firxa wiesgħa ta’ Stati Membri.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Minħabba n-natura urġenti tal-proposta, ma saret l-ebda valutazzjoni tal-impatt. Il-proposta tqis l-analiżijiet ekonomiċi reċenti, inkluż it-tbassir ekonomiku tal-ħarifa 2020 tal-Kummissjoni u r-riċerka tal-Bank Ċentrali Ewropew.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rPr>
          <w:rFonts w:eastAsia="Calibri"/>
          <w:noProof/>
          <w:sz w:val="22"/>
        </w:rPr>
      </w:pPr>
      <w:bookmarkStart w:id="1" w:name="_Toc56534743"/>
      <w:r>
        <w:rPr>
          <w:noProof/>
        </w:rPr>
        <w:t>L-Artikolu 10 tar-Regolament tal-Kunsill (UE, Euratom) 2020/2093</w:t>
      </w:r>
      <w:r>
        <w:rPr>
          <w:rStyle w:val="FootnoteReference0"/>
          <w:rFonts w:eastAsia="Calibri"/>
          <w:noProof/>
        </w:rPr>
        <w:footnoteReference w:id="6"/>
      </w:r>
      <w:r>
        <w:rPr>
          <w:noProof/>
        </w:rPr>
        <w:t xml:space="preserve"> jipprevedi li l-ammont globali tar-Riżerva għandu jkun ta’ EUR 5 000 000 000 fi prezzijiet tal-2018.</w:t>
      </w:r>
      <w:r>
        <w:rPr>
          <w:noProof/>
          <w:sz w:val="22"/>
        </w:rPr>
        <w:t xml:space="preserve"> </w:t>
      </w:r>
    </w:p>
    <w:p>
      <w:pPr>
        <w:rPr>
          <w:rFonts w:eastAsia="Calibri"/>
          <w:noProof/>
          <w:szCs w:val="24"/>
        </w:rPr>
      </w:pPr>
      <w:r>
        <w:rPr>
          <w:noProof/>
        </w:rPr>
        <w:t xml:space="preserve">Ir-riżorsi massimi għall-implimentazzjoni tar-Riżerva għandhom ikunu ta’ EUR 5 370 994 000 fi prezzijiet attwali, li għandhom jiġu ffinanzjati bħala strument speċjali barra mil-limiti massimi tal-baġit tal-UE tal-Qafas Finanzjarju Pluriennali. EUR 4 244 832 000 se jiġu allokati u mħallsa fl-2021 fil-forma ta’ prefinanzjament. L-EUR 1 126 162 000 li jifdal se jiġu allokati u mħallsa fl-2024 għal kontribuzzjonijiet addizzjonali f’konformità mad-dispożizzjonijiet tal-proposta preżenti.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noProof/>
          <w:szCs w:val="24"/>
        </w:rPr>
      </w:pPr>
      <w:r>
        <w:rPr>
          <w:noProof/>
        </w:rPr>
        <w:t>B’deroga mid-dispożizzjonijiet tal-Artikolu 12(4) tar-Regolament Finanzjarju, qed jiġu proposti dispożizzjonijiet speċifiċi dwar ir-riport awtomatiku tal-approprjazzjonijiet minħabba l-karatteristiċi speċifiċi tar-Riżerva. Filwaqt li huwa probabbli li ħafna mill-konsegwenzi negattivi tal-ħruġ tar-Renju Unit mill-Unjoni se jseħħu fl-ewwel sena/snin wara l-ħruġ effettiv, l-effetti fuq ċerti reġjuni, setturi jew Stati Membri jistgħu jseħħu fis-snin sussegwenti. Sabiex jiġi massimizzat l-impatt tiegħu u biex il-konklużjonijiet tal-Kunsill Ewropew</w:t>
      </w:r>
      <w:r>
        <w:rPr>
          <w:rStyle w:val="FootnoteReference0"/>
          <w:rFonts w:cstheme="minorHAnsi"/>
          <w:noProof/>
        </w:rPr>
        <w:footnoteReference w:id="7"/>
      </w:r>
      <w:r>
        <w:rPr>
          <w:noProof/>
        </w:rPr>
        <w:t xml:space="preserve"> li jipprovdu ammont globali disponibbli ta’ EUR 5 biljun fi prezzijiet tal-2018 mingħajr limitu ta’ żmien, ikunu operattivi bis-sħiħ, huwa għalhekk meħtieġ li jsir provvediment biex ir-Riżerva tiddaħħal bħala dispożizzjoni fil-baġit, bi trasferiment awtomatiku ta’ approprjazzjonijiet ta’ impenn u ta’ pagament mhux użati sal-2025.</w:t>
      </w:r>
      <w:bookmarkEnd w:id="1"/>
      <w:r>
        <w:rPr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>Barra minn hekk, qed jiġu proposti dispożizzjonijiet speċifiċi dwar perjodu ta’ referenza mfassal apposta minħabba n-natura speċifika tar-Riżerva u l-perjodu ta’ implimentazzjoni relattivament qasir. Peress li fl-istess ħin, ir-riskji għall-baġit tal-Unjoni huma mitigati mir-rekwiżit li tiġi stabbilita sistema solida ta’ ġestjoni u kontroll mill-Istati Membri, huwa ġġustifikat li ssir deroga mill-obbligu li d-dokumenti msemmija fil-paragrafi 5, 6 u 7 tal-Artikolu 63 tar-Regolament Finanzjarju jiġu ppreżentati fi Frar jew Marzu ta’ kull sena.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bookmarkStart w:id="2" w:name="_Toc56534745"/>
      <w:r>
        <w:rPr>
          <w:noProof/>
          <w:u w:color="000000"/>
          <w:bdr w:val="nil"/>
        </w:rPr>
        <w:t>Viżibilità u arranġamenti ta’ rapportar</w:t>
      </w:r>
      <w:bookmarkEnd w:id="2"/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Se jiġu applikati arranġamenti speċifiċi ta’ rappurtar għall-kontribuzzjoni mir-Riżerva. L-Istati Membri kollha se jkollhom jippreżentaw rapport ta’ implimentazzjoni sat-30 ta’ Settembru 2023 li jagħti dettalji dwar l-azzjonijiet appoġġati u n-nefqa mġarrba u mħallsa matul il-perjodu ta’ eliġibbiltà kif ukoll il-valuri għal sett ta’ indikaturi tal-output. L-Istati Membri se jkollhom jiżguraw ukoll il-viżibbiltà u t-trasparenza tal-interventi u tal-benefiċjarji. Il-Kummissjoni għandha twettaq evalwazzjoni biex teżamina l-effettività, l-effiċjenza, ir-rilevanza, il-koerenza u l-valur miżjud tal-UE għar-Riżerva. Wara l-valutazzjoni u d-deċiżjonijiet tagħha dwar l-allokazzjoni finali, il-Kummissjoni se tippreżenta lill-Parlament Ewropew u lill-Kunsill rapport komprensiv dwar l-attività tar-Riżerva sat-30 ta’ Ġunju 2027.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/>
          <w:noProof/>
          <w:szCs w:val="24"/>
        </w:rPr>
      </w:pPr>
      <w:r>
        <w:rPr>
          <w:b/>
          <w:noProof/>
          <w:szCs w:val="24"/>
        </w:rPr>
        <w:t>Kamp ta’ Applikazzjoni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Dan ir-Regolament jistabbilixxi r-Riżerva ta’ Aġġustament għall-Brexit. Din se tipprovdi kontribuzzjonijiet finanzjarji lill-Istati Membri biex jiġġieldu l-konsegwenzi negattivi fl-Istati Membri, fir-reġjuni u fis-setturi, b’mod partikolari dawk li huma l-aktar milquta mill-ħruġ tar-Renju Unit mill-Unjoni, bil-għan li jittaffa l-impatt tiegħu fuq il-koeżjoni ekonomika, soċjali u territorjali.</w:t>
      </w:r>
    </w:p>
    <w:p>
      <w:pPr>
        <w:rPr>
          <w:b/>
          <w:noProof/>
        </w:rPr>
      </w:pPr>
      <w:r>
        <w:rPr>
          <w:b/>
          <w:noProof/>
        </w:rPr>
        <w:t>Eliġibbiltà</w:t>
      </w:r>
    </w:p>
    <w:p>
      <w:pPr>
        <w:rPr>
          <w:noProof/>
          <w:szCs w:val="24"/>
        </w:rPr>
      </w:pPr>
      <w:r>
        <w:rPr>
          <w:noProof/>
        </w:rPr>
        <w:t xml:space="preserve">Il-perjodu ta’ eliġibbiltà għan-nefqa pubblika diretta se jkun mill-1 ta’ Lulju 2020 sal-31 ta’ Diċembru 2022. Ir-Regolament fih lista komprensiva iżda mhux esklussiva ta’ tipi ta’ nefqa eliġibbli għal miżuri stabbiliti speċifikament, inkluż għal reġjuni, żoni, negozji, setturi u komunitajiet lokali affettwati b’mod negattiv mill-ħruġ. Ir-Regolament jiddefinixxi wkoll ċerti tipi ta’ nfiq li mhumiex eliġibbli. </w:t>
      </w:r>
    </w:p>
    <w:p>
      <w:pPr>
        <w:rPr>
          <w:b/>
          <w:noProof/>
        </w:rPr>
      </w:pPr>
      <w:r>
        <w:rPr>
          <w:b/>
          <w:noProof/>
        </w:rPr>
        <w:t>Ġestjoni finanzjarja</w:t>
      </w:r>
    </w:p>
    <w:p>
      <w:pPr>
        <w:rPr>
          <w:noProof/>
          <w:szCs w:val="24"/>
        </w:rPr>
      </w:pPr>
      <w:r>
        <w:rPr>
          <w:noProof/>
        </w:rPr>
        <w:t xml:space="preserve">Ir-Riżerva se tkopri l-Istati Membri kollha u se tiġi attivata f’żewġ allokazzjonijiet — l-ewwel waħda fl-2021 fil-forma ta’ prefinanzjament sostanzjali, u t-tieni waħda fl-2024 bħala pagament ta’ kontribuzzjoni addizzjonali mir-Riżerva. Għal dan il-għan, il-Kummissjoni se tqis l-użu tal-prefinanzjament u n-nefqa ġenerali eliġibbli aċċettata mill-Kummissjoni li taqbeż kemm l-ammont tal-prefinanzjament kif ukoll 0.06 % tal-ING nominali tal-2021. Il-Kummissjoni se tistabbilixxi l-ammonti rilevanti għall-allokazzjoni tal-prefinanzjament permezz ta’ att ta’ implimentazzjoni li, minħabba l-eċċezzjonalità, l-inċertezza tal-livell tal-impatt u l-ħtieġa ta’ reazzjoni rapida mill-Istati Membri, mhux se jinkludi deskrizzjoni tal-azzjonijiet li għandhom jiġu ffinanzjati kif stipulat fl-Artikolu 110(2) tar-Regolament Finanzjarju. </w:t>
      </w:r>
    </w:p>
    <w:p>
      <w:pPr>
        <w:rPr>
          <w:b/>
          <w:noProof/>
        </w:rPr>
      </w:pPr>
      <w:r>
        <w:rPr>
          <w:b/>
          <w:noProof/>
        </w:rPr>
        <w:t>Metodu ta’ allokazzjoni għall-prefinanzjament</w:t>
      </w:r>
    </w:p>
    <w:p>
      <w:pPr>
        <w:rPr>
          <w:noProof/>
          <w:szCs w:val="24"/>
        </w:rPr>
      </w:pPr>
      <w:r>
        <w:rPr>
          <w:noProof/>
        </w:rPr>
        <w:t xml:space="preserve">Il-metodu ta’ allokazzjoni għall-prefinanzjament se jkun ibbażat fuq statistika uffiċjali li hija affidabbli u komparabbli. Dan se jqis l-importanza tal-kummerċ mar-Renju Unit u l-importanza tas-sajd fiż-żona ekonomika esklussiva tar-Renju Unit. Il-metodu ta’ allokazzjoni għall-prefinanzjament se jkun stabbilit fl-Anness I tar-Regolament sabiex tiġi żgurata trasparenza sħiħa. </w:t>
      </w:r>
    </w:p>
    <w:p>
      <w:pPr>
        <w:rPr>
          <w:b/>
          <w:noProof/>
        </w:rPr>
      </w:pPr>
      <w:r>
        <w:rPr>
          <w:b/>
          <w:noProof/>
        </w:rPr>
        <w:t>Sottomissjoni ta’ applikazzjonijiet għal kontribuzzjoni finanzjarja mir-Riżerva</w:t>
      </w:r>
    </w:p>
    <w:p>
      <w:pPr>
        <w:rPr>
          <w:noProof/>
        </w:rPr>
      </w:pPr>
      <w:r>
        <w:rPr>
          <w:noProof/>
        </w:rPr>
        <w:t>L-Istati Membri se jkollhom jissottomettu applikazzjonijiet (formola hija pprovduta fl-Anness II tar-Regolament) għal kontribuzzjoni mir-Riżerva sat-30 ta’ Settembru 2023, bid-dettalji tal-informazzjoni dwar in-nefqa pubblika totali mġarrba u mħallsa mill-Istat Membru mill-1 ta’ Lulju 2020 sal-31 ta’ Diċembru 2022. Din l-applikazzjoni se tiddeskrivi wkoll kif intuża l-prefinanzjament. In-natura speċifika tal-istrument u l-perjodu ta’ implimentazzjoni relattivament qasir jiġġustifikaw l-istabbiliment ta’ perjodu ta’ referenza mfassal apposta u r-rekwiżit ta’ applikazzjoni unika fl-2023. Peress li fl-istess ħin, ir-riskji għall-baġit tal-Unjoni huma mitigati mir-rekwiżit li tiġi stabbilita sistema solida ta’ ġestjoni u kontroll mill-Istati Membri, huwa ġġustifikat li ssir deroga mill-obbligu li d-dokumenti msemmija fil-paragrafi 5, 6 u 7 tal-Artikolu 63 tar-Regolament Finanzjarju jiġu ppreżentati fi Frar jew Marzu ta’ kull sena.</w:t>
      </w:r>
    </w:p>
    <w:p>
      <w:pPr>
        <w:rPr>
          <w:noProof/>
          <w:szCs w:val="24"/>
        </w:rPr>
      </w:pPr>
      <w:r>
        <w:rPr>
          <w:noProof/>
        </w:rPr>
        <w:t>L-applikazzjoni se tkun akkumpanjata minn rapport ta’ implimentazzjoni, li jagħti dettalji, fost l-oħrajn, tal-miżuri meħuda biex jiġu miġġielda l-konsegwenzi negattivi tal-ħruġ tar-</w:t>
      </w:r>
      <w:r>
        <w:rPr>
          <w:noProof/>
        </w:rPr>
        <w:lastRenderedPageBreak/>
        <w:t xml:space="preserve">Renju Unit mill-Unjoni, u kif ġew implimentati, dikjarazzjoni ta’ ġestjoni u opinjoni tal-awditjar indipendenti li tkopri l-perjodu ta’ referenza għar-Riżerva. </w:t>
      </w:r>
    </w:p>
    <w:p>
      <w:pPr>
        <w:rPr>
          <w:b/>
          <w:noProof/>
        </w:rPr>
      </w:pPr>
      <w:r>
        <w:rPr>
          <w:b/>
          <w:noProof/>
        </w:rPr>
        <w:t xml:space="preserve">Valutazzjoni mill-Kummissjoni tal-applikazzjonijiet għal kontribuzzjoni finanzjarja, </w:t>
      </w:r>
      <w:r>
        <w:rPr>
          <w:b/>
          <w:noProof/>
          <w:szCs w:val="24"/>
        </w:rPr>
        <w:t>approvazzjoni tal-prefinanzjament u kalkolu tal-ammonti addizzjonali</w:t>
      </w:r>
      <w:r>
        <w:rPr>
          <w:b/>
          <w:noProof/>
        </w:rPr>
        <w:t xml:space="preserve"> </w:t>
      </w:r>
    </w:p>
    <w:p>
      <w:pPr>
        <w:rPr>
          <w:noProof/>
          <w:szCs w:val="24"/>
        </w:rPr>
      </w:pPr>
      <w:r>
        <w:rPr>
          <w:noProof/>
        </w:rPr>
        <w:t xml:space="preserve">Ladarba l-Istati Membri jippreżentaw l-applikazzjonijiet għal kontribuzzjoni finanzjarja sal-iskadenza unika tat-30 ta’ Settembru 2023, il-Kummissjoni se tivvaluta l-applikazzjonijiet f’pakkett, filwaqt li tiggarantixxi trattament ekwu tal-Istati Membri kollha u tiżgura konsistenza fl-evalwazzjoni. Il-Kummissjoni se teżamina b’mod partikolari l-eliġibbiltà u l-preċiżjoni tan-nefqa ddikjarata, ir-rabta tagħha ma’ tmiem il-perjodu ta’ tranżizzjoni u l-effetti ekonomiċi tagħha, u l-miżuri stabbiliti biex jiġi evitat finanzjament doppju kif ukoll id-dokumenti ta’ sostenn (ir-rapport ta’ implimentazzjoni, id-dikjarazzjoni ta’ ġestjoni u r-rapport tal-awditjar indipendenti). Fil-valutazzjoni tal-applikazzjonijiet għal kontribuzzjoni finanzjarja mir-Riżerva, il-Kummissjoni se tapprova l-prefinanzjament imħallas, u tirkupra l-ammonti mhux użati. Fejn in-nefqa aċċettata bħala eliġibbli taqbeż l-ammont imħallas fil-prefinanzjament u 0.06 % tal-ING nominali tal-2021, jistgħu jitħallsu ammonti addizzjonali mir-Riżerva biex jikkontribwixxu għall-ammonti eċċessivi, fil-limiti tar-riżorsi finanzjarji disponibbli. L-ammonti rkuprati jew riportati mill-prefinanzjament jistgħu jintużaw għar-rimborż ta’ nefqa addizzjonali mill-Istati Membri, sakemm ikun hemm domanda. </w:t>
      </w:r>
    </w:p>
    <w:p>
      <w:pPr>
        <w:rPr>
          <w:b/>
          <w:noProof/>
        </w:rPr>
      </w:pPr>
      <w:r>
        <w:rPr>
          <w:b/>
          <w:noProof/>
        </w:rPr>
        <w:t>Ġestjoni u kontroll</w:t>
      </w:r>
    </w:p>
    <w:p>
      <w:pPr>
        <w:rPr>
          <w:rFonts w:eastAsia="Calibri"/>
          <w:noProof/>
          <w:szCs w:val="24"/>
        </w:rPr>
      </w:pPr>
      <w:r>
        <w:rPr>
          <w:noProof/>
        </w:rPr>
        <w:t>Il-baġit allokat għar-Riżerva se jiġi implimentat taħt ġestjoni kondiviża mal-Istati Membri, li jiggarantixxi r-rispett sħiħ tal-prinċipji tal-ġestjoni finanzjarja tajba, it-trasparenza u n-nondiskriminazzjoni u n-nuqqas ta’ kunflitt ta’ interess. B’mod partikulari, l-Istati Membri se jkollhom jistabbilixxu sistema ta’ ġestjoni u kontroll u jaħtru korpi responsabbli għall-ġestjoni tar-Riżerva u korp indipendenti tal-awditjar. Ir-Regolament jistabbilixxi b’mod ċar ir-responsabbiltajiet għall-Istati Membri u sett minimu ta’ rekwiżiti għall-korpi responsabbli għall-ġestjoni, il-kontroll u l-awditjar tal-kontribuzzjoni finanzjarja taħt ir-Riżerva. L-Istati Membri jeħtieġ li jistabbilixxu sistemi li għandhom l-għan li jipprevjenu, jidentifikaw u jittrattaw b’mod effettiv kwalunkwe irregolarità, inkluż frodi.</w:t>
      </w:r>
    </w:p>
    <w:p>
      <w:pPr>
        <w:rPr>
          <w:rFonts w:eastAsia="Calibri"/>
          <w:noProof/>
          <w:szCs w:val="24"/>
        </w:rPr>
      </w:pPr>
      <w:r>
        <w:rPr>
          <w:noProof/>
        </w:rPr>
        <w:t xml:space="preserve">L-Istati Membri jeħtieġ li jinnotifikaw lill-Kummissjoni bl-identità tal-korpi maħtura u tal-korp li lilu għandu jitħallas il-prefinanzjament, u jikkonfermaw li d-deskrizzjonijiet tas-sistemi tfasslu fi żmien tliet xhur mid-dħul fis-seħħ ta’ dan ir-Regolament. </w:t>
      </w:r>
    </w:p>
    <w:p>
      <w:pPr>
        <w:rPr>
          <w:rFonts w:eastAsia="Calibri"/>
          <w:noProof/>
          <w:szCs w:val="24"/>
        </w:rPr>
      </w:pPr>
      <w:r>
        <w:rPr>
          <w:noProof/>
        </w:rPr>
        <w:t xml:space="preserve">Għal raġunijiet ta’ simplifikazzjoni, l-Istati Membri jistgħu jagħmlu użu mill-korpi u s-sistemi maħtura eżistenti stabbiliti għall-fini tal-ġestjoni u l-kontroll tal-finanzjament tal-politika ta’ koeżjoni jew tal-Fond ta’ Solidarjetà tal-Unjoni Ewropea. </w:t>
      </w:r>
    </w:p>
    <w:p>
      <w:pPr>
        <w:rPr>
          <w:noProof/>
        </w:rPr>
      </w:pPr>
      <w:r>
        <w:rPr>
          <w:noProof/>
        </w:rPr>
        <w:t xml:space="preserve">Il-Kummissjoni se tieħu azzjonijiet xierqa biex tiżgura li l-interessi finanzjarji tal-Unjoni jkunu protetti, inklużi korrezzjonijiet finanzjarji. 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2020/0380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jistabbilixxi r-Riżerva ta’ Aġġustament għall-Brexit.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rFonts w:eastAsia="Calibri"/>
          <w:noProof/>
          <w:szCs w:val="24"/>
        </w:rPr>
      </w:pPr>
      <w:r>
        <w:rPr>
          <w:noProof/>
        </w:rPr>
        <w:t>Wara li kkunsidraw it-Trattat dwar il-Funzjonament tal-Unjoni Ewropea, u b’mod partikolari t-tielet paragrafu tal-Artikolu 175 u l-Artikolu 322(1)(a) tiegħu,</w:t>
      </w:r>
    </w:p>
    <w:p>
      <w:pPr>
        <w:rPr>
          <w:rFonts w:eastAsia="Calibri"/>
          <w:noProof/>
          <w:szCs w:val="24"/>
        </w:rPr>
      </w:pPr>
      <w:r>
        <w:rPr>
          <w:noProof/>
        </w:rPr>
        <w:t>Wara li kkunsidraw il-proposta tal-Kummissjoni Ewropea,</w:t>
      </w:r>
    </w:p>
    <w:p>
      <w:pPr>
        <w:rPr>
          <w:rFonts w:eastAsia="Calibri"/>
          <w:noProof/>
          <w:szCs w:val="24"/>
        </w:rPr>
      </w:pPr>
      <w:r>
        <w:rPr>
          <w:noProof/>
        </w:rPr>
        <w:t>Wara t-trażmissjoni tal-abbozz tal-att leġiżlattiv lill-parlamenti nazzjonali,</w:t>
      </w:r>
    </w:p>
    <w:p>
      <w:pPr>
        <w:rPr>
          <w:rFonts w:eastAsia="Calibri"/>
          <w:noProof/>
          <w:szCs w:val="24"/>
        </w:rPr>
      </w:pPr>
      <w:r>
        <w:rPr>
          <w:noProof/>
        </w:rPr>
        <w:t>Wara li kkunsidraw l-opinjoni tal-Kumitat Ekonomiku u Soċjali Ewropew</w:t>
      </w:r>
      <w:r>
        <w:rPr>
          <w:rStyle w:val="FootnoteReference0"/>
          <w:rFonts w:eastAsia="Calibri"/>
          <w:noProof/>
          <w:szCs w:val="24"/>
        </w:rPr>
        <w:footnoteReference w:id="8"/>
      </w:r>
      <w:r>
        <w:rPr>
          <w:noProof/>
        </w:rPr>
        <w:t xml:space="preserve">, </w:t>
      </w:r>
    </w:p>
    <w:p>
      <w:pPr>
        <w:rPr>
          <w:rFonts w:eastAsia="Calibri"/>
          <w:noProof/>
          <w:szCs w:val="24"/>
        </w:rPr>
      </w:pPr>
      <w:r>
        <w:rPr>
          <w:noProof/>
        </w:rPr>
        <w:t>Wara li kkunsidraw l-opinjoni tal-Kumitat tar-Reġjuni</w:t>
      </w:r>
      <w:r>
        <w:rPr>
          <w:rStyle w:val="FootnoteReference0"/>
          <w:rFonts w:eastAsia="Calibri"/>
          <w:noProof/>
          <w:szCs w:val="24"/>
        </w:rPr>
        <w:footnoteReference w:id="9"/>
      </w:r>
      <w:r>
        <w:rPr>
          <w:noProof/>
        </w:rPr>
        <w:t xml:space="preserve">, </w:t>
      </w:r>
    </w:p>
    <w:p>
      <w:pPr>
        <w:rPr>
          <w:rFonts w:eastAsia="Calibri"/>
          <w:noProof/>
          <w:szCs w:val="24"/>
        </w:rPr>
      </w:pPr>
      <w:r>
        <w:rPr>
          <w:noProof/>
        </w:rPr>
        <w:t>Wara li kkunsidraw l-opinjoni tal-Qorti Ewropea tal-Awdituri</w:t>
      </w:r>
      <w:r>
        <w:rPr>
          <w:rStyle w:val="FootnoteReference0"/>
          <w:rFonts w:eastAsia="Calibri"/>
          <w:noProof/>
          <w:szCs w:val="24"/>
        </w:rPr>
        <w:footnoteReference w:id="10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rStyle w:val="num"/>
          <w:noProof/>
        </w:rPr>
        <w:t>Fl-1 ta’ Frar 2020,</w:t>
      </w:r>
      <w:r>
        <w:rPr>
          <w:noProof/>
        </w:rPr>
        <w:t xml:space="preserve"> ir-Renju Unit tal-Gran Brittanja u l-Irlanda ta' Fuq (“Ir-Renju Unit”) ħareġ mill-Unjoni Ewropea (“UE”) u mill-Komunità Ewropea tal-Enerġija Atomika (“Euratom”) – minn hawn ’il quddiem b’mod kollettiv imsejħin “l-Unjoni”, </w:t>
      </w:r>
      <w:r>
        <w:rPr>
          <w:rStyle w:val="num"/>
          <w:noProof/>
        </w:rPr>
        <w:t>u daħal f’perjodu ta’ tranżizzjoni. Dak il-perjodu ta’ żmien limitat sar qbil dwaru bħala parti mill-Ftehim dwar il-Ħruġ</w:t>
      </w:r>
      <w:r>
        <w:rPr>
          <w:rStyle w:val="FootnoteReference0"/>
          <w:noProof/>
        </w:rPr>
        <w:footnoteReference w:id="11"/>
      </w:r>
      <w:r>
        <w:rPr>
          <w:noProof/>
        </w:rPr>
        <w:t xml:space="preserve"> </w:t>
      </w:r>
      <w:r>
        <w:rPr>
          <w:rStyle w:val="num"/>
          <w:noProof/>
        </w:rPr>
        <w:t>u se jdum sal-31 ta’ Diċembru 2020. Matul il-perjodu ta’ tranżizzjoni, l-Unjoni u r-Renju Unit bdew negozjati formali dwar relazzjoni futura.</w:t>
      </w:r>
    </w:p>
    <w:p>
      <w:pPr>
        <w:pStyle w:val="ManualConsidrant"/>
        <w:rPr>
          <w:rStyle w:val="num"/>
          <w:noProof/>
        </w:rPr>
      </w:pPr>
      <w:r>
        <w:rPr>
          <w:rStyle w:val="num"/>
        </w:rPr>
        <w:t>(2)</w:t>
      </w:r>
      <w:r>
        <w:rPr>
          <w:rStyle w:val="num"/>
        </w:rPr>
        <w:tab/>
      </w:r>
      <w:r>
        <w:rPr>
          <w:noProof/>
        </w:rPr>
        <w:t>Wara tmiem il-perjodu ta’ tranżizzjoni, se jkunu preżenti ostakli għall-kummerċ u għall-iskambji transfruntiera bejn l-Unjoni u r-Renju Unit. Huma mistennija konsegwenzi wiesgħa u estensivi għan-negozji, iċ-ċittadini u l-amministrazzjonijiet pubbliċi. Dawk il-konsegwenzi ma jistgħux jiġu evitati u l-partijiet interessati jeħtieġ li jiżguraw li jkunu lesti għalihom.</w:t>
      </w:r>
    </w:p>
    <w:p>
      <w:pPr>
        <w:pStyle w:val="ManualConsidrant"/>
        <w:rPr>
          <w:rStyle w:val="num"/>
          <w:noProof/>
        </w:rPr>
      </w:pPr>
      <w:r>
        <w:rPr>
          <w:rStyle w:val="num"/>
        </w:rPr>
        <w:t>(3)</w:t>
      </w:r>
      <w:r>
        <w:rPr>
          <w:rStyle w:val="num"/>
        </w:rPr>
        <w:tab/>
      </w:r>
      <w:r>
        <w:rPr>
          <w:rStyle w:val="num"/>
          <w:noProof/>
        </w:rPr>
        <w:t>L-Unjoni hija impenjata li ttaffi l-impatt ekonomiku tal-ħruġ tar-Renju Unit mill-Unjoni u li turi solidarjetà mal-Istati Membri kollha, speċjalment dawk l-aktar affettwati f’ċirkostanzi eċċezzjonali bħal dawn.</w:t>
      </w:r>
    </w:p>
    <w:p>
      <w:pPr>
        <w:pStyle w:val="ManualConsidrant"/>
        <w:rPr>
          <w:rStyle w:val="num"/>
          <w:noProof/>
        </w:rPr>
      </w:pPr>
      <w:r>
        <w:rPr>
          <w:rStyle w:val="num"/>
        </w:rPr>
        <w:t>(4)</w:t>
      </w:r>
      <w:r>
        <w:rPr>
          <w:rStyle w:val="num"/>
        </w:rPr>
        <w:tab/>
      </w:r>
      <w:r>
        <w:rPr>
          <w:rStyle w:val="num"/>
          <w:noProof/>
        </w:rPr>
        <w:t>Jenħtieġ li tiġi stabbilita Riżerva ta’ Aġġustament għall-Brexit</w:t>
      </w:r>
      <w:r>
        <w:rPr>
          <w:noProof/>
        </w:rPr>
        <w:t xml:space="preserve"> (ir-Riżerva) biex tipprovdi appoġġ għal konsegwenzi negattivi fl-Istati Membri, fir-reġjuni u fis-setturi, b’mod partikolari dawk li huma l-aktar milquta mill-ħruġ tar-Renju Unit mill-Unjoni, bil-għan li jittaffa l-impatt tiegħu fuq il-koeżjoni ekonomika, soċjali u territorjali. </w:t>
      </w:r>
      <w:r>
        <w:rPr>
          <w:rStyle w:val="num"/>
          <w:noProof/>
        </w:rPr>
        <w:t xml:space="preserve">Jenħtieġ li tkopri kompletament jew parzjalment in-nefqa pubblika addizzjonali </w:t>
      </w:r>
      <w:r>
        <w:rPr>
          <w:rStyle w:val="num"/>
          <w:noProof/>
        </w:rPr>
        <w:lastRenderedPageBreak/>
        <w:t>mġarrba mill-Istati Membri għal miżuri speċifikament meħuda biex itaffu dawk il-konsegwenzi.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Għall-finijiet ta’ kontribuzzjoni għall-koeżjoni ekonomika, soċjali u territorjali, huwa xieraq li l-Istati Membri, meta jfasslu l-miżuri ta’ appoġġ, jiffokaw b’mod partikolari fuq ir-reġjuni, iż-żoni u l-komunitajiet lokali, inklużi dawk dipendenti fuq l-attivitajiet tas-sajd fl-ilmijiet tar-Renju Unit, li x’aktarx jintlaqtu l-aktar ħażin mill-ħruġ tar-Renju Unit. L-Istati Membri jista’ jkollhom jieħdu miżuri speċifiċi b’mod partikolari biex jappoġġaw lin-negozji u lis-setturi ekonomiċi affettwati b’mod negattiv mill-ħruġ. Għalhekk huwa xieraq li tiġi pprovduta lista mhux eżawrjenti tat-tip ta’ miżuri li huma l-aktar probabbli li jilħqu dan l-objettiv.</w:t>
      </w:r>
    </w:p>
    <w:p>
      <w:pPr>
        <w:pStyle w:val="ManualConsidrant"/>
        <w:rPr>
          <w:rStyle w:val="num"/>
          <w:noProof/>
        </w:rPr>
      </w:pPr>
      <w:r>
        <w:rPr>
          <w:rStyle w:val="num"/>
        </w:rPr>
        <w:t>(6)</w:t>
      </w:r>
      <w:r>
        <w:rPr>
          <w:rStyle w:val="num"/>
        </w:rPr>
        <w:tab/>
      </w:r>
      <w:r>
        <w:rPr>
          <w:noProof/>
        </w:rPr>
        <w:t xml:space="preserve">Fl-istess ħin, huwa importanti li jiġu speċifikati b’mod ċar kwalunkwe esklużjonijiet mill-appoġġ ipprovdut mir-Riżerva. </w:t>
      </w:r>
      <w:r>
        <w:rPr>
          <w:rStyle w:val="num"/>
          <w:noProof/>
        </w:rPr>
        <w:t>Jenħtieġ li r-Riżerva teskludi mill-appoġġ</w:t>
      </w:r>
      <w:r>
        <w:rPr>
          <w:noProof/>
        </w:rPr>
        <w:t xml:space="preserve"> it-taxxa fuq il-valur miżjud </w:t>
      </w:r>
      <w:r>
        <w:rPr>
          <w:rStyle w:val="num"/>
          <w:noProof/>
        </w:rPr>
        <w:t>peress li din tikkostitwixxi dħul ta’ Stat Membru, li jagħmel tajjeb għall-ispiża relatata għall-baġit tal-Istat Membru. Sabiex jiġi kkonċentrat l-użu ta’ riżorsi limitati bl-aktar mod effiċjenti, jenħtieġ li l-assistenza teknika użata mill-korpi responsabbli għall-implimentazzjoni tar-Riżerva ma tkunx eliġibbli għal appoġġ mir-Riżerva. F’konformità mal-approċċ ġenerali għall-politika ta’ koeżjoni, jenħtieġ li ma tkunx appoġġjata n-nefqa marbuta mar-rilokazzjonijiet jew li tmur kontra kwalunkwe liġi tal-Unjoni jew nazzjonali applikabbli.</w:t>
      </w:r>
    </w:p>
    <w:p>
      <w:pPr>
        <w:pStyle w:val="ManualConsidrant"/>
        <w:rPr>
          <w:rStyle w:val="num"/>
          <w:noProof/>
        </w:rPr>
      </w:pPr>
      <w:r>
        <w:rPr>
          <w:rStyle w:val="num"/>
        </w:rPr>
        <w:t>(7)</w:t>
      </w:r>
      <w:r>
        <w:rPr>
          <w:rStyle w:val="num"/>
        </w:rPr>
        <w:tab/>
      </w:r>
      <w:r>
        <w:rPr>
          <w:rStyle w:val="num"/>
          <w:noProof/>
        </w:rPr>
        <w:t xml:space="preserve">Sabiex jitqies l-impatt immedjat tal-konsegwenzi negattivi tal-ħruġ tar-Renju Unit mill-Unjoni fuq l-Istati Membri u l-ekonomiji tagħhom u l-ħtieġa li jiġu adottati miżuri ta’ mitigazzjoni, kif xieraq, qabel l-iskadenza tal-perjodu ta’ tranżizzjoni, il-perjodu ta’ eliġibbiltà għall-implimentazzjoni ta’ tali miżuri jenħtieġ li jibda mill-1 ta’ Lulju 2020 u jkun ikkonċentrat fuq perjodu limitat ta’ 30 xahar. </w:t>
      </w:r>
    </w:p>
    <w:p>
      <w:pPr>
        <w:pStyle w:val="ManualConsidrant"/>
        <w:rPr>
          <w:rStyle w:val="num"/>
          <w:noProof/>
        </w:rPr>
      </w:pPr>
      <w:r>
        <w:rPr>
          <w:rStyle w:val="num"/>
        </w:rPr>
        <w:t>(8)</w:t>
      </w:r>
      <w:r>
        <w:rPr>
          <w:rStyle w:val="num"/>
        </w:rPr>
        <w:tab/>
      </w:r>
      <w:r>
        <w:rPr>
          <w:noProof/>
        </w:rPr>
        <w:t>Għandu jiġi speċifikat li l-baġit allokat għar-Riżerva jenħtieġ li jiġi implimentat mill-Kummissjoni b’ġestjoni kondiviża mal-Istati Membri skont it-tifsira tar-Regolament (UE, Euratom) 2018/1046 tal-Parlament Ewropew u tal-Kunsill</w:t>
      </w:r>
      <w:r>
        <w:rPr>
          <w:rStyle w:val="FootnoteReference0"/>
          <w:noProof/>
        </w:rPr>
        <w:footnoteReference w:id="12"/>
      </w:r>
      <w:r>
        <w:rPr>
          <w:noProof/>
        </w:rPr>
        <w:t xml:space="preserve"> (ir-“Regolament Finanzjarju”). Għalhekk huwa xieraq li jiġu ddeterminati l-prinċipji u l-obbligi speċifiċi li l-Istati Membri jenħtieġ li jirrispettaw, b’mod partikolari l-prinċipji ta’ ġestjoni finanzjarja tajba, it-trasparenza u n-nondiskriminazzjoni u n-nuqqas ta’ kunflitt ta’ interess.</w:t>
      </w:r>
      <w:r>
        <w:rPr>
          <w:rStyle w:val="num"/>
          <w:noProof/>
        </w:rPr>
        <w:t xml:space="preserve"> 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Ir-regoli finanzjarji orizzontali adottati mill-Parlament Ewropew u mill-Kunsill fuq il-bażi tal-Artikolu 322 tat-Trattat dwar il-Funzjonament tal-Unjoni Ewropea (TFUE) japplikaw għal dan ir-Regolament. Dawn ir-regoli huma stabbiliti fir-Regolament Finanzjarju u jiddeterminaw b’mod partikolari l-proċedura għall-istabbiliment u l-implimentazzjoni tal-baġit, u jipprovdu kontrolli fuq ir-responsabbiltà tal-atturi finanzjarji. Ir-regoli adottati abbażi tal-Artikolu 322 TFUE jikkonċernaw ukoll ir-reġim ġenerali ta’ kundizzjonalità għall-protezzjoni tal-baġit tal-Unjoni.</w:t>
      </w:r>
      <w:r>
        <w:rPr>
          <w:i/>
          <w:noProof/>
        </w:rPr>
        <w:t xml:space="preserve">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Għall-fini ta’ ġestjoni finanzjarja tajba, jenħtieġ li jiġu stabbiliti regoli speċifiċi għal impenji baġitarji, pagamenti, riporti u l-irkupru tar-Riżerva. Filwaqt li jirrispetta l-prinċipju li l-baġit tal-Unjoni jiġi stabbilit kull sena, dan ir-Regolament jenħtieġ li jipprevedi possibbiltajiet ta’ riport ta’ fondi mhux użati lil hinn minn dawk stabbiliti fir-Regolament Finanzjarju, u b’hekk jimmassimizza l-kapaċità tar-Riżerva li tindirizza </w:t>
      </w:r>
      <w:r>
        <w:rPr>
          <w:rStyle w:val="num"/>
          <w:noProof/>
        </w:rPr>
        <w:t>l-konsegwenzi negattivi tal-ħruġ tar-Renju Unit mill-Unjoni fuq l-Istati Membri u l-ekonomiji tagħhom.</w:t>
      </w:r>
    </w:p>
    <w:p>
      <w:pPr>
        <w:pStyle w:val="ManualConsidrant"/>
        <w:rPr>
          <w:noProof/>
        </w:rPr>
      </w:pPr>
      <w:r>
        <w:lastRenderedPageBreak/>
        <w:t>(11)</w:t>
      </w:r>
      <w:r>
        <w:tab/>
      </w:r>
      <w:r>
        <w:rPr>
          <w:noProof/>
        </w:rPr>
        <w:t xml:space="preserve">Sabiex </w:t>
      </w:r>
      <w:r>
        <w:rPr>
          <w:noProof/>
          <w:shd w:val="clear" w:color="auto" w:fill="FFFFFF"/>
        </w:rPr>
        <w:t>l-Istati Membri jkunu jistgħu jużaw ir-riżorsi addizzjonali</w:t>
      </w:r>
      <w:r>
        <w:rPr>
          <w:noProof/>
        </w:rPr>
        <w:t xml:space="preserve"> u biex jiżguraw mezzi finanzjarji suffiċjenti biex jimplimentaw malajr il-miżuri taħt ir-Riżerva, fl-2021 jenħtieġ li jiġi żborżat ammont sostanzjali minnhom bħala prefinanzjament. Il-metodu ta’ distribuzzjoni jenħtieġ li jqis l-importanza tal-kummerċ mar-Renju Unit u l-importanza tas-sajd fiż-żona ekonomika esklussiva tar-Renju Unit, abbażi ta’ statistika affidabbli u uffiċjali. Minħabba n-natura unika tal-avveniment li jikkostitwixxi l-ħruġ tar-Renju Unit mill-Unjoni u l-inċertezza madwar aspetti ewlenin tar-relazzjoni bejn ir-Renju Unit u l-Unjoni wara l-iskadenza tal-perjodu ta’ tranżizzjoni, huwa diffiċli li jiġu antiċipati l-miżuri xierqa li l-Istati Membri se jkollhom jieħdu malajr biex jilqgħu għall-effetti tal-ħruġ. Huwa għalhekk meħtieġ li l-Istati Membri jingħataw flessibbiltà u b’mod partikolari li l-Kummissjoni titħalla tadotta d-deċiżjoni ta’ finanzjament li tipprovdi l-prefinanzjament mingħajr l-obbligu skont l-Artikolu 110(2) tar-Regolament Finanzjarju li tipprovdi deskrizzjoni tal-azzjonijiet konkreti li għandhom jiġu ffinanzjati. 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Qabel il-pagament tal-prefinanzjament, l-Istati Membri jeħtieġ li jinnotifikaw lill-Kummissjoni bl-identità tal-korpi maħtura u tal-korp li lilu għandu jitħallas il-prefinanzjament, u jikkonfermaw li d-deskrizzjonijiet tas-sistemi tfasslu fi żmien tliet xhur mid-dħul fis-seħħ ta’ dan ir-Regolament.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Sabiex jiġi żgurat trattament ugwali tal-Istati Membri kollha, jenħtieġ li jkun hemm skadenza waħda applikabbli għall-Istati Membri kollha għas-sottomissjoni tal-applikazzjonijiet għal kontribuzzjoni finanzjarja mir-Riżerva. In-natura speċifika tal-istrument u l-perjodu ta’ implimentazzjoni relattivament qasir jiġġustifikaw l-istabbiliment ta’ perjodu ta’ referenza mfassal apposta u jrendu sproporzjonat ir-rekwiżit għall-Istati Membri li jipprovdu d-dokumenti meħtieġa fil-paragrafi 5, 6 u 7 tal-Artikolu 63 tar-Regolament Finanzjarju, fuq bażi annwali. Peress li fl-istess ħin, ir-riskji għall-baġit tal-Unjoni huma mitigati mir-rekwiżit li tiġi stabbilita sistema solida ta’ ġestjoni u kontroll mill-Istati Membri, huwa ġġustifikat li ssir deroga mill-obbligu li jiġu ppreżentati d-dokumenti meħtieġa fi Frar jew Marzu ta’ kull sena. Sabiex il-Kummissjoni tkun tista’ tivverifika l-korrettezza tal-użu tal-kontribuzzjoni finanzjarja tar-Riżerva, jenħtieġ li l-Istati Membri jkunu obbligati wkoll jissottomettu, bħala parti mill-applikazzjoni, rapporti ta’ implimentazzjoni li jipprovdu aktar dettall dwar l-azzjonijiet iffinanzjati, dikjarazzjoni ta’ ġestjoni kif ukoll opinjoni ta’ korp indipendenti tal-awditjar, imfassla skont standards tal-awditjar aċċettati internazzjonalment.</w:t>
      </w:r>
    </w:p>
    <w:p>
      <w:pPr>
        <w:pStyle w:val="ManualConsidrant"/>
        <w:rPr>
          <w:noProof/>
          <w:sz w:val="22"/>
        </w:rPr>
      </w:pPr>
      <w:r>
        <w:t>(14)</w:t>
      </w:r>
      <w:r>
        <w:tab/>
      </w:r>
      <w:r>
        <w:rPr>
          <w:noProof/>
        </w:rPr>
        <w:t>Skont il-paragrafi 22 u 23 tal-Ftehim Interistituzzjonali dwar it-Tfassil Aħjar tal-Liġijiet tat-13 ta’ April 2016</w:t>
      </w:r>
      <w:r>
        <w:rPr>
          <w:rStyle w:val="FootnoteReference0"/>
          <w:noProof/>
        </w:rPr>
        <w:footnoteReference w:id="13"/>
      </w:r>
      <w:r>
        <w:rPr>
          <w:noProof/>
        </w:rPr>
        <w:t>, hemm ħtieġa għal evalwazzjoni tar-Riżerva abbażi tal-informazzjoni miġbura permezz ta’ rekwiżiti ta’ monitoraġġ speċifiċi, filwaqt li jiġu evitati r-regolamentazzjoni żejda u l-piżijiet amministrattivi, b’mod partikolari fuq l-Istati Membri. Fejn ikun xieraq, dawn ir-rekwiżiti jenħtieġ li jinkludu indikaturi kwantifikabbli, bħala bażi tal-evalwazzjoni tar-Riżerva.</w:t>
      </w:r>
      <w:r>
        <w:rPr>
          <w:rFonts w:ascii="Segoe UI" w:hAnsi="Segoe UI"/>
          <w:noProof/>
          <w:color w:val="000000"/>
          <w:sz w:val="20"/>
          <w:szCs w:val="20"/>
        </w:rPr>
        <w:t xml:space="preserve"> </w:t>
      </w:r>
    </w:p>
    <w:p>
      <w:pPr>
        <w:pStyle w:val="ManualConsidrant"/>
        <w:rPr>
          <w:rStyle w:val="num"/>
          <w:noProof/>
        </w:rPr>
      </w:pPr>
      <w:r>
        <w:rPr>
          <w:rStyle w:val="num"/>
        </w:rPr>
        <w:t>(15)</w:t>
      </w:r>
      <w:r>
        <w:rPr>
          <w:rStyle w:val="num"/>
        </w:rPr>
        <w:tab/>
      </w:r>
      <w:r>
        <w:rPr>
          <w:noProof/>
        </w:rPr>
        <w:t xml:space="preserve">Sabiex jiġi żgurat trattament ugwali tal-Istati Membri kollha u konsistenza fl-evalwazzjoni tal-applikazzjonijiet, il-Kummissjoni jenħtieġ li tivvaluta l-applikazzjonijiet f’pakkett. Jenħtieġ li tħares b’mod partikolari lejn l-eliġibbiltà u l-preċiżjoni tan-nefqa ddikjarata, ir-rabta diretta tan-nefqa mal-miżuri meħuda biex jiġu indirizzati l-konsegwenzi tal-ħruġ u l-miżuri stabbiliti mill-Istat Membru kkonċernat biex jiġi evitat finanzjament doppju. Wara l-valutazzjoni tal-applikazzjonijiet għal </w:t>
      </w:r>
      <w:r>
        <w:rPr>
          <w:noProof/>
        </w:rPr>
        <w:lastRenderedPageBreak/>
        <w:t>kontribuzzjoni finanzjarja mir-Riżerva, jenħtieġ li l-Kummissjoni tapprova l-prefinanzjament imħallas, u tirkupra l-ammonti mhux użati. Sabiex l-appoġġ jiġi kkonċentrat fuq l-Istati Membri l-aktar affettwati mill-ħruġ, fejn in-nefqa fl-Istat Membru kkonċernat, aċċettata bħala eliġibbli mill-Kummissjoni, taqbeż l-ammont imħallas bħala prefinanzjament u 0.06 % tal-Introjtu Nazzjonali Gross (ING) nominali għall-2021 tal-Istat Membru kkonċernat, jenħtieġ li jkun possibbli li tiġi permessa allokazzjoni ulterjuri mir-Riżerva għal dak l-Istat Membru fil-limiti tar-riżorsi finanzjarji disponibbli. Minħabba l-firxa tax-xokk ekonomiku mistenni, jenħtieġ li jsir provvediment għall-possibbiltà li jintużaw l-ammonti rkuprati mill-prefinanzjament għar-rimborż tan-nefqa addizzjonali mill-Istati Membri.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rStyle w:val="num"/>
          <w:noProof/>
        </w:rPr>
        <w:t xml:space="preserve">Sabiex jiġi żgurat il-funzjonament tajjeb tal-ġestjoni kondiviża, jenħtieġ li l-Istati Membri jistabbilixxu sistema ta’ ġestjoni u kontroll, jaħtru u jinnotifikaw lill-Kummissjoni dwar il-korpi responsabbli għall-ġestjoni tar-Riżerva kif ukoll dwar korp indipendenti tal-awditjar separat. Għal raġunijiet ta’ simplifikazzjoni, l-Istati Membri jistgħu jagħmlu użu mill-korpi u s-sistemi maħtura eżistenti stabbiliti għall-fini tal-ġestjoni u l-kontroll tal-finanzjament tal-politika ta’ koeżjoni jew tal-Fond ta’ Solidarjetà tal-Unjoni Ewropea. Jeħtieġ li jiġu speċifikati r-responsabbiltajiet tal-Istati Membri u li jiġu stabbiliti r-rekwiżiti speċifiċi għall-korpi maħtura. 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rStyle w:val="ilfuvd"/>
          <w:noProof/>
        </w:rPr>
        <w:t>Skont ir-Regolament Finanzjarju, ir-Regolament tal-Kunsill (KE, Euratom) Nru 2988/95</w:t>
      </w:r>
      <w:r>
        <w:rPr>
          <w:rStyle w:val="ilfuvd"/>
          <w:noProof/>
          <w:vertAlign w:val="superscript"/>
        </w:rPr>
        <w:footnoteReference w:id="14"/>
      </w:r>
      <w:r>
        <w:rPr>
          <w:rStyle w:val="ilfuvd"/>
          <w:noProof/>
        </w:rPr>
        <w:t>, ir-Regolament tal-Kunsill (Euratom, KE) Nru 2185/96</w:t>
      </w:r>
      <w:r>
        <w:rPr>
          <w:rStyle w:val="ilfuvd"/>
          <w:noProof/>
          <w:vertAlign w:val="superscript"/>
        </w:rPr>
        <w:footnoteReference w:id="15"/>
      </w:r>
      <w:r>
        <w:rPr>
          <w:rStyle w:val="ilfuvd"/>
          <w:noProof/>
        </w:rPr>
        <w:t xml:space="preserve"> u r-Regolament tal-Kunsill (UE) 2017/1939</w:t>
      </w:r>
      <w:r>
        <w:rPr>
          <w:rStyle w:val="ilfuvd"/>
          <w:noProof/>
          <w:vertAlign w:val="superscript"/>
        </w:rPr>
        <w:footnoteReference w:id="16"/>
      </w:r>
      <w:r>
        <w:rPr>
          <w:rStyle w:val="ilfuvd"/>
          <w:noProof/>
        </w:rPr>
        <w:t>, l-interessi finanzjarji tal-Unjoni jridu jiġu protetti permezz ta’ miżuri proporzjonati, inklużi l-prevenzjoni, l-identifikazzjoni, il-korrezzjoni u l-investigazzjoni ta’ irregolaritajiet u ta’ frodi, l-irkupru ta’ fondi mitlufa, imħallsa bi żball jew li ntużaw b’mod mhux korrett u, fejn ikun xieraq, l-impożizzjoni ta’ sanzjonijiet amministrattivi. B’mod partikolari, skont ir-Regolament (UE, Euratom) Nru 883/2013 tal-Parlament Ewropew u tal-Kunsill</w:t>
      </w:r>
      <w:r>
        <w:rPr>
          <w:rStyle w:val="FootnoteReference0"/>
          <w:noProof/>
        </w:rPr>
        <w:footnoteReference w:id="17"/>
      </w:r>
      <w:r>
        <w:rPr>
          <w:noProof/>
        </w:rPr>
        <w:t xml:space="preserve"> </w:t>
      </w:r>
      <w:r>
        <w:rPr>
          <w:rStyle w:val="ilfuvd"/>
          <w:noProof/>
        </w:rPr>
        <w:t>u r-Regolament (Euratom, KE) Nru 2185/96, l-Uffiċċju Ewropew Kontra l-Frodi (OLAF) jista’ jwettaq investigazzjonijiet amministrativi, inklużi verifiki u spezzjonijiet fuq il-post, bil-ħsieb li jistabbilixxi jekk kienx hemm frodi, korruzzjoni jew kwalunkwe attività illegali oħra li taffettwa l-interessi finanzjarji tal-Unjoni. F’konformità mar-Regolament (UE) 2017/1939, l-Uffiċċju tal-Prosekutur Pubbliku Ewropew (UPPE) jista’ jinvestiga u jressaq każijiet ta’ frodi u reati kriminali oħrajn li jaffettwaw l-interessi finanzjarji tal-Unjoni, kif previst fid-Direttiva (UE) 2017/1371 tal-Parlament Ewropew u tal-Kunsill</w:t>
      </w:r>
      <w:r>
        <w:rPr>
          <w:rStyle w:val="ilfuvd"/>
          <w:noProof/>
          <w:vertAlign w:val="superscript"/>
        </w:rPr>
        <w:footnoteReference w:id="18"/>
      </w:r>
      <w:r>
        <w:rPr>
          <w:rStyle w:val="ilfuvd"/>
          <w:noProof/>
        </w:rPr>
        <w:t xml:space="preserve">. Skont ir-Regolament Finanzjarju, kwalunkwe persuna jew entità li tirċievi fondi tal-Unjoni trid tikkoopera bis-sħiħ fil-protezzjoni tal-interessi finanzjarji tal-Unjoni, tagħti d-drittijiet u l-aċċess meħtieġa lill-Kummissjoni, lill-OLAF, lill-UPPE u </w:t>
      </w:r>
      <w:r>
        <w:rPr>
          <w:rStyle w:val="ilfuvd"/>
          <w:noProof/>
        </w:rPr>
        <w:lastRenderedPageBreak/>
        <w:t>lill-Qorti Ewropea tal-Awdituri u tiżgura li kwalunkwe parti terza involuta fl-implimentazzjoni tal-fondi tal-Unjoni tagħti drittijiet ekwivalenti.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rStyle w:val="num"/>
          <w:noProof/>
        </w:rPr>
        <w:t>Jenħtieġ li l-Istati Membri jqajmu kuxjenza dwar il-kontribuzzjoni tal-Unjoni mir-Riżerva u jinfurmaw lill-pubbliku kif xieraq peress li l-attivitajiet ta’ trasparenza, komunikazzjoni u viżibbiltà huma essenzjali biex l-azzjoni tal-Unjoni ssir viżibbli fuq il-post. Dawk l-attivitajiet jenħtieġ li jkunu bbażati fuq informazzjoni preċiża u aġġornata.</w:t>
      </w:r>
    </w:p>
    <w:p>
      <w:pPr>
        <w:pStyle w:val="ManualConsidrant"/>
        <w:rPr>
          <w:rStyle w:val="num"/>
          <w:noProof/>
        </w:rPr>
      </w:pPr>
      <w:r>
        <w:rPr>
          <w:rStyle w:val="num"/>
        </w:rPr>
        <w:t>(19)</w:t>
      </w:r>
      <w:r>
        <w:rPr>
          <w:rStyle w:val="num"/>
        </w:rPr>
        <w:tab/>
      </w:r>
      <w:r>
        <w:rPr>
          <w:noProof/>
        </w:rPr>
        <w:t>Sabiex tissaħħaħ it-trasparenza dwar l-użu tal-kontribuzzjoni tal-Unjoni, jenħtieġ li l-Kummissjoni tipprovdi rapport finali lill-Parlament Ewropew u lill-Kunsill dwar l-implimentazzjoni tar-Riżerva.</w:t>
      </w:r>
      <w:r>
        <w:rPr>
          <w:rStyle w:val="num"/>
          <w:noProof/>
        </w:rPr>
        <w:t xml:space="preserve"> 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Sabiex jiġu żgurati kundizzjonijiet uniformi għall-istabbiliment tar-riżorsi finanzjarji disponibbli għal kull Stat Membru, jenħtieġ li l-Kummissjoni tingħata setgħat ta’ implimentazzjoni.</w:t>
      </w:r>
    </w:p>
    <w:p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>Il-Kontrollur Ewropew għall-Protezzjoni tad-</w:t>
      </w:r>
      <w:r>
        <w:rPr>
          <w:i/>
          <w:iCs/>
          <w:noProof/>
        </w:rPr>
        <w:t xml:space="preserve">Data </w:t>
      </w:r>
      <w:r>
        <w:rPr>
          <w:noProof/>
        </w:rPr>
        <w:t>ġie kkonsultat skont l-Artikolu 42 tar-Regolament (UE) 2018/1725 tal-Parlament Ewropew u tal-Kunsill</w:t>
      </w:r>
      <w:r>
        <w:rPr>
          <w:rStyle w:val="FootnoteReference0"/>
          <w:noProof/>
        </w:rPr>
        <w:footnoteReference w:id="19"/>
      </w:r>
      <w:r>
        <w:rPr>
          <w:noProof/>
        </w:rPr>
        <w:t xml:space="preserve"> u ta l-opinjoni tiegħu fi […</w:t>
      </w:r>
      <w:r>
        <w:rPr>
          <w:rStyle w:val="FootnoteReference0"/>
          <w:noProof/>
        </w:rPr>
        <w:footnoteReference w:id="20"/>
      </w:r>
      <w:r>
        <w:rPr>
          <w:noProof/>
        </w:rPr>
        <w:t>].</w:t>
      </w:r>
    </w:p>
    <w:p>
      <w:pPr>
        <w:pStyle w:val="ManualConsidrant"/>
        <w:rPr>
          <w:noProof/>
        </w:rPr>
      </w:pPr>
      <w:r>
        <w:t>(22)</w:t>
      </w:r>
      <w:r>
        <w:tab/>
      </w:r>
      <w:r>
        <w:rPr>
          <w:rStyle w:val="num"/>
          <w:noProof/>
        </w:rPr>
        <w:t>L-objettivi ta’ dan ir-Regolament huma li tinżamm il-koeżjoni ekonomika, soċjali u territorjali u li tiġi pprovduta għodda ta’ solidarjetà għall-Istati Membri meta jittrattaw l-effetti tal-ħruġ tar-Renju Unit mill-Unjoni li jaffettwaw lill-Unjoni kollha kemm hi għalkemm b’severità differenti fost ir-reġjuni u s-setturi. Dawn l-għanijiet ma jistgħux jintlaħqu b’mod suffiċjenti mill-Istati Membri, u għaldaqstant, minħabba l-iskala u l-effetti ta’ dan ir-Regolament, jistgħu jintlaħqu aħjar fil-livell tal-Unjoni. B’hekk, l-Unjoni tista’ tadotta miżuri, skont il-prinċipju ta’ sussidjarjetà kif stabbilit fl-Artikolu 5 tat-Trattat dwar l-Unjoni Ewropea. Skont il-prinċipju tal-proporzjonalità, kif stabbilit fl-istess Artikolu, dan ir-Regolament ma jmurx lil hinn minn dak li hu meħtieġ biex jintlaħaq dak l-objettiv.</w:t>
      </w:r>
    </w:p>
    <w:p>
      <w:pPr>
        <w:pStyle w:val="ManualConsidrant"/>
        <w:rPr>
          <w:noProof/>
        </w:rPr>
      </w:pPr>
      <w:r>
        <w:t>(23)</w:t>
      </w:r>
      <w:r>
        <w:tab/>
      </w:r>
      <w:r>
        <w:rPr>
          <w:rStyle w:val="num"/>
          <w:noProof/>
        </w:rPr>
        <w:t>Sabiex tkun tista’ ssir applikazzjoni fil-pront tal-miżuri previsti, jenħtieġ li dan ir-Regolament jidħol fis-seħħ b’urġenza</w:t>
      </w:r>
      <w:r>
        <w:rPr>
          <w:noProof/>
        </w:rPr>
        <w:t>,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ChapterTitle"/>
        <w:rPr>
          <w:noProof/>
        </w:rPr>
      </w:pPr>
      <w:r>
        <w:rPr>
          <w:noProof/>
        </w:rPr>
        <w:t xml:space="preserve">KAPITOLU I </w:t>
      </w:r>
      <w:r>
        <w:rPr>
          <w:noProof/>
        </w:rPr>
        <w:br/>
        <w:t>Dispożizzjonijiet ġenerali</w:t>
      </w:r>
    </w:p>
    <w:p>
      <w:pPr>
        <w:pStyle w:val="Titrearticle"/>
        <w:rPr>
          <w:rFonts w:eastAsia="Calibri"/>
          <w:b/>
          <w:noProof/>
        </w:rPr>
      </w:pPr>
      <w:r>
        <w:rPr>
          <w:noProof/>
        </w:rPr>
        <w:t xml:space="preserve">Artikolu 1 </w:t>
      </w:r>
      <w:r>
        <w:rPr>
          <w:noProof/>
        </w:rPr>
        <w:br/>
      </w:r>
      <w:r>
        <w:rPr>
          <w:b/>
          <w:i w:val="0"/>
          <w:noProof/>
        </w:rPr>
        <w:t xml:space="preserve">Suġġett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Dan ir-Regolament jistabbilixxi r-Riżerva ta’ Aġġustament għall-Brexit (ir- “Riżerva”).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Huwa jistabbilixxi l-objettivi tar-Riżerva, ir-riżorsi tagħha, il-forom ta’ finanzjament tal-Unjoni u r-regoli għall-implimentazzjoni tar-Riżerva, inkluż għall-eliġibbiltà tan-nefqa, għall-ġestjoni u l-kontroll, u l-ġestjoni finanzjarja. 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 xml:space="preserve">Artikolu 2 </w:t>
      </w:r>
      <w:r>
        <w:rPr>
          <w:noProof/>
        </w:rPr>
        <w:br/>
      </w:r>
      <w:r>
        <w:rPr>
          <w:b/>
          <w:i w:val="0"/>
          <w:noProof/>
        </w:rPr>
        <w:t>Definizzjonijiet</w:t>
      </w:r>
    </w:p>
    <w:p>
      <w:pPr>
        <w:rPr>
          <w:noProof/>
          <w:szCs w:val="24"/>
        </w:rPr>
      </w:pPr>
      <w:r>
        <w:rPr>
          <w:noProof/>
        </w:rPr>
        <w:t>Għall-finijiet ta’ dan ir-Regolament, għandhom japplikaw id-definizzjonijiet li ġejjin: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 xml:space="preserve">“perjodu ta’ referenza” tfisser il-perjodu ta’ referenza msemmi fl-Artikolu 63(5), il-punt (a), tar-Regolament Finanzjarju, li għandu jkun mill-1 ta’ Lulju 2020 sal-31 ta’ Diċembru 2022; 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“liġi applikabbli” tfisser il-liġi tal-Unjoni u l-liġi nazzjonali relatata mal-applikazzjoni tagħha;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“irregolarità” tfisser kull ksur tal-liġi tal-Unjoni jew ta' liġi nazzjonali relatata mal-applikazzjoni tagħha, li jirriżulta minn att jew ommissjoni minn kwalunkwe entità pubblika jew privata involuta fl-implimentazzjoni tar-Riżerva, inklużi l-awtoritajiet tal-Istati Membri, li jkollu, jew jista' jkollu, l-effett li jippreġudika l-baġit tal-Unjoni billi jitlob pagament għal element mhux ġustifikat ta' nefqa mill-baġit tal-Unjoni;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“rata ta’ żball totali” tfisser l-iżbalji totali identifikati fil-kampjun diviżi bil-popolazzjoni tal-awditjar;</w:t>
      </w:r>
    </w:p>
    <w:p>
      <w:pPr>
        <w:pStyle w:val="Point0"/>
        <w:rPr>
          <w:noProof/>
        </w:rPr>
      </w:pPr>
      <w:r>
        <w:t>(5)</w:t>
      </w:r>
      <w:r>
        <w:tab/>
      </w:r>
      <w:r>
        <w:rPr>
          <w:noProof/>
        </w:rPr>
        <w:t>“rata ta’ żbalji residwi” tfisser ir-rata ta’ żball totali wara li jitnaqqsu l-korrezzjonijiet finanzjarji applikati mill-Istat Membru li jkunu intiżi biex inaqqsu r-riskji identifikati mill-korp tal-awditjar indipendenti fl-awditi tiegħu tal-miżuri ffinanzjati, diviża bin-nefqa li trid tiġi koperta mill-kontribuzzjoni finanzjarja mir-Riżerva;</w:t>
      </w:r>
    </w:p>
    <w:p>
      <w:pPr>
        <w:pStyle w:val="Point0"/>
        <w:rPr>
          <w:noProof/>
        </w:rPr>
      </w:pPr>
      <w:r>
        <w:t>(6)</w:t>
      </w:r>
      <w:r>
        <w:tab/>
      </w:r>
      <w:r>
        <w:rPr>
          <w:noProof/>
        </w:rPr>
        <w:t>“Rilokazzjoni” tfisser trasferiment tal-istess attività jew attività simili jew parti minnha skont it-tifsira tal-Artikolu 2(61a) tar-Regolament tal-Kummissjoni (UE) Nru 651/2014</w:t>
      </w:r>
      <w:r>
        <w:rPr>
          <w:rStyle w:val="FootnoteReference0"/>
          <w:noProof/>
        </w:rPr>
        <w:footnoteReference w:id="21"/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 xml:space="preserve">Artikolu 3 </w:t>
      </w:r>
      <w:r>
        <w:rPr>
          <w:noProof/>
        </w:rPr>
        <w:br/>
      </w:r>
      <w:r>
        <w:rPr>
          <w:b/>
          <w:i w:val="0"/>
          <w:noProof/>
        </w:rPr>
        <w:t>Objettivi</w:t>
      </w:r>
    </w:p>
    <w:p>
      <w:pPr>
        <w:rPr>
          <w:noProof/>
        </w:rPr>
      </w:pPr>
      <w:r>
        <w:rPr>
          <w:noProof/>
        </w:rPr>
        <w:t>Ir-Riżerva għandha tipprovdi appoġġ biex jiġu miġġielda l-konsegwenzi negattivi tal-ħruġ tar-Renju Unit mill-Unjoni fl-Istati Membri, fir-reġjuni u fis-setturi, b’mod partikolari dawk li huma l-aktar milquta minn dak il-ħruġ, u biex jittaffa l-impatt relatat fuq il-koeżjoni ekonomika, soċjali u territorjali.</w:t>
      </w:r>
    </w:p>
    <w:p>
      <w:pPr>
        <w:pStyle w:val="Titrearticle"/>
        <w:rPr>
          <w:noProof/>
        </w:rPr>
      </w:pPr>
      <w:r>
        <w:rPr>
          <w:noProof/>
        </w:rPr>
        <w:t xml:space="preserve">Artikolu 4 </w:t>
      </w:r>
      <w:r>
        <w:rPr>
          <w:noProof/>
        </w:rPr>
        <w:br/>
      </w:r>
      <w:r>
        <w:rPr>
          <w:b/>
          <w:i w:val="0"/>
          <w:noProof/>
        </w:rPr>
        <w:t>Kopertura ġeografika u riżorsi għar-Riżerva</w:t>
      </w:r>
      <w:r>
        <w:rPr>
          <w:noProof/>
        </w:rPr>
        <w:t xml:space="preserve">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kollha għandhom ikunu eliġibbli għall-appoġġ mir-Riżerva .</w:t>
      </w:r>
    </w:p>
    <w:p>
      <w:pPr>
        <w:pStyle w:val="ManualNumPar1"/>
        <w:rPr>
          <w:b/>
          <w:bCs/>
          <w:noProof/>
        </w:rPr>
      </w:pPr>
      <w:r>
        <w:rPr>
          <w:noProof/>
        </w:rPr>
        <w:t>2.</w:t>
      </w:r>
      <w:r>
        <w:rPr>
          <w:noProof/>
        </w:rPr>
        <w:tab/>
        <w:t>Ir-riżorsi massimi għar-Riżerva għandhom ikunu ta’ EUR 5 370 994 000 fi prezzijiet attwali.</w:t>
      </w:r>
      <w:r>
        <w:rPr>
          <w:b/>
          <w:bCs/>
          <w:noProof/>
        </w:rPr>
        <w:t xml:space="preserve"> 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Ir-riżorsi msemmija fil-paragrafu 2 għandhom jiġu allokati kif ġej: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ammont ta’ prefinanzjament ta’ EUR 4 244 832 000 għandu jkun disponibbli fl-2021 f’konformità mal-Artikolu 8;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 xml:space="preserve">ammonti addizzjonali ta’ EUR 1 126 162 000 għandhom ikunu disponibbli fl-2024 f’konformità mal-Artikolu 11. </w:t>
      </w:r>
    </w:p>
    <w:p>
      <w:pPr>
        <w:pStyle w:val="Text1"/>
        <w:rPr>
          <w:noProof/>
        </w:rPr>
      </w:pPr>
      <w:r>
        <w:rPr>
          <w:noProof/>
        </w:rPr>
        <w:lastRenderedPageBreak/>
        <w:t>L-ammonti msemmija fil-punt (a) tal-ewwel subparagrafu ta’ dan il-paragrafu għandhom jitqiesu bħala prefinanzjament fis-sens tal-Artikolu 115(2), il-punt (b)(i), tar-Regolament Finanzjarju.</w:t>
      </w:r>
    </w:p>
    <w:p>
      <w:pPr>
        <w:pStyle w:val="ChapterTitle"/>
        <w:rPr>
          <w:noProof/>
        </w:rPr>
      </w:pPr>
      <w:r>
        <w:rPr>
          <w:noProof/>
        </w:rPr>
        <w:t xml:space="preserve">Kapitolu II </w:t>
      </w:r>
      <w:r>
        <w:rPr>
          <w:noProof/>
        </w:rPr>
        <w:br/>
        <w:t>Eliġibbiltà</w:t>
      </w:r>
    </w:p>
    <w:p>
      <w:pPr>
        <w:pStyle w:val="Titrearticle"/>
        <w:rPr>
          <w:noProof/>
        </w:rPr>
      </w:pPr>
      <w:r>
        <w:rPr>
          <w:noProof/>
        </w:rPr>
        <w:t xml:space="preserve">Artikolu 5 </w:t>
      </w:r>
      <w:r>
        <w:rPr>
          <w:noProof/>
        </w:rPr>
        <w:br/>
      </w:r>
      <w:r>
        <w:rPr>
          <w:b/>
          <w:i w:val="0"/>
          <w:noProof/>
        </w:rPr>
        <w:t>Eliġibbiltà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Il-kontribuzzjoni finanzjarja mir-Riżerva għandha tappoġġa biss in-nefqa pubblika marbuta direttament ma’ miżuri meħuda speċifikament mill-Istati Membri biex jikkontribwixxu għall-objettivi msemmija fl-Artikolu 3, u tista’ tkopri, b’mod partikolari dan li ġej: 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miżuri li jgħinu n-negozji u l-komunitajiet lokali milquta ħażin mill-ħruġ;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miżuri li jappoġġaw l-aktar setturi ekonomiċi milquta;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miżuri li jappoġġaw in-negozji u l-komunitajiet lokali dipendenti fuq l-attivitajiet tas-sajd fl-ilmijiet tar-Renju Unit;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miżuri li jappoġġaw l-impjiegi, inkluż permezz ta’ skemi ta’ xogħol b’ħinijiet iqsar, taħriġ mill-ġdid u taħriġ fis-setturi milquta;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>miżuri li jiżguraw il-funzjonament tal-kontrolli tal-fruntieri, doganali, sanitarji u fitosanitarji, tas-sigurtà u tas-sajd, kif ukoll il-ġbir ta’ tassazzjoni indiretta inkluż persunal u infrastruttura addizzjonali;</w:t>
      </w:r>
    </w:p>
    <w:p>
      <w:pPr>
        <w:pStyle w:val="Point1"/>
        <w:rPr>
          <w:noProof/>
        </w:rPr>
      </w:pPr>
      <w:r>
        <w:t>(f)</w:t>
      </w:r>
      <w:r>
        <w:tab/>
      </w:r>
      <w:r>
        <w:rPr>
          <w:noProof/>
        </w:rPr>
        <w:t>miżuri biex jiffaċilitaw ir-reġimi għaċ-ċertifikazzjoni u l-awtorizzazzjoni ta’ prodotti, biex jassistu fl-ilħuq tar-rekwiżiti ta’ stabbiliment, biex jiffaċilitaw it-tikkettar u l-immarkar, pereżempju għal standards tas-sikurezza, tas-saħħa u ambjentali, kif ukoll biex jassistu fir-rikonoxximent reċiproku;</w:t>
      </w:r>
    </w:p>
    <w:p>
      <w:pPr>
        <w:pStyle w:val="Point1"/>
        <w:rPr>
          <w:noProof/>
        </w:rPr>
      </w:pPr>
      <w:r>
        <w:t>(g)</w:t>
      </w:r>
      <w:r>
        <w:tab/>
      </w:r>
      <w:r>
        <w:rPr>
          <w:noProof/>
        </w:rPr>
        <w:t>miżuri għall-komunikazzjoni, l-informazzjoni u s-sensibilizzazzjoni taċ-ċittadini u n-negozji dwar il-bidliet li jirriżultaw mill-ħruġ fuq id-drittijiet u l-obbligi tagħhom.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In-nefqa għandha tkun eliġibbli jekk issir u titħallas matul il-perjodu ta’ referenza għall-miżuri mwettqa fl-Istat Membru kkonċernat jew għall-benefiċċju tal-Istat Membru kkonċernat. 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Meta jfasslu l-miżuri ta’ appoġġ, l-Istati Membri għandhom iqisu l-impatt varjat tal-ħruġ tar-Renju Unit mill-Unjoni fuq reġjuni u komunitajiet lokali differenti u jiffukaw l-appoġġ mir-Riżerva fuq dawk l-aktar milquta, kif xieraq.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Il-miżuri msemmija fil-paragrafu 1 għandhom jikkonformaw mal-liġi applikabbli. 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Miżuri eliġibbli skont il-paragrafu 1 jistgħu jirċievu appoġġ minn programmi u strumenti oħrajn tal-Unjoni sakemm dak l-appoġġ ma jkunx ikopri l-istess kost.</w:t>
      </w:r>
    </w:p>
    <w:p>
      <w:pPr>
        <w:pStyle w:val="ManualNumPar1"/>
        <w:rPr>
          <w:noProof/>
          <w:szCs w:val="24"/>
        </w:rPr>
      </w:pPr>
      <w:r>
        <w:rPr>
          <w:noProof/>
        </w:rPr>
        <w:t xml:space="preserve">6. </w:t>
      </w:r>
      <w:r>
        <w:rPr>
          <w:noProof/>
        </w:rPr>
        <w:tab/>
        <w:t xml:space="preserve">L-Istat Membru għandu jħallas lura l-kontribuzzjoni mir-Riżerva għal azzjoni li tkun tikkonsisti f’investiment fl-infrastruttura jew investiment produttiv, jekk fi żmien ħames snin mill-pagament finali lir-riċeventi tal-kontribuzzjoni finanzjarja jew fil-perjodu ta’ żmien stabbilit fir-regoli tal-għajnuna mill-Istat, meta jkun applikabbli, din l-operazzjoni tkun soġġetta għal kwalunkwe waħda minn dawn li ġejjin: </w:t>
      </w:r>
    </w:p>
    <w:p>
      <w:pPr>
        <w:pStyle w:val="Point1"/>
        <w:rPr>
          <w:noProof/>
        </w:rPr>
      </w:pPr>
      <w:r>
        <w:lastRenderedPageBreak/>
        <w:t>(a)</w:t>
      </w:r>
      <w:r>
        <w:tab/>
      </w:r>
      <w:r>
        <w:rPr>
          <w:noProof/>
        </w:rPr>
        <w:t>waqfien jew trasferiment ta’ attività produttiva barra mill-Istat Membru fejn tkun irċeviet l-appoġġ;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 xml:space="preserve">bidla tas-sjieda ta’ oġġett infrastrutturali li tagħti vantaġġ indebitu lil impriża jew lil korp pubbliku; 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 xml:space="preserve">bidla sostanzjali li taffettwa n-natura, l-objettivi jew il-kundizzjonijiet tal-implimentazzjoni tagħha, li jirriżulta fl-imminar tal-objettivi oriġinali tagħha. </w:t>
      </w:r>
    </w:p>
    <w:p>
      <w:pPr>
        <w:pStyle w:val="Text1"/>
        <w:rPr>
          <w:noProof/>
        </w:rPr>
      </w:pPr>
      <w:r>
        <w:rPr>
          <w:noProof/>
        </w:rPr>
        <w:t xml:space="preserve">L-Istati Membri jistgħu jnaqqsu l-limiti ta’ żmien stabbiliti fl-ewwel subparagrafu għal tliet snin f’dawk il-każijiet li jikkonċernaw iż-żamma ta’ investimenti jew impjiegi maħluqin minn intrapriżi żgħar u ta’ daqs medju. </w:t>
      </w:r>
    </w:p>
    <w:p>
      <w:pPr>
        <w:pStyle w:val="Text1"/>
        <w:rPr>
          <w:noProof/>
        </w:rPr>
      </w:pPr>
      <w:r>
        <w:rPr>
          <w:noProof/>
        </w:rPr>
        <w:t xml:space="preserve">Dan il-paragrafu ma għandu japplika għal ebda azzjoni li tgħaddi minn waqfien ta’ attività produttiva minħabba falliment mhux frawdolenti. </w:t>
      </w:r>
    </w:p>
    <w:p>
      <w:pPr>
        <w:pStyle w:val="Titrearticle"/>
        <w:rPr>
          <w:noProof/>
        </w:rPr>
      </w:pPr>
      <w:r>
        <w:rPr>
          <w:noProof/>
        </w:rPr>
        <w:t xml:space="preserve">Artikolu 6 </w:t>
      </w:r>
      <w:r>
        <w:rPr>
          <w:noProof/>
        </w:rPr>
        <w:br/>
      </w:r>
      <w:r>
        <w:rPr>
          <w:b/>
          <w:i w:val="0"/>
          <w:noProof/>
        </w:rPr>
        <w:t>Esklużjoni mill-appoġġ</w:t>
      </w:r>
    </w:p>
    <w:p>
      <w:pPr>
        <w:rPr>
          <w:noProof/>
          <w:szCs w:val="24"/>
        </w:rPr>
      </w:pPr>
      <w:r>
        <w:rPr>
          <w:noProof/>
        </w:rPr>
        <w:t>Ir-Riżerva ma għandhiex tappoġġa:</w:t>
      </w:r>
    </w:p>
    <w:p>
      <w:pPr>
        <w:pStyle w:val="Point0"/>
        <w:rPr>
          <w:noProof/>
        </w:rPr>
      </w:pPr>
      <w:r>
        <w:t>(a)</w:t>
      </w:r>
      <w:r>
        <w:tab/>
      </w:r>
      <w:r>
        <w:rPr>
          <w:noProof/>
        </w:rPr>
        <w:t>it-taxxa fuq il-valur miżjud;</w:t>
      </w:r>
    </w:p>
    <w:p>
      <w:pPr>
        <w:pStyle w:val="Point0"/>
        <w:rPr>
          <w:noProof/>
        </w:rPr>
      </w:pPr>
      <w:r>
        <w:t>(b)</w:t>
      </w:r>
      <w:r>
        <w:tab/>
      </w:r>
      <w:r>
        <w:rPr>
          <w:noProof/>
        </w:rPr>
        <w:t xml:space="preserve">l-assistenza teknika għall-ġestjoni, il-monitoraġġ, l-informazzjoni u l-komunikazzjoni, ir-riżoluzzjoni tal-ilmenti, u l-kontroll u l-awditjar tar-Riżerva; </w:t>
      </w:r>
    </w:p>
    <w:p>
      <w:pPr>
        <w:pStyle w:val="Point0"/>
        <w:rPr>
          <w:noProof/>
        </w:rPr>
      </w:pPr>
      <w:r>
        <w:t>(c)</w:t>
      </w:r>
      <w:r>
        <w:tab/>
      </w:r>
      <w:r>
        <w:rPr>
          <w:noProof/>
        </w:rPr>
        <w:t xml:space="preserve">nefqa li tappoġġa r-rilokazzjoni kif definita fl-Artikolu 2(6); </w:t>
      </w:r>
    </w:p>
    <w:p>
      <w:pPr>
        <w:pStyle w:val="Point0"/>
        <w:rPr>
          <w:noProof/>
        </w:rPr>
      </w:pPr>
      <w:r>
        <w:t>(d)</w:t>
      </w:r>
      <w:r>
        <w:tab/>
      </w:r>
      <w:r>
        <w:rPr>
          <w:noProof/>
        </w:rPr>
        <w:t xml:space="preserve">nefqa li tappoġġa r-rilokazzjoni f’konformità mal-Artikolu 14(16) tar-Regolament tal-Kummissjoni (UE) Nru 651/2014, meta kontribuzzjoni mir-Riżerva tkun tikkostitwixxi għajnuna mill-Istat. </w:t>
      </w:r>
    </w:p>
    <w:p>
      <w:pPr>
        <w:pStyle w:val="ChapterTitle"/>
        <w:rPr>
          <w:noProof/>
        </w:rPr>
      </w:pPr>
      <w:r>
        <w:rPr>
          <w:noProof/>
        </w:rPr>
        <w:t xml:space="preserve">Kapitolu III </w:t>
      </w:r>
      <w:r>
        <w:rPr>
          <w:noProof/>
        </w:rPr>
        <w:br/>
        <w:t>Ġestjoni finanzjarja</w:t>
      </w:r>
    </w:p>
    <w:p>
      <w:pPr>
        <w:pStyle w:val="Titrearticle"/>
        <w:rPr>
          <w:noProof/>
        </w:rPr>
      </w:pPr>
      <w:r>
        <w:rPr>
          <w:noProof/>
        </w:rPr>
        <w:t xml:space="preserve">Artikolu 7 </w:t>
      </w:r>
      <w:r>
        <w:rPr>
          <w:noProof/>
        </w:rPr>
        <w:br/>
      </w:r>
      <w:r>
        <w:rPr>
          <w:b/>
          <w:i w:val="0"/>
          <w:noProof/>
        </w:rPr>
        <w:t>Implimentazzjoni u forom ta’ finanzjament mill-Unjoni</w:t>
      </w:r>
      <w:r>
        <w:rPr>
          <w:noProof/>
        </w:rPr>
        <w:t xml:space="preserve">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Il-kontribuzzjoni finanzjarja mir-Riżerva lil Stat Membru għandha tiġi implimentata fil-qafas ta’ ġestjoni kondiviża f’konformità mal-Artikolu 63 tar-Regolament Finanzjarju.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L-Istati Membri għandhom jużaw il-kontribuzzjoni mir-Riżerva biex jimplimentaw il-miżuri msemmija fl-Artikolu 5 biex jipprovdu forom ta’ appoġġ li ma jitħallsux lura. Il-kontribuzzjoni tal-Unjoni għandha tieħu l-forma ta’ rimborż tal-ispejjeż eliġibbli effettivament imġarrbin u mħallsin mill-Istati Membri fl-implimentazzjoni tal-miżuri. 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L-impenji u l-pagamenti skont dan ir-Regolament għandhom ikunu soġġetti għad-disponibbiltà tal-finanzjament. 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B’deroga mill-paragrafi 5, 6 u 7 tal-Artikolu 63 tar-Regolament Finanzjarju, id-dokumenti msemmija f’dawk id-dispożizzjonijiet għandhom jiġu ppreżentati darba, skont l-Artikolu 10 ta’ dan ir-Regolament. 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 xml:space="preserve">B’deroga mill-Artikolu 12 tar-Regolament Finanzjarju, l-approprjazzjonijiet ta’ impenn u ta’ pagament mhux użati skont dan ir-Regolament għandhom jiġu riportati </w:t>
      </w:r>
      <w:r>
        <w:rPr>
          <w:noProof/>
        </w:rPr>
        <w:lastRenderedPageBreak/>
        <w:t>awtomatikament u jistgħu jintużaw sal-31 ta’ Diċembru 2025. L-approprjazzjonijiet riportati għandhom jiġu kkonsmati l-ewwel fis-sena finanzjarja ta’ wara.</w:t>
      </w:r>
    </w:p>
    <w:p>
      <w:pPr>
        <w:pStyle w:val="Titrearticle"/>
        <w:rPr>
          <w:noProof/>
        </w:rPr>
      </w:pPr>
      <w:r>
        <w:rPr>
          <w:noProof/>
        </w:rPr>
        <w:t xml:space="preserve">Artikolu 8 </w:t>
      </w:r>
      <w:r>
        <w:rPr>
          <w:noProof/>
        </w:rPr>
        <w:br/>
      </w:r>
      <w:r>
        <w:rPr>
          <w:b/>
          <w:i w:val="0"/>
          <w:noProof/>
        </w:rPr>
        <w:t>Prefinanzjament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Il-kriterji ta’ allokazzjoni għall-prefinanzjament li jrid jitħallas mill-Kummissjoni lill-Istati Membri huma stabbiliti fl-Anness I.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Soġġett għall-wasla tal-informazzjoni meħtieġa skont l-Artikolu 13(1), il-punt (d), ta’ dan ir-Regolament, il-Kummissjoni għandha, permezz ta’ att ta’ implimentazzjoni, tistabbilixxi t-tqassim tar-riżorsi msemmijin fl-Artikolu 4(3)(a) ta’ dan ir-Regolament għal kull Stat Membru. Dak l-att ta’ implimentazzjoni għandu jikkostitwixxi deċiżjoni ta’ finanzjament skont it-tifsira tal-Artikolu 110(1) tar-Regolament Finanzjarju u l-impenn legali skont it-tifsira ta’ dak ir-Regolament. B’deroga mill-Artikolu 110(2) tar-Regolament Finanzjarju, dik id-deċiżjoni ta’ finanzjament ma għandhiex tinkludi deskrizzjoni tal-azzjonijiet li jridu jiġu ffinanzjati. 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Il-Kummissjoni għandha tħallas il-prefinanzjament fi żmien 60 jum mid-data tal-adozzjoni tal-att ta’ implimentazzjoni msemmi fil-paragrafu 2. Dan għandu jiġi likwidat f’konformità mal-Artikolu 11.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L-ammonti allokati iżda mhux imħallsin bħala prefinanzjament għandhom jiġu riportati u għandhom jintużaw għal pagamenti addizzjonali skont l-Artikolu 11(3).</w:t>
      </w:r>
    </w:p>
    <w:p>
      <w:pPr>
        <w:pStyle w:val="Titrearticle"/>
        <w:rPr>
          <w:noProof/>
        </w:rPr>
      </w:pPr>
      <w:r>
        <w:rPr>
          <w:noProof/>
        </w:rPr>
        <w:t xml:space="preserve">Artikolu 9 </w:t>
      </w:r>
      <w:r>
        <w:rPr>
          <w:noProof/>
        </w:rPr>
        <w:br/>
      </w:r>
      <w:r>
        <w:rPr>
          <w:b/>
          <w:i w:val="0"/>
          <w:noProof/>
        </w:rPr>
        <w:t>Preżentazzjoni ta’ applikazzjonijiet għal kontribuzzjoni finanzjarja mir-Riżerva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L-Istati Membri għandhom jippreżentaw applikazzjoni lill-Kummissjoni għal kontribuzzjoni finanzjarja mir-Riżerva sat-30 ta’ Settembru 2023. Il-Kummissjoni għandha teżamina din l-applikazzjoni u tistabbilixxi jekk ikunux dovuti ammonti addizzjonali lill-Istati Membri jew jekk hemmx xi ammonti li jenħtieġ li jiġu rkuprati mingħand l-Istati Membri f’konformità mal-Artikolu 11.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Meta Stat Membru ma jippreżentax applikazzjoni għal kontribuzzjoni finanzjarja mir-Riżerva sal-30 ta’ Settembru 2023, il-Kummissjoni għandha tirkupra l-ammont totali mħallas bħala prefinanzjament lil dak l-Istat Membru. </w:t>
      </w:r>
    </w:p>
    <w:p>
      <w:pPr>
        <w:pStyle w:val="Titrearticle"/>
        <w:rPr>
          <w:noProof/>
        </w:rPr>
      </w:pPr>
      <w:r>
        <w:rPr>
          <w:noProof/>
        </w:rPr>
        <w:t xml:space="preserve">Artikolu 10 </w:t>
      </w:r>
      <w:r>
        <w:rPr>
          <w:noProof/>
        </w:rPr>
        <w:br/>
      </w:r>
      <w:r>
        <w:rPr>
          <w:b/>
          <w:i w:val="0"/>
          <w:noProof/>
        </w:rPr>
        <w:t>Kontenut tal-applikazzjoni għal kontribuzzjoni finanzjarja</w:t>
      </w:r>
      <w:r>
        <w:rPr>
          <w:noProof/>
        </w:rPr>
        <w:t xml:space="preserve">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L-applikazzjoni għandha tkun ibbażata fuq il-mudell stabbilit fl-Anness II. L-applikazzjoni għandha tinkludi informazzjoni dwar in-nefqa pubblika totali mġarrba u mħallsa mill-Istati Membri u l-valuri tal-indikaturi tal-output għall-miżuri appoġġati. Din għandha tkun akkumpanjata mid-dokumenti msemmijin fil-paragrafi 5, 6 u 7 tal-Artikolu 63 tar-Regolament Finanzjarju u minn rapport ta’ implimentazzjoni.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Ir-rapport ta’ implimentazzjoni għar-Riżerva għandu jinkludi: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deskrizzjoni tal-impatt tal-ħruġ tar-Renju Unit mill-Unjoni f’termini ekonomiċi u soċjali inkluża identifikazzjoni tar-reġjuni, l-oqsma u s-setturi l-aktar milqutin;</w:t>
      </w:r>
    </w:p>
    <w:p>
      <w:pPr>
        <w:pStyle w:val="Point1"/>
        <w:rPr>
          <w:noProof/>
        </w:rPr>
      </w:pPr>
      <w:r>
        <w:lastRenderedPageBreak/>
        <w:t>(b)</w:t>
      </w:r>
      <w:r>
        <w:tab/>
      </w:r>
      <w:r>
        <w:rPr>
          <w:noProof/>
        </w:rPr>
        <w:t>deskrizzjoni tal-miżuri meħudin biex jiġu miġġielda l-konsegwenzi negattivi tal-ħruġ tar-Renju Unit mill-Unjoni, ta’ kemm dawk il-miżuri taffew l-impatt reġjonali u settorjali msemmi fil-punt (a), u kif ġew implimentati;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 xml:space="preserve">ġustifikazzjoni tal-eliġibbiltà tan-nefqa mġarrba u mħallsa u r-rabta diretta tagħha mal-ħruġ tar-Renju Unit mill-Unjoni; 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deskrizzjoni tal-miżuri meħudin biex jiġi evitat finanzjament doppju u biex tiġi żgurata l-komplementarjetà ma’ strumenti oħrajn tal-Unjoni u mal-finanzjament nazzjonali;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>deskrizzjoni tal-kontribut tal-miżuri għall-mitigazzjoni tat-tibdil fil-klima u l-adattament għalih.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Is-sommarju msemmi fl-Artikolu 63(5), il-punt (b), tar-Regolament Finanzjarju għandu jistabbilixxi r-rata ta’ żball totali u r-rata ta’ żbalji residwi għan-nefqa mdaħħla fl-applikazzjoni ppreżentata lill-Kummissjoni, b’riżultat tal-azzjonijiet korrettivi implimentati.</w:t>
      </w:r>
    </w:p>
    <w:p>
      <w:pPr>
        <w:pStyle w:val="Titrearticle"/>
        <w:rPr>
          <w:noProof/>
        </w:rPr>
      </w:pPr>
      <w:r>
        <w:rPr>
          <w:noProof/>
        </w:rPr>
        <w:t>Artikolu 11</w:t>
      </w:r>
      <w:r>
        <w:rPr>
          <w:noProof/>
        </w:rPr>
        <w:br/>
      </w:r>
      <w:r>
        <w:rPr>
          <w:b/>
          <w:i w:val="0"/>
          <w:noProof/>
        </w:rPr>
        <w:t>Likwidazzjoni tal-prefinanzjament u kalkolu tal-ammonti addizzjonali dovuti lill-Istati Membri</w:t>
      </w:r>
    </w:p>
    <w:p>
      <w:pPr>
        <w:pStyle w:val="ManualNumPar1"/>
        <w:rPr>
          <w:bCs/>
          <w:noProof/>
        </w:rPr>
      </w:pPr>
      <w:r>
        <w:rPr>
          <w:noProof/>
        </w:rPr>
        <w:t>1.</w:t>
      </w:r>
      <w:r>
        <w:rPr>
          <w:noProof/>
        </w:rPr>
        <w:tab/>
        <w:t xml:space="preserve">Il-Kummissjoni għandha tivvaluta l-applikazzjoni msemmija fl-Artikolu 10 għandha tissodisfa ruħha li l-applikazzjoni tkun kompluta, preċiża u veritiera. Meta tikkalkula l-kontribuzzjoni finanzjarja dovuta lill-Istat Membru mir-Riżerva, il-Kummissjoni għandha teskludi mill-finanzjament tal-Unjoni n-nefqa għall-miżuri li ġew implimentati jew li saru żborżi għalihom bi ksur tal-liġi applikabbli.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Abbażi tal-valutazzjoni, il-Kummissjoni għandha, permezz ta’ att ta’ implimentazzjoni, tistabbilixxi dan li ġej: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l-ammont totali tan-nefqa pubblika eliġibbli (l-“ammont aċċettat”);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jekk humiex dovuti ammonti addizzjonali lill-Istat Membru, f’konformità mal-paragrafu 3, jew jekk hemmx bżonn li jiġu rkuprati xi ammonti skont il-paragrafu 5.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Meta l-ammont aċċettat jaqbeż kemm l-ammont ta’ prefinanzjament kif ukoll 0,06 % tal-ING nominali tal-2021 tal-Istat Membru kkonċernat, għandu jkun dovut lil dak l-Istat Membru ammont addizzjonali mill-allokazzjoni msemmija fl-Artikolu 4(3), il-punt (b), u kwalunkwe ammont riportat skont l-Artikolu 8(4). </w:t>
      </w:r>
    </w:p>
    <w:p>
      <w:pPr>
        <w:pStyle w:val="Text1"/>
        <w:ind w:left="851"/>
        <w:rPr>
          <w:noProof/>
        </w:rPr>
      </w:pPr>
      <w:r>
        <w:rPr>
          <w:noProof/>
        </w:rPr>
        <w:t xml:space="preserve">F’każ bħal dan, il-Kummissjoni għandha tħallas l-ammont li jaqbeż il-prefinanzjament imħallas lill-Istat Membru kkonċernat jew 0,06 % tad-DNG nominali tal-2021, skont liema minnhom ikun l-ogħla. </w:t>
      </w:r>
    </w:p>
    <w:p>
      <w:pPr>
        <w:pStyle w:val="Text1"/>
        <w:ind w:left="851"/>
        <w:rPr>
          <w:noProof/>
        </w:rPr>
      </w:pPr>
      <w:r>
        <w:rPr>
          <w:noProof/>
        </w:rPr>
        <w:t xml:space="preserve">Meta s-somma tal-ammonti addizzjonali għall-Istati Membri kollha kkalkulata skont l-ewwel subparagrafu ta’ dan il-paragrafu taqbeż ir-riżorsi disponibbli f’konformità mal-Artikolu 4(3), il-punt (b), il-kontribuzzjonijiet mir-Riżerva għandhom jitnaqqsu proporzjonalment. 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Fir-rigward tal-ammonti addizzjonali dovuti skont il-paragrafu 3 ta’ dan l-Artikolu, l-att ta’ implimentazzjoni msemmi fil-paragrafu 2 ta’ dan l-Artikolu għandu jikkostitwixxi deċiżjoni ta’ finanzjament skont it-tifsira tal-Artikolu 110(1) tar-Regolament Finanzjarju u l-impenn legali skont it-tifsira ta’ dak ir-Regolament. </w:t>
      </w:r>
    </w:p>
    <w:p>
      <w:pPr>
        <w:pStyle w:val="ManualNumPar1"/>
        <w:rPr>
          <w:noProof/>
        </w:rPr>
      </w:pPr>
      <w:r>
        <w:rPr>
          <w:noProof/>
        </w:rPr>
        <w:lastRenderedPageBreak/>
        <w:t>5.</w:t>
      </w:r>
      <w:r>
        <w:rPr>
          <w:noProof/>
        </w:rPr>
        <w:tab/>
        <w:t>Il-Kummissjoni għandha tapprova l-prefinanzjament rispettiv u tħallas kwalunkwe ammont addizzjonali dovut fi żmien 60 jum mill-adozzjoni tal-att ta’ implimentazzjoni msemmi fil-paragrafu 2.</w:t>
      </w:r>
    </w:p>
    <w:p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>Meta l-ammont aċċettat ikun inqas mill-prefinanzjament għall-Istat Membru kkonċernat, id-differenza għandha tiġi rkuprata f’konformità mar-Regolament Finanzjarju, u b’mod partikolari l-Parti I, il-Kapitolu 6, it-Taqsimiet 3, 4 u 5 tiegħu. L-ammonti rkuprati għandhom jiġu ttrattati bħala dħul assenjat intern f’konformità mal-Artikolu 21(3), il-punt (b), tar-Regolament Finanzjarju u, meta jkun ġie applikat it-tielet subparagrafu tal-paragrafu 3 ta’ dan l-Artikolu, għandhom jintużaw biex jiżdiedu b’mod proporzjonali l-kontribuzzjonijiet imħallsin lill-Istati Membri eliġibbli għal ammonti addizzjonali skont il-paragrafu 3 ta’ dan l-Artikolu sa massimu ta’ 100 %. F’każ li jkunu saru pagamenti lill-Istati Membri skont il-paragrafu 3 ta’ dan l-Artikolu b’rata ta’ 100 %, l-ammonti rkuprati għandhom jingħataw lura lill-baġit ġenerali tal-Unjoni.</w:t>
      </w:r>
    </w:p>
    <w:p>
      <w:pPr>
        <w:pStyle w:val="ManualNumPar1"/>
        <w:rPr>
          <w:noProof/>
        </w:rPr>
      </w:pPr>
      <w:r>
        <w:rPr>
          <w:noProof/>
        </w:rPr>
        <w:t>7.</w:t>
      </w:r>
      <w:r>
        <w:rPr>
          <w:noProof/>
        </w:rPr>
        <w:tab/>
        <w:t>Il-Kummissjoni għandha, permezz ta’ att ta’ implimentazzjoni, tistabbilixxi l-ammonti addizzjonali dovuti skont it-tieni sentenza tal-paragrafu 6 ta’ dan l-Artikolu. Dak l-att ta’ implimentazzjoni għandu jikkostitwixxi deċiżjoni ta’ finanzjament skont it-tifsira tal-Artikolu 110(1) tar-Regolament Finanzjarju u l-impenn legali skont it-tifsira ta’ dak ir-Regolament. Il-Kummissjoni għandha tħallas kull ammont addizzjonali dovut fi żmien 60 jum mill-adozzjoni ta’ dak l-att.</w:t>
      </w:r>
    </w:p>
    <w:p>
      <w:pPr>
        <w:pStyle w:val="ManualNumPar1"/>
        <w:rPr>
          <w:noProof/>
        </w:rPr>
      </w:pPr>
      <w:r>
        <w:rPr>
          <w:noProof/>
        </w:rPr>
        <w:t>8.</w:t>
      </w:r>
      <w:r>
        <w:rPr>
          <w:noProof/>
        </w:rPr>
        <w:tab/>
        <w:t>Qabel l-adozzjoni tal-atti ta’ implimentazzjoni msemmijin fil-paragrafi 2 u 7, il-Kummissjoni għandha tinforma lill-Istat Membru bil-valutazzjoni tagħha u tistieden lill-Istat Membru jippreżenta l-osservazzjonijiet tiegħu fi żmien xahrejn.</w:t>
      </w:r>
    </w:p>
    <w:p>
      <w:pPr>
        <w:pStyle w:val="Titrearticle"/>
        <w:rPr>
          <w:noProof/>
        </w:rPr>
      </w:pPr>
      <w:r>
        <w:rPr>
          <w:noProof/>
        </w:rPr>
        <w:t xml:space="preserve">Artikolu 12 </w:t>
      </w:r>
      <w:r>
        <w:rPr>
          <w:noProof/>
        </w:rPr>
        <w:br/>
      </w:r>
      <w:r>
        <w:rPr>
          <w:b/>
          <w:i w:val="0"/>
          <w:noProof/>
        </w:rPr>
        <w:t>Użu tal-euro</w:t>
      </w:r>
    </w:p>
    <w:p>
      <w:pPr>
        <w:rPr>
          <w:noProof/>
        </w:rPr>
      </w:pPr>
      <w:r>
        <w:rPr>
          <w:noProof/>
        </w:rPr>
        <w:t>Kwalunkwe ammont iddikjarat fl-applikazzjoni għal kontribuzzjoni finanzjarja lill-Kummissjoni mill-Istati Membri għandu jkun denominat f’euro. L-Istati Membri li ma adottawx l-euro bħala l-munita tagħhom għandhom jikkonvertu l-ammonti fl-applikazzjoni għal kontribuzzjoni finanzjarja f’euro bl-użu tar-rata tal-kambju tal-kontabbiltà mensili tal-Kummissjoni fix-xahar ta’ qabel il-preżentazzjoni tal-applikazzjoni .</w:t>
      </w:r>
    </w:p>
    <w:p>
      <w:pPr>
        <w:pStyle w:val="ChapterTitle"/>
        <w:rPr>
          <w:noProof/>
        </w:rPr>
      </w:pPr>
      <w:r>
        <w:rPr>
          <w:noProof/>
        </w:rPr>
        <w:t xml:space="preserve">Kapitolu IV </w:t>
      </w:r>
      <w:r>
        <w:rPr>
          <w:noProof/>
        </w:rPr>
        <w:br/>
        <w:t>Sistemi ta’ ġestjoni u ta’ kontroll</w:t>
      </w:r>
    </w:p>
    <w:p>
      <w:pPr>
        <w:pStyle w:val="Titrearticle"/>
        <w:rPr>
          <w:noProof/>
        </w:rPr>
      </w:pPr>
      <w:r>
        <w:rPr>
          <w:noProof/>
        </w:rPr>
        <w:t xml:space="preserve">Artikolu 13 </w:t>
      </w:r>
      <w:r>
        <w:rPr>
          <w:noProof/>
        </w:rPr>
        <w:br/>
      </w:r>
      <w:r>
        <w:rPr>
          <w:b/>
          <w:i w:val="0"/>
          <w:noProof/>
        </w:rPr>
        <w:t>Ġestjoni u kontroll</w:t>
      </w:r>
      <w:r>
        <w:rPr>
          <w:noProof/>
        </w:rPr>
        <w:t xml:space="preserve">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Meta jkunu qed iwettqu kompiti relatati mal-implimentazzjoni tar-Riżerva, l-Istati Membri għandhom jieħdu l-miżuri neċessarji kollha, inklużi miżuri leġiżlattivi, regolatorji u amministrattivi, biex iħarsu l-interessi finanzjarji tal-Unjoni, jiġifieri billi: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jinnominaw korp responsabbli għall-ġestjoni tal-kontribuzzjoni finanzjarja mir-Riżerva u korp tal-awditjar indipendenti f’konformità mal-Artikolu 63(3) tar-Regolament Finanzjarju, u s-superviżjoni ta’ tali korpi;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jistabbilixxu sistemi ta’ ġestjoni u ta’ kontroll għar-Riżerva f’konformità mal-prinċipji tal-ġestjoni finanzjarja tajba u l-iżgurar li dawk is-sistemi jiffunzjonaw b’mod effettiv;</w:t>
      </w:r>
    </w:p>
    <w:p>
      <w:pPr>
        <w:pStyle w:val="Point1"/>
        <w:rPr>
          <w:noProof/>
        </w:rPr>
      </w:pPr>
      <w:r>
        <w:lastRenderedPageBreak/>
        <w:t>(c)</w:t>
      </w:r>
      <w:r>
        <w:tab/>
      </w:r>
      <w:r>
        <w:rPr>
          <w:noProof/>
        </w:rPr>
        <w:t>ifasslu deskrizzjoni tas-sistema ta’ ġestjoni u ta’ kontroll f’konformità mal-mudell stabbilit fl-Anness III, iżommu d-deskrizzjoni aġġornata u jagħmluha aċċessibbli għall-Kummissjoni meta din titlobha;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jinnotifikaw lill-Kummissjoni bl-identità tal-korpi nnominati u tal-korp li l-prefinanzjament għandu jitħallas lilu, u jikkonfermaw li d-deskrizzjonijiet tas-sistemi jkunu tfasslu, fi żmien tliet xhur mid-dħul fis-seħħ ta’ dan ir-Regolament;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>jiżguraw li n-nefqa appoġġata taħt programmi u strumenti oħrajn tal-Unjoni ma tkunx inkluża għall-appoġġ mir-Riżerva;</w:t>
      </w:r>
    </w:p>
    <w:p>
      <w:pPr>
        <w:pStyle w:val="Point1"/>
        <w:rPr>
          <w:noProof/>
        </w:rPr>
      </w:pPr>
      <w:r>
        <w:t>(f)</w:t>
      </w:r>
      <w:r>
        <w:tab/>
      </w:r>
      <w:r>
        <w:rPr>
          <w:noProof/>
        </w:rPr>
        <w:t>jipprevjenu, jidentifikaw u jikkoreġu l-irregolaritajiet u l-frodi, u jevitaw il-kunflitti ta’ interess inkluż permezz tal-użu ta’ għodda unika għall-estrazzjoni tad-</w:t>
      </w:r>
      <w:r>
        <w:rPr>
          <w:i/>
          <w:noProof/>
        </w:rPr>
        <w:t>data</w:t>
      </w:r>
      <w:r>
        <w:rPr>
          <w:noProof/>
        </w:rPr>
        <w:t xml:space="preserve"> pprovduta mill-Kummissjoni;</w:t>
      </w:r>
    </w:p>
    <w:p>
      <w:pPr>
        <w:pStyle w:val="Point1"/>
        <w:rPr>
          <w:noProof/>
        </w:rPr>
      </w:pPr>
      <w:r>
        <w:t>(g)</w:t>
      </w:r>
      <w:r>
        <w:tab/>
      </w:r>
      <w:r>
        <w:rPr>
          <w:noProof/>
        </w:rPr>
        <w:t>jikkooperaw mal-Kummissjoni, mal-OLAF, mal-Qorti tal-Awdituri u, għal dawk l-Istati Membri li jipparteċipaw f’kooperazzjoni msaħħa skont ir-Regolament (UE) 2017/1939, mal-UPPE.</w:t>
      </w:r>
    </w:p>
    <w:p>
      <w:pPr>
        <w:pStyle w:val="Text1"/>
        <w:rPr>
          <w:noProof/>
        </w:rPr>
      </w:pPr>
      <w:r>
        <w:rPr>
          <w:noProof/>
        </w:rPr>
        <w:t>L-użu u l-aċċess għad-</w:t>
      </w:r>
      <w:r>
        <w:rPr>
          <w:i/>
          <w:noProof/>
        </w:rPr>
        <w:t>data</w:t>
      </w:r>
      <w:r>
        <w:rPr>
          <w:noProof/>
        </w:rPr>
        <w:t xml:space="preserve"> pproċessata mill-għodda għall-estrazzjoni tad-</w:t>
      </w:r>
      <w:r>
        <w:rPr>
          <w:i/>
          <w:noProof/>
        </w:rPr>
        <w:t>data</w:t>
      </w:r>
      <w:r>
        <w:rPr>
          <w:noProof/>
        </w:rPr>
        <w:t xml:space="preserve"> msemmija fil-punt (f) għandhom ikunu limitati għall-korpi msemmija fil-punt (a), il-Kummissjoni, l-OLAF, il-Qorti tal-Awdituri u, għal dawk l-Istati Membri li jipparteċipaw f’kooperazzjoni msaħħa skont ir-Regolament (UE) 2017/1939, mal-UPPE.</w:t>
      </w:r>
    </w:p>
    <w:p>
      <w:pPr>
        <w:pStyle w:val="Text1"/>
        <w:rPr>
          <w:noProof/>
        </w:rPr>
      </w:pPr>
      <w:r>
        <w:rPr>
          <w:noProof/>
        </w:rPr>
        <w:t>L-Istati Membri u l-Kummissjoni għandhom jitħallew jipproċessaw id-</w:t>
      </w:r>
      <w:r>
        <w:rPr>
          <w:i/>
          <w:noProof/>
        </w:rPr>
        <w:t>data</w:t>
      </w:r>
      <w:r>
        <w:rPr>
          <w:noProof/>
        </w:rPr>
        <w:t xml:space="preserve"> personali biss meta jkun meħtieġ għall-fini li jwettqu l-obbligi rispettivi tagħhom skont dan ir-Regolament, u jipproċessaw id-</w:t>
      </w:r>
      <w:r>
        <w:rPr>
          <w:i/>
          <w:noProof/>
        </w:rPr>
        <w:t>data</w:t>
      </w:r>
      <w:r>
        <w:rPr>
          <w:noProof/>
        </w:rPr>
        <w:t xml:space="preserve"> personali f’konformità mar-Regolament (UE) Nru 2016/679</w:t>
      </w:r>
      <w:r>
        <w:rPr>
          <w:rStyle w:val="FootnoteReference0"/>
          <w:noProof/>
        </w:rPr>
        <w:footnoteReference w:id="22"/>
      </w:r>
      <w:r>
        <w:rPr>
          <w:noProof/>
        </w:rPr>
        <w:t xml:space="preserve"> jew ir-Regolament (UE) 2018/1725, skont liema minnhom jkun applikabbli.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Għall-finijiet tal-punti (a) u (b) tal-paragrafu 1, l-Istati Membri jistgħu jagħmlu użu mill-korpi u mis-sistemi ta’ ġestjoni u kontroll diġà fis-seħħ għall-implimentazzjoni tal-finanzjament tal-politika ta’ koeżjoni jew tal-Fond ta’ Solidarjetà tal-Unjoni Ewropea. 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Il-korp responsabbli għall-ġestjoni tal-kontribuzzjoni finanzjarja mir-Riżerva għandu: 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jiżgura l-funzjonament ta’ sistema ta’ kontroll intern effettiva u effiċjenti;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jistabbilixxi kriterji u proċeduri għall-għażla tal-miżuri li jridu jiġu ffinanzjati u jiddetermina l-kundizzjonijiet għal kontribuzzjoni finanzjarja mir-Riżerva;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 xml:space="preserve">jivverifika li l-miżuri ffinanzjati mir-Riżerva jkunu implimentati f’konformità mal-liġi applikabbli u l-kundizzjonijiet għal kontribuzzjoni finanzjarja mir-Riżerva, u li n-nefqa tkun ibbażata fuq dokumenti ta’ sostenn verifikabbli; 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jistabbilixxi miżuri effettivi biex jiġi evitat finanzjament doppju tal-istess kostijiet mir-Riżerva u minn sorsi oħrajn ta’ finanzjament tal-Unjoni;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 xml:space="preserve">jiżgura l-pubblikazzjoni </w:t>
      </w:r>
      <w:r>
        <w:rPr>
          <w:i/>
          <w:noProof/>
        </w:rPr>
        <w:t>ex post</w:t>
      </w:r>
      <w:r>
        <w:rPr>
          <w:noProof/>
        </w:rPr>
        <w:t xml:space="preserve"> f'konformità mal-paragrafi 2 sa 6 tal-Artikolu 38 tar-Regolament Finanzjarju;</w:t>
      </w:r>
    </w:p>
    <w:p>
      <w:pPr>
        <w:pStyle w:val="Point1"/>
        <w:rPr>
          <w:noProof/>
        </w:rPr>
      </w:pPr>
      <w:r>
        <w:lastRenderedPageBreak/>
        <w:t>(f)</w:t>
      </w:r>
      <w:r>
        <w:tab/>
      </w:r>
      <w:r>
        <w:rPr>
          <w:noProof/>
        </w:rPr>
        <w:t>juża sistema kontabilistika biex jirreġistra u jaħżen f’forma elettronika d-</w:t>
      </w:r>
      <w:r>
        <w:rPr>
          <w:i/>
          <w:noProof/>
        </w:rPr>
        <w:t>data</w:t>
      </w:r>
      <w:r>
        <w:rPr>
          <w:noProof/>
        </w:rPr>
        <w:t xml:space="preserve"> dwar in-nefqa mġarrba li trid tkun koperta mill-kontribuzzjoni finanzjarja mir-Riżerva li tipprovdi informazzjoni preċiża, kompluta u affidabbli fil-ħin;</w:t>
      </w:r>
    </w:p>
    <w:p>
      <w:pPr>
        <w:pStyle w:val="Point1"/>
        <w:rPr>
          <w:noProof/>
        </w:rPr>
      </w:pPr>
      <w:r>
        <w:t>(g)</w:t>
      </w:r>
      <w:r>
        <w:tab/>
      </w:r>
      <w:r>
        <w:rPr>
          <w:noProof/>
        </w:rPr>
        <w:t>iżomm id-dokumenti ta’ sostenn kollha rigward in-nefqa li trid tiġi koperta mill-kontribuzzjoni finanzjarja mir-Riżerva disponibbli għal perjodu ta’ ħames snin wara l-iskadenza għall-preżentazzjoni tal-applikazzjoni għal kontribuzzjoni finanzjarja, u jittrasponi dan l-obbligu fi ftehimiet ma’ entitajiet oħrajn involuti fl-implimentazzjoni tar-Riżerva;</w:t>
      </w:r>
    </w:p>
    <w:p>
      <w:pPr>
        <w:pStyle w:val="Point1"/>
        <w:rPr>
          <w:noProof/>
        </w:rPr>
      </w:pPr>
      <w:r>
        <w:t>(h)</w:t>
      </w:r>
      <w:r>
        <w:tab/>
      </w:r>
      <w:r>
        <w:rPr>
          <w:noProof/>
        </w:rPr>
        <w:t>għall-finijiet tal-punt (f) tal-paragrafu 1, jiġbor l-informazzjoni f’format elettroniku standardizzat biex tkun tista’ ssir l-identifikazzjoni tar-riċeventi ta’ kontribuzzjoni finanzjarja mir-Riżerva u s-sidien benefiċjarji tagħhom f’konformità mal-Anness III.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Il-korp tal-awditjar indipendenti għandu jivverifika s-sistema u jwettaq verifiki ta’ miżuri ffinanzjati sabiex jipprovdi assigurazzjoni indipendenti lill-Kummissjoni rigward il-funzjonament effettiv tas-sistema ta’ ġestjoni u kontroll u l-legalità u r-regolarità tan-nefqa inkluża fil-kontijiet ippreżentati lill-Kummissjoni. </w:t>
      </w:r>
    </w:p>
    <w:p>
      <w:pPr>
        <w:pStyle w:val="Text1"/>
        <w:rPr>
          <w:noProof/>
        </w:rPr>
      </w:pPr>
      <w:r>
        <w:rPr>
          <w:noProof/>
        </w:rPr>
        <w:t xml:space="preserve">Ix-xogħol tal-awditjar għandu jitwettaq f'konformità mal-istandards tal-awditjar aċċettati internazzjonalment. </w:t>
      </w:r>
    </w:p>
    <w:p>
      <w:pPr>
        <w:pStyle w:val="Text1"/>
        <w:rPr>
          <w:noProof/>
        </w:rPr>
      </w:pPr>
      <w:r>
        <w:rPr>
          <w:noProof/>
        </w:rPr>
        <w:t xml:space="preserve">Il-verifiki tal-miżuri ffinanzjati għandhom ikopru n-nefqa abbażi ta’ kampjun. Dak il-kampjun għandu jkun rappreżentattiv u għandu jkun ibbażat fuq metodi tal-kampjunar statistiku. </w:t>
      </w:r>
    </w:p>
    <w:p>
      <w:pPr>
        <w:pStyle w:val="Text1"/>
        <w:rPr>
          <w:noProof/>
        </w:rPr>
      </w:pPr>
      <w:r>
        <w:rPr>
          <w:noProof/>
        </w:rPr>
        <w:t xml:space="preserve">Meta l-popolazzjoni tkun tikkonsisti f’inqas minn 300 unità tal-kampjunar, ikun jista’ jintuża metodu ta’ kampjunar mhux statistiku bbażat fuq il-ġudizzju professjonali tal-korp tal-awditjar indipendenti. F’każijiet bħal dawn id-daqs tal-kampjun għandu jkun biżżejjed biex jippermetti lill-korp tal-awditjar indipendenti jfassal opinjoni tal-awditjar valida. Il-metodu tal-kampjunar mhux statistiku għandu jkopri minimu ta’ 10 % tal-unitajiet tal-kampjunar fil-popolazzjoni tas-sena kontabilistika, magħżula b’mod aleatorju. 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Il-Kummissjoni tista’ twettaq awditjar fuq il-post fl-istabbilimenti tal-entitajiet kollha involuti fl-implimentazzjoni tar-Riżerva fir-rigward tal-miżuri ffinanzjati mir-Riżerva u għandu jkollha aċċess għad-dokumenti ta’ sostenn rigward in-nefqa li trid tiġi koperta mill-kontribuzzjoni finanzjarja mir-Riżerva.</w:t>
      </w:r>
    </w:p>
    <w:p>
      <w:pPr>
        <w:pStyle w:val="Titrearticle"/>
        <w:rPr>
          <w:noProof/>
        </w:rPr>
      </w:pPr>
      <w:r>
        <w:rPr>
          <w:noProof/>
        </w:rPr>
        <w:t xml:space="preserve">Artikolu 14 </w:t>
      </w:r>
      <w:r>
        <w:rPr>
          <w:noProof/>
        </w:rPr>
        <w:br/>
      </w:r>
      <w:r>
        <w:rPr>
          <w:b/>
          <w:i w:val="0"/>
          <w:noProof/>
        </w:rPr>
        <w:t>Korrezzjonijiet finanzjarji</w:t>
      </w:r>
      <w:r>
        <w:rPr>
          <w:noProof/>
        </w:rPr>
        <w:t xml:space="preserve">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Il-korrezzjonijiet finanzjarji magħmula mill-Istat Membru f’konformità mal-Artikolu 13(1), il-punt (f), għandhom jikkonsistu fil-kanċellazzjoni tal-kontribuzzjoni finanzjarja kollha jew ta’ parti minnha mill-Fond. L-Istat Membru għandu jirkupra kwalunkwe ammont mitluf b’riżultat ta’ xi irregolarità li tinstab.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Il-Kummissjoni għandha tieħu azzjoni xierqa biex tiżgura li l-interessi finanzjarji tal-Unjoni jkunu protetti permezz tal-esklużjoni tal-ammonti irregolari ppreżentati lill-Kummissjoni fl-applikazzjoni msemmija fl-Artikolu 10 ta’ dan ir-Regolament mill-finanzjament tal-Unjoni u permezz tal-irkupru tal-ammonti mħallsin indebitament f’konformità mal-Artikolu 101 tar-Regolament Finanzjarju jekk sussegwentement jiġu identifikati xi irregolaritajiet. </w:t>
      </w:r>
    </w:p>
    <w:p>
      <w:pPr>
        <w:pStyle w:val="ManualNumPar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Il-Kummissjoni għandha tibbaża l-korrezzjonijiet finanzjarji tagħha fuq każijiet individwali ta' irregolarità identifikati u għandha tqis jekk l-irregolarità tkunx sistemika. Meta ma jkunx possibbli li jiġi kkwantifikat b’mod preċiż l-ammont ta’ nefqa irregolari, jew meta l-Kummissjoni tikkonkludi li s-sistema ma tkunx qed taħdem b’mod effettiv biex tissalvagwardja l-legalità u r-regolarità tan-nefqa, il-Kummissjoni għandha tapplika rata fissa jew korrezzjoni finanzjarja estrapolata. Il-Kummissjoni għandha tirrispetta l-prinċipju tal-proporzjonalità billi tqis in-natura u l-gravità tal-irregolarità u l-implikazzjonijiet finanzjarji tagħha għall-baġit tal-Unjoni.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Qabel l-irkupru tal-ammonti mħallsin indebitament jew l-applikazzjoni tal-korrezzjonijiet finanzjarji, il-Kummissjoni għandha tinforma lill-Istat Membru bil-valutazzjoni tagħha u tistieden lill-Istat Membru jippreżenta l-osservazzjonijiet tiegħu fi żmien xahrejn. </w:t>
      </w:r>
    </w:p>
    <w:p>
      <w:pPr>
        <w:pStyle w:val="ChapterTitle"/>
        <w:rPr>
          <w:noProof/>
        </w:rPr>
      </w:pPr>
      <w:r>
        <w:rPr>
          <w:noProof/>
        </w:rPr>
        <w:t xml:space="preserve">Kapitolu IV </w:t>
      </w:r>
      <w:r>
        <w:rPr>
          <w:noProof/>
        </w:rPr>
        <w:br/>
        <w:t>Dispożizzjonijiet finali</w:t>
      </w:r>
    </w:p>
    <w:p>
      <w:pPr>
        <w:pStyle w:val="Titrearticle"/>
        <w:rPr>
          <w:noProof/>
        </w:rPr>
      </w:pPr>
      <w:r>
        <w:rPr>
          <w:noProof/>
        </w:rPr>
        <w:t xml:space="preserve">Artikolu 15 </w:t>
      </w:r>
      <w:r>
        <w:rPr>
          <w:noProof/>
        </w:rPr>
        <w:br/>
      </w:r>
      <w:r>
        <w:rPr>
          <w:b/>
          <w:i w:val="0"/>
          <w:noProof/>
        </w:rPr>
        <w:t>Informazzjoni u komunikazzjoni</w:t>
      </w:r>
    </w:p>
    <w:p>
      <w:pPr>
        <w:rPr>
          <w:noProof/>
        </w:rPr>
      </w:pPr>
      <w:r>
        <w:rPr>
          <w:noProof/>
        </w:rPr>
        <w:t>L-Istati Membri għandhom ikunu responsabbli biex jinfurmaw u jippubbliċizzaw liċ-ċittadini tal-Unjoni bir-rwol, ir-riżultati u l-impatt tal-kontribuzzjoni tal-Unjoni mir-Riżerva permezz ta’ azzjonijiet ta’ informazzjoni u komunikazzjoni.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 xml:space="preserve">Artikolu 16 </w:t>
      </w:r>
      <w:r>
        <w:rPr>
          <w:noProof/>
        </w:rPr>
        <w:br/>
      </w:r>
      <w:r>
        <w:rPr>
          <w:b/>
          <w:i w:val="0"/>
          <w:noProof/>
        </w:rPr>
        <w:t>Evalwazzjoni u rapportar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Sat-30 ta’ Ġunju 2026, il-Kummissjoni għandha twettaq evalwazzjoni biex teżamina l-effettività, l-effiċjenza, ir-rilevanza, il-koerenza u l-valur miżjud tal-UE tar-Riżerva. Il-Kummissjoni tista’ tuża l-informazzjoni rilevanti kollha diġà disponibbli f’konformità mal-Artikolu 128 tar-Regolament Finanzjarju. </w:t>
      </w:r>
    </w:p>
    <w:p>
      <w:pPr>
        <w:pStyle w:val="ManualNumPar1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 xml:space="preserve">Sat-30 ta’ Ġunju 2027, il-Kummissjoni għandha tippreżenta rapport dwar l-implimentazzjoni ta’ dan ir-Regolament lill-Parlament Ewropew u lill-Kunsill. </w:t>
      </w:r>
    </w:p>
    <w:p>
      <w:pPr>
        <w:pStyle w:val="Titrearticle"/>
        <w:rPr>
          <w:noProof/>
        </w:rPr>
      </w:pPr>
      <w:r>
        <w:rPr>
          <w:noProof/>
        </w:rPr>
        <w:t xml:space="preserve">Artikolu 17 </w:t>
      </w:r>
      <w:r>
        <w:rPr>
          <w:noProof/>
        </w:rPr>
        <w:br/>
      </w:r>
      <w:r>
        <w:rPr>
          <w:b/>
          <w:i w:val="0"/>
          <w:noProof/>
        </w:rPr>
        <w:t>Dħul fis-seħħ</w:t>
      </w:r>
    </w:p>
    <w:p>
      <w:pPr>
        <w:rPr>
          <w:noProof/>
        </w:rPr>
      </w:pPr>
      <w:r>
        <w:rPr>
          <w:noProof/>
        </w:rPr>
        <w:t>Dan ir-Regolament għandu jidħol fis-seħħ l-għada tal-jum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p>
      <w:pPr>
        <w:spacing w:before="0" w:after="200" w:line="276" w:lineRule="auto"/>
        <w:jc w:val="left"/>
        <w:rPr>
          <w:i/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bookmarkStart w:id="3" w:name="_Toc514941970"/>
      <w:r>
        <w:rPr>
          <w:noProof/>
        </w:rPr>
        <w:lastRenderedPageBreak/>
        <w:t>DIKJARAZZJONI FINANZJARJA LEĠIŻLATTIVA</w:t>
      </w:r>
      <w:bookmarkEnd w:id="3"/>
    </w:p>
    <w:p>
      <w:pPr>
        <w:pStyle w:val="ManualHeading1"/>
        <w:rPr>
          <w:noProof/>
        </w:rPr>
      </w:pPr>
      <w:bookmarkStart w:id="4" w:name="_Toc514941971"/>
      <w:bookmarkStart w:id="5" w:name="_Toc520485198"/>
      <w:bookmarkStart w:id="6" w:name="_Toc514941972"/>
      <w:bookmarkStart w:id="7" w:name="_Toc56534748"/>
      <w:r>
        <w:rPr>
          <w:noProof/>
        </w:rPr>
        <w:t>1.</w:t>
      </w:r>
      <w:r>
        <w:rPr>
          <w:noProof/>
        </w:rPr>
        <w:tab/>
        <w:t>QAFAS TAL-PROPOSTA/TAL-INIZJATTIVA</w:t>
      </w:r>
      <w:bookmarkEnd w:id="4"/>
      <w:bookmarkEnd w:id="5"/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bookmarkStart w:id="8" w:name="_Toc520485199"/>
      <w:bookmarkStart w:id="9" w:name="_Toc514941973"/>
      <w:bookmarkEnd w:id="6"/>
      <w:bookmarkEnd w:id="7"/>
      <w:r>
        <w:rPr>
          <w:noProof/>
        </w:rPr>
        <w:t>1.1.</w:t>
      </w:r>
      <w:r>
        <w:rPr>
          <w:noProof/>
        </w:rPr>
        <w:tab/>
        <w:t>Titolu tal-proposta/tal-inizjattiva</w:t>
      </w:r>
      <w:bookmarkEnd w:id="8"/>
      <w:r>
        <w:rPr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Proposta għal Regolament tal-Parlament Ewropew u tal-Kunsill li jistabbilixxi r-Riżerva ta' Aġġustament għall-Brexit</w:t>
      </w:r>
    </w:p>
    <w:p>
      <w:pPr>
        <w:pStyle w:val="ManualHeading2"/>
        <w:rPr>
          <w:i/>
          <w:noProof/>
        </w:rPr>
      </w:pPr>
      <w:bookmarkStart w:id="10" w:name="_Toc520485200"/>
      <w:bookmarkStart w:id="11" w:name="_Toc514941974"/>
      <w:bookmarkEnd w:id="9"/>
      <w:r>
        <w:rPr>
          <w:noProof/>
        </w:rPr>
        <w:t>1.2.</w:t>
      </w:r>
      <w:r>
        <w:rPr>
          <w:noProof/>
        </w:rPr>
        <w:tab/>
        <w:t xml:space="preserve">Qasam/oqsma ta' politika kkonċernat(i) </w:t>
      </w:r>
      <w:r>
        <w:rPr>
          <w:i/>
          <w:noProof/>
        </w:rPr>
        <w:t>(Cluster tal-programm)</w:t>
      </w:r>
      <w:bookmarkEnd w:id="10"/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16 Nefqa barra mil-limiti massimi annwali stabbiliti fil-Qafas Finanzjarju Pluriennali (l-Artikolu 16 02 03 ir-Riżerva ta’ Aġġustament għall-Brexit (RAB))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</w:rPr>
      </w:pPr>
      <w:r>
        <w:rPr>
          <w:noProof/>
        </w:rPr>
        <w:t>30 Riżervi (l-Artikolu 30 04 03 Riżerva ta’ Aġġustament għall-Brexit (RAB))</w:t>
      </w:r>
    </w:p>
    <w:p>
      <w:pPr>
        <w:pStyle w:val="ManualHeading2"/>
        <w:rPr>
          <w:bCs/>
          <w:noProof/>
          <w:szCs w:val="24"/>
        </w:rPr>
      </w:pPr>
      <w:bookmarkStart w:id="12" w:name="_Toc520485201"/>
      <w:bookmarkEnd w:id="11"/>
      <w:r>
        <w:rPr>
          <w:noProof/>
        </w:rPr>
        <w:t>1.3.</w:t>
      </w:r>
      <w:r>
        <w:rPr>
          <w:noProof/>
        </w:rPr>
        <w:tab/>
        <w:t>Il-proposta/l-inizjattiva hija relatata ma’:</w:t>
      </w:r>
      <w:bookmarkEnd w:id="12"/>
      <w:r>
        <w:rPr>
          <w:noProof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</w:rPr>
        <w:t>X azzjoni ġdida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>azzjoni ġdida segwita minn proġett pilota/azzjoni preparatorja</w:t>
      </w:r>
      <w:r>
        <w:rPr>
          <w:rStyle w:val="FootnoteReference0"/>
          <w:noProof/>
        </w:rPr>
        <w:footnoteReference w:id="23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>l-estensjoni ta’ azzjoni eżistenti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fużjoni jew ridirezzjoni ta’ azzjoni waħda jew aktar lejn azzjoni oħra/azzjoni ġdida </w:t>
      </w:r>
    </w:p>
    <w:p>
      <w:pPr>
        <w:pStyle w:val="ManualHeading2"/>
        <w:rPr>
          <w:bCs/>
          <w:noProof/>
          <w:szCs w:val="24"/>
        </w:rPr>
      </w:pPr>
      <w:bookmarkStart w:id="13" w:name="_Toc514941975"/>
      <w:bookmarkStart w:id="14" w:name="_Toc520485202"/>
      <w:bookmarkStart w:id="15" w:name="_Toc514941976"/>
      <w:bookmarkStart w:id="16" w:name="_Toc56534752"/>
      <w:r>
        <w:rPr>
          <w:noProof/>
        </w:rPr>
        <w:t>1.4.</w:t>
      </w:r>
      <w:r>
        <w:rPr>
          <w:noProof/>
        </w:rPr>
        <w:tab/>
        <w:t>Raġunijiet għall-proposta/għall-inizjattiva</w:t>
      </w:r>
      <w:bookmarkEnd w:id="13"/>
      <w:bookmarkEnd w:id="14"/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bookmarkStart w:id="17" w:name="_Toc520485203"/>
      <w:bookmarkEnd w:id="15"/>
      <w:bookmarkEnd w:id="16"/>
      <w:r>
        <w:rPr>
          <w:noProof/>
        </w:rPr>
        <w:t>1.4.1.</w:t>
      </w:r>
      <w:r>
        <w:rPr>
          <w:noProof/>
        </w:rPr>
        <w:tab/>
        <w:t>Rekwiżit jew rekwiżiti li jridu jiġu ssodisfati fuq terminu qasir jew twil, inkluża kronoloġija dettaljata għat-tnedija tal-implimentazzjoni tal-inizjattiva</w:t>
      </w:r>
      <w:bookmarkEnd w:id="17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Dan ir-Regolament għandu jidħol fis-seħħ l-għada tal-jum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Dan għandu japplika mill-ewwel jum wara li jkun intemm il-perjodu ta’ tranżizzjoni, skont il-ftehim dwar il-ħruġ konkluż mar-Renju Unit f’konformità mal-Artikolu 50(2) TUE.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Ir-Riżerva se tkopri l-Istati Membri kollha u se tiġi attivata kif ġej.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Fl-2021, il-Kummissjoni se tħallas l-ewwel allokazzjoni fil-forma ta’ prefinanzjament sostanzjali lill-Istati Membri kollha . Il-metodu tal-allokazzjoni tal-prefinanzjament se jkun ibbażat fuq statistika uffiċjali komparabbli u affidabbli. Dan se jiġi stabbilit fl-Anness I tar-Regolament propost.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Bejn l-1 ta’ Lulju 2020 u l-31 ta’ Diċembru 2022, meta jkun meħtieġ, l-Istati Membri se jieħdu u jimplimentaw miżuri marbutin direttament mal-mitigazzjoni tal-effetti negattivi tal-ħruġ tar-Renju Unit mill-Unjoni.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Sat-30 ta’ Settembru 2023, l-Istati Membri se jippreżentaw l-applikazzjonijiet tagħhom għal kontribuzzjoni finanzjarja mir-Riżerva. L-applikazzjoni se tkun akkumpanjata minn rapport ta’ implimentazzjoni, dikjarazzjoni ta’ ġestjoni u opinjoni tal-awditjar indipendenti li tkopri l-perjodu ta’ referenza għar-Riżerva.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Fl-2024, il-Kummissjoni se tapprova l-prefinanzjament u, meta jkun applikabbli, se tħallas l-ammonti addizzjonali mir-Riżerva.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Sat-30 ta’ Ġunju 2027, il-Kummissjoni se tippreżenta rapport ta’ implimentazzjoni tar-Riżerva lill-Parlament Ewropew u lill-Kunsill. </w:t>
      </w:r>
    </w:p>
    <w:p>
      <w:pPr>
        <w:pStyle w:val="ManualHeading3"/>
        <w:rPr>
          <w:noProof/>
        </w:rPr>
      </w:pPr>
      <w:bookmarkStart w:id="18" w:name="_Toc514941977"/>
      <w:bookmarkStart w:id="19" w:name="_Toc56534753"/>
      <w:r>
        <w:rPr>
          <w:noProof/>
        </w:rPr>
        <w:t>1.4.2.</w:t>
      </w:r>
      <w:r>
        <w:rPr>
          <w:noProof/>
        </w:rPr>
        <w:tab/>
        <w:t>Il-valur miżjud tal-involviment tal-Unjoni (dan jista’ jirriżulta minn fatturi differenti, eż. titjib fil-koordinazzjoni, ċertezza tad-dritt, effettività jew komplementarjetajiet akbar). Għall-finijiet ta’ dan il-punt, “il-valur miżjud tal-involviment tal-Unjoni” huwa l-valur li jirriżulta mill-intervent tal-Unjoni li jkun addizzjonali għall-valur illi kieku kien jinħoloq mill-Istati Membri waħedhom.</w:t>
      </w:r>
      <w:bookmarkEnd w:id="18"/>
      <w:bookmarkEnd w:id="19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Ir-raġuni għat-twaqqif tar-Riżerva ta’ Aġġustament għall-Brexit hija li tissaħħaħ il-koeżjoni ekonomika, soċjali u territorjali u tintwera solidarjetà tanġibbli mal-Istati Membri, ir-reġjuni u s-setturi l-aktar milqutin mill-ħruġ tar-Renju Unit mill-Unjoni.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Hija meħtieġa azzjoni fil-livell tal-Unjoni sabiex jittaffew l-effetti negattivi tal-ħruġ tar-Renju Unit mill-Unjoni. Dan l-għan ma jistax jintlaħaq b’mod suffiċjenti mill-Istati Membri jekk jaġixxu waħedhom, filwaqt li l-intervent tal-Unjoni jista’ jġib valur addizzjonali billi jistabbilixxi Riżerva mmirata lejn l-appoġġ finanzjarju lill-Istati Membri biex jittaffa l-impatt ekonomiku u soċjetali kkawżat mill-ħruġ.</w:t>
      </w:r>
    </w:p>
    <w:p>
      <w:pPr>
        <w:pStyle w:val="ManualHeading3"/>
        <w:rPr>
          <w:rFonts w:eastAsiaTheme="majorEastAsia"/>
          <w:bCs/>
          <w:noProof/>
        </w:rPr>
      </w:pPr>
      <w:bookmarkStart w:id="20" w:name="_Toc514941978"/>
      <w:bookmarkStart w:id="21" w:name="_Toc56534754"/>
      <w:r>
        <w:rPr>
          <w:noProof/>
        </w:rPr>
        <w:t>1.4.3.</w:t>
      </w:r>
      <w:r>
        <w:rPr>
          <w:noProof/>
        </w:rPr>
        <w:tab/>
        <w:t>Tagħlimiet meħuda minn esperjenzi simili fl-imgħoddi</w:t>
      </w:r>
      <w:bookmarkEnd w:id="20"/>
      <w:bookmarkEnd w:id="21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Strumenti oħrajn fil-livell tal-Unjoni jappoġġaw il-koeżjoni u s-solidarjetà. Il-fondi tal-Unjoni, b’mod partikolari dawk koperti mir-Regolament (UE) Nru 1303/2013 tal-Parlament Ewropew u tal-Kunsill (ir-Regolament dwar Dispożizzjonijiet Komuni), jiffinanzjaw proġetti ta’ investiment li jappoġġaw il-koeżjoni ekonomika, soċjali u territorjali u t-tkabbir. Il-Fond għal Tranżizzjoni Ġusta għandu l-għan li jtaffi l-effetti negattivi tat-tranżizzjoni klimatika billi jappoġġa l-aktar territorji milqutin u l-aktar ħaddiema kkonċernati. InvestEU jipprovdi finanzjament għal proġetti ta’ investiment privat skont twieqi ta’ politika differenti. Il-Fond ta’ Solidarjetà tal-UE wera li huwa strument effettiv ħafna fl-għoti ta’ assistenza lill-Istati Membri wara diżastri naturali. Reċentement, il-kamp ta’ applikazzjoni tiegħu twessa’ wkoll biex ikopri emerġenzi tas-saħħa kbar. Fil-ħarifa tal-2019 ġiet ippreżentata mill-Kummissjoni proposta għall-modifika tiegħu biex jiġi jkopri wkoll l-effetti tal-ħruġ tar-Renju Unit mill-Unjoni mingħajr ftehim, iżda saret obsoleta peress li finalment ġie ffirmat ftehim.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Bħalissa ma hemm l-ebda strument li jipprovdi appoġġ finanzjarju lill-Istati Membri, speċifikament u direttament marbutin mal-konsegwenzi ekonomiċi u soċjali tal-ħruġ tar-Renju Unit mill-Unjoni. L-arkitettura tiegħu tqis is-sitwazzjoni bla preċedent għall-Istati Membri, l-uniċità tagħha u l-ħtieġa li dawn jirreaġixxu malajr u b’mod flessibbli għall-isfidi hekk kif jinħolqu fl-ekonomiji.</w:t>
      </w:r>
    </w:p>
    <w:p>
      <w:pPr>
        <w:pStyle w:val="ManualHeading3"/>
        <w:rPr>
          <w:noProof/>
        </w:rPr>
      </w:pPr>
      <w:bookmarkStart w:id="22" w:name="_Toc514941979"/>
      <w:bookmarkStart w:id="23" w:name="_Toc56534755"/>
      <w:r>
        <w:rPr>
          <w:noProof/>
        </w:rPr>
        <w:t>1.4.4.</w:t>
      </w:r>
      <w:r>
        <w:rPr>
          <w:noProof/>
        </w:rPr>
        <w:tab/>
        <w:t>Kompatibbiltà u sinerġija possibbli ma’ strumenti xierqa oħra</w:t>
      </w:r>
      <w:bookmarkEnd w:id="22"/>
      <w:bookmarkEnd w:id="23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Ir-Riżerva se tkun komplementari u se tiżgura sinerġiji ma’ programmi u strumenti ta’ finanzjament oħra tal-Unjoni. Il-qafas finanzjarju pluriennali 2021–2027 u l-programmi ta’ akkumpanjament, inkluż l-Assistenza fl-Irkupru għall-Koeżjoni u għat-Territorji tal-Ewropa (REACT-EU) taħt il-fondi strutturali u ta’ koeżjoni, il-fondi tal-politika ta’ koeżjoni ta’ wara l-2020, il-Fond għal Tranżizzjoni Ġusta, il-Faċilità għall-Irkupru u r-Reżiljenza u l-InvestEU, se jiffokaw aktar fuq l-indirizzar tal-effetti tal-kriżi kkawżata mill-COVID-19 u se jipprovdu appoġġ lill-ekonomiji tal-Istati Membri biex isiru aktar reżiljenti, sostenibbli u mħejjija aħjar għall-futur. Ir-Riżerva se tikkonċentra r-riżorsi tagħha b’mod speċifiku u esklużiv fuq l-effett dirett tal-avveniment speċifiku u mingħajr preċedent tal-ħruġ tar-Renju Unit mill-Unjoni, li jnaqqas l-impatt tiegħu f’termini ta’ koeżjoni territorjali.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noProof/>
        </w:rPr>
      </w:pPr>
      <w:r>
        <w:rPr>
          <w:noProof/>
        </w:rPr>
        <w:t>L-istrument propost jispira ruħu wkoll mill-esperjenza li ilha teżisti fil-finanzjament tal-politika ta’ koeżjoni u l-Fond ta’ Solidarjetà tal-Unjoni Ewropea (ir-Regolament (KE) Nru 2012/2002 tal-11 ta’ Novembru 2002, kif emendat), filwaqt li jistabbilixxi strument speċifiku ġdid għall-ġlieda kontra l-effetti negattivi tal-irtirar tar-Renju Unit mill-Unjoni Ewropea.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Id-deċiżjonijiet biex jingħata appoġġ finanzjarju lil Stat Membru se jqisu l-miżuri ffinanzjati mill-programmi u l-istrumenti tal-Unjoni, u l-ħtieġa li jiġi evitat finanzjament doppju.</w:t>
      </w:r>
    </w:p>
    <w:p>
      <w:pPr>
        <w:pStyle w:val="ManualHeading2"/>
        <w:rPr>
          <w:bCs/>
          <w:noProof/>
          <w:szCs w:val="24"/>
        </w:rPr>
      </w:pPr>
      <w:bookmarkStart w:id="24" w:name="_Toc514941980"/>
      <w:bookmarkStart w:id="25" w:name="_Toc520485207"/>
      <w:r>
        <w:rPr>
          <w:noProof/>
        </w:rPr>
        <w:t>1.5.</w:t>
      </w:r>
      <w:r>
        <w:rPr>
          <w:noProof/>
        </w:rPr>
        <w:tab/>
        <w:t>Durata u impatt finanzjarju</w:t>
      </w:r>
      <w:bookmarkEnd w:id="24"/>
      <w:bookmarkEnd w:id="25"/>
      <w:r>
        <w:rPr>
          <w:noProof/>
        </w:rPr>
        <w:t xml:space="preserve"> </w:t>
      </w:r>
    </w:p>
    <w:p>
      <w:pPr>
        <w:pStyle w:val="Text1"/>
        <w:rPr>
          <w:b/>
          <w:noProof/>
        </w:rPr>
      </w:pPr>
      <w:r>
        <w:rPr>
          <w:b/>
          <w:noProof/>
          <w:szCs w:val="24"/>
        </w:rPr>
        <w:t>X</w:t>
      </w:r>
      <w:r>
        <w:rPr>
          <w:b/>
          <w:noProof/>
        </w:rPr>
        <w:t xml:space="preserve"> durata limitata </w:t>
      </w:r>
    </w:p>
    <w:p>
      <w:pPr>
        <w:pStyle w:val="ListDash2"/>
        <w:rPr>
          <w:noProof/>
        </w:rPr>
      </w:pPr>
      <w:r>
        <w:rPr>
          <w:b/>
          <w:noProof/>
        </w:rPr>
        <w:t>X</w:t>
      </w:r>
      <w:r>
        <w:rPr>
          <w:noProof/>
        </w:rPr>
        <w:tab/>
        <w:t xml:space="preserve">fis-seħħ mill-01/01/2021 sal-31/12/2025 </w:t>
      </w:r>
    </w:p>
    <w:p>
      <w:pPr>
        <w:pStyle w:val="ListDash2"/>
        <w:rPr>
          <w:noProof/>
        </w:rPr>
      </w:pPr>
      <w:r>
        <w:rPr>
          <w:b/>
          <w:noProof/>
        </w:rPr>
        <w:t>X</w:t>
      </w:r>
      <w:r>
        <w:rPr>
          <w:noProof/>
        </w:rPr>
        <w:tab/>
        <w:t xml:space="preserve">L-impatt finanzjarju fl-2021 u l-2024 għall-approprjazzjonijiet tal-impenji u fl-2021 u l-2024 għall-approprjazzjonijiet tal-pagamenti. </w:t>
      </w:r>
    </w:p>
    <w:p>
      <w:pPr>
        <w:pStyle w:val="Text1"/>
        <w:rPr>
          <w:b/>
          <w:noProof/>
        </w:rPr>
      </w:pPr>
      <w:r>
        <w:rPr>
          <w:b/>
          <w:noProof/>
        </w:rPr>
        <w:sym w:font="Wingdings" w:char="F0A8"/>
      </w:r>
      <w:r>
        <w:rPr>
          <w:b/>
          <w:noProof/>
        </w:rPr>
        <w:t xml:space="preserve"> durata mhux limitata</w:t>
      </w:r>
    </w:p>
    <w:p>
      <w:pPr>
        <w:pStyle w:val="ListDash1"/>
        <w:rPr>
          <w:noProof/>
        </w:rPr>
      </w:pPr>
      <w:r>
        <w:rPr>
          <w:noProof/>
        </w:rPr>
        <w:t>Implimentazzjoni b’perjodu ta’ tnedija minn SSSS sa SSSS,</w:t>
      </w:r>
    </w:p>
    <w:p>
      <w:pPr>
        <w:pStyle w:val="ListDash1"/>
        <w:rPr>
          <w:noProof/>
        </w:rPr>
      </w:pPr>
      <w:r>
        <w:rPr>
          <w:noProof/>
        </w:rPr>
        <w:t>segwita bi tħaddim fuq skala sħiħa.</w:t>
      </w:r>
    </w:p>
    <w:p>
      <w:pPr>
        <w:pStyle w:val="ManualHeading2"/>
        <w:rPr>
          <w:noProof/>
          <w:szCs w:val="24"/>
        </w:rPr>
      </w:pPr>
      <w:bookmarkStart w:id="26" w:name="_Toc514941981"/>
      <w:bookmarkStart w:id="27" w:name="_Toc56534757"/>
      <w:r>
        <w:rPr>
          <w:noProof/>
        </w:rPr>
        <w:t>1.6.</w:t>
      </w:r>
      <w:r>
        <w:rPr>
          <w:noProof/>
        </w:rPr>
        <w:tab/>
        <w:t>Mod(i) ta’ ġestjoni ppjanat(i)</w:t>
      </w:r>
      <w:bookmarkEnd w:id="26"/>
      <w:bookmarkEnd w:id="27"/>
      <w:r>
        <w:rPr>
          <w:rStyle w:val="FootnoteReference0"/>
          <w:noProof/>
        </w:rPr>
        <w:footnoteReference w:id="24"/>
      </w:r>
      <w:r>
        <w:rPr>
          <w:noProof/>
          <w:vertAlign w:val="superscript"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Ġestjoni diretta</w:t>
      </w:r>
      <w:r>
        <w:rPr>
          <w:noProof/>
        </w:rPr>
        <w:t xml:space="preserve"> mill-Kummissjoni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mid-dipartimenti tagħha, inkluż mill-persunal tagħha fid-delegazzjonijiet tal-Unjoni;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mill-aġenziji eżekuttivi </w:t>
      </w:r>
    </w:p>
    <w:p>
      <w:pPr>
        <w:pStyle w:val="Text1"/>
        <w:rPr>
          <w:noProof/>
        </w:rPr>
      </w:pPr>
      <w:r>
        <w:rPr>
          <w:b/>
          <w:noProof/>
          <w:szCs w:val="24"/>
        </w:rPr>
        <w:t>X</w:t>
      </w:r>
      <w:r>
        <w:rPr>
          <w:b/>
          <w:i/>
          <w:noProof/>
        </w:rPr>
        <w:t xml:space="preserve"> </w:t>
      </w:r>
      <w:r>
        <w:rPr>
          <w:b/>
          <w:noProof/>
        </w:rPr>
        <w:t>Ġestjoni kondiviża</w:t>
      </w:r>
      <w:r>
        <w:rPr>
          <w:noProof/>
        </w:rPr>
        <w:t xml:space="preserve"> mal-Istati Membri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Ġestjoni indiretta</w:t>
      </w:r>
      <w:r>
        <w:rPr>
          <w:noProof/>
        </w:rPr>
        <w:t xml:space="preserve"> billi jiġu fdati kompiti ta’ implimentazzjoni tal-baġit lil: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pajjiżi terzi jew lill-korpi nnominati minnhom;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lill-organizzazzjonijiet internazzjonali u lill-aġenziji tagħhom (iridu jiġu speċifikati);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il-BEI u l-Fond Ewropew tal-Investiment;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li hemm referenza għalihom fl-Artikoli 70 u 71 tar-Regolament Finanzjarju;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bil-liġi pubblika;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regolati bil-liġi privata b’missjoni ta’ servizz pubbliku sa fejn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regolati bil-liġi privata ta’ Stat Membru li huma fdati bl-implimentazzjoni ta’ sħubija pubblika-privata u li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lill-persuni fdati bl-implimentazzjoni ta’ azzjonijiet speċifiċi fil-PESK skont it-Titolu V tat-TUE, u identifikati fl-att bażiku rilevanti.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Jekk jiġi indikat aktar minn mod wieħed ta’ ġestjoni, jekk jogħġbok ipprovdi d-dettalji fit-taqsima “Kummenti”.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noProof/>
          <w:szCs w:val="24"/>
        </w:rPr>
      </w:pPr>
      <w:bookmarkStart w:id="28" w:name="_Toc514941982"/>
      <w:bookmarkStart w:id="29" w:name="_Toc56534758"/>
      <w:r>
        <w:rPr>
          <w:noProof/>
        </w:rPr>
        <w:t>2.</w:t>
      </w:r>
      <w:r>
        <w:rPr>
          <w:noProof/>
        </w:rPr>
        <w:tab/>
        <w:t>MIŻURI TA' ĠESTJONI</w:t>
      </w:r>
      <w:bookmarkEnd w:id="28"/>
      <w:bookmarkEnd w:id="29"/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bookmarkStart w:id="30" w:name="_Toc514941983"/>
      <w:bookmarkStart w:id="31" w:name="_Toc56534759"/>
      <w:r>
        <w:rPr>
          <w:noProof/>
        </w:rPr>
        <w:t>2.1.</w:t>
      </w:r>
      <w:r>
        <w:rPr>
          <w:noProof/>
        </w:rPr>
        <w:tab/>
        <w:t>Regoli ta’ monitoraġġ u ta’ rapportar</w:t>
      </w:r>
      <w:bookmarkEnd w:id="30"/>
      <w:bookmarkEnd w:id="31"/>
      <w:r>
        <w:rPr>
          <w:noProof/>
        </w:rPr>
        <w:t xml:space="preserve"> </w:t>
      </w:r>
    </w:p>
    <w:p>
      <w:pPr>
        <w:pStyle w:val="Text1"/>
        <w:rPr>
          <w:i/>
          <w:noProof/>
          <w:sz w:val="22"/>
        </w:rPr>
      </w:pPr>
      <w:r>
        <w:rPr>
          <w:i/>
          <w:noProof/>
          <w:sz w:val="22"/>
        </w:rPr>
        <w:t>Speċifika l-frekwenza u l-kundizzjonijiet.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L-Istati Membri kollha se jkollhom jippreżentaw applikazzjoni għal kontribuzzjoni finanzjarja mir-Riżerva, li se tagħti dettalji u tiġġustifika n-nefqa pubblika li tirriżulta minn u hi marbuta mal-ħruġ tar-Renju Unit mill-Unjoni, f’konformità mal-eliġibbiltà stabbilita hawn taħt. Ir-Regolament se jistabbilixxi skadenza unika għas-sottomissjoni; il-Kummissjoni tipproponi t-30 ta’ Settembru 2023 bħala l-aħħar jum biex jitressqu tali applikazzjonijiet.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Barra minn hekk, l-Istati Membri se jippreżentaw, bħala parti mill-applikazzjoni, rapport ta’ implimentazzjoni, dikjarazzjoni ta’ ġestjoni u opinjoni tal-awditjar indipendenti li tkopri l-perjodu ta’ referenza għar-Riżerva. Ir-rapport ta’ implimentazzjoni se jagħti dettalji pereżempju dwar il-miżuri meħuda u n-nefqa mġarrba mill-1 ta’ Lulju 2020 sal-31 ta’ Diċembru 2022 u l-miżuri meħuda biex jiġi evitat finanzjament doppju u biex tiġi żgurata l-komplementarjetà ma’ strumenti u finanzjament oħra tal-UE u nazzjonali.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Sat-30 ta’ Ġunju 2027, il-Kummissjoni se tippreżenta rapport lill-Parlament Ewropew u lill-Kunsill dwar l-attività tar-Riżerva.</w:t>
      </w:r>
    </w:p>
    <w:p>
      <w:pPr>
        <w:pStyle w:val="ManualHeading2"/>
        <w:rPr>
          <w:bCs/>
          <w:noProof/>
          <w:szCs w:val="24"/>
        </w:rPr>
      </w:pPr>
      <w:bookmarkStart w:id="32" w:name="_Toc514941984"/>
      <w:bookmarkStart w:id="33" w:name="_Toc520485211"/>
      <w:r>
        <w:rPr>
          <w:noProof/>
        </w:rPr>
        <w:t>2.2.</w:t>
      </w:r>
      <w:r>
        <w:rPr>
          <w:noProof/>
        </w:rPr>
        <w:tab/>
        <w:t>Sistema jew sistemi ta’ ġestjoni u ta’ kontroll</w:t>
      </w:r>
      <w:bookmarkEnd w:id="32"/>
      <w:bookmarkEnd w:id="33"/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bookmarkStart w:id="34" w:name="_Toc514941985"/>
      <w:bookmarkStart w:id="35" w:name="_Toc520485212"/>
      <w:r>
        <w:rPr>
          <w:noProof/>
        </w:rPr>
        <w:t>2.2.1.</w:t>
      </w:r>
      <w:r>
        <w:rPr>
          <w:noProof/>
        </w:rPr>
        <w:tab/>
        <w:t>Ġustifikazzjoni tal-mod(i) ta’ ġestjoni, il-mekkaniżmu/i għall-implimentazzjoni tal-finanzjament, il-modalitajiet ta’ pagament u l-istrateġija ta’ kontroll proposta</w:t>
      </w:r>
      <w:bookmarkEnd w:id="34"/>
      <w:bookmarkEnd w:id="35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>Ġestjoni u kontroll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Il-baġit allokat għar-Riżerva se jiġi implimentat taħt ġestjoni kondiviża bejn l-Istati Membri u l-Kummissjoni, li jiggarantixxi r-rispett sħiħ tal-prinċipji tal-ġestjoni finanzjarja tajba, it-trasparenza u n-nondiskriminazzjoni u n-nuqqas ta’ kunflitt ta’ interess. B’mod partikulari, l-Istati Membri se jkollhom jistabbilixxu sistema ta’ ġestjoni u kontroll u jaħtru korpi responsabbli għall-ġestjoni tar-Riżerva u korp indipendenti tal-awditjar. Ir-Regolament jistabbilixxi b’mod ċar ir-responsabbiltajiet għall-Istati Membri u sett minimu ta’ rekwiżiti għall-korpi responsabbli għall-ġestjoni, il-kontroll u l-awditjar tal-kontribuzzjoni finanzjarja taħt ir-Riżerva. L-Istati Membri se jistabbilixxu sistemi li għandhom l-għan li jipprevjenu, jidentifikaw u jittrattaw b’mod effettiv kwalunkwe irregolarità u frodi.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L-Istati Membri jeħtieġ li jinnotifikaw lill-Kummissjoni bl-identità tal-korpi maħtura u tal-korp li lilu għandu jitħallas il-prefinanzjament, u jikkonfermaw li d-deskrizzjonijiet tas-sistemi tfasslu fi żmien tliet xhur mid-dħul fis-seħħ ta’ dan ir-Regolament.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Għal raġunijiet ta’ simplifikazzjoni, l-Istati Membri jistgħu jagħmlu użu mill-korpi u s-sistemi maħtura eżistenti stabbiliti għall-fini tal-ġestjoni u l-kontroll tal-finanzjament tal-politika ta’ koeżjoni jew tal-Fond ta’ Solidarjetà tal-Unjoni Ewropea.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Il-Kummissjoni se tieħu azzjonijiet xierqa biex tiżgura li l-interessi finanzjarji tal-Unjoni jkunu protetti.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>Ġestjoni finanzjarja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Il-mekkaniżmu ta’ implimentazzjoni tal-finanzjament u l-modalitajiet ta’ pagament se jkunu kif ġej. Ir-Riżerva se tkopri l-Istati Membri kollha u se tiġi attivata f’żewġ allokazzjonijiet – l-ewwel waħda fl-2021 fil-forma ta’ prefinanzjament sostanzjali, u t-tieni waħda fl-2024 bħala pagament ta’ ammonti addizzjonali mir-Riżerva. Il-metodu ta’ allokazzjoni għall-prefinanzjament se jiġi stabbilit fl-Anness I tar-Regolament sabiex tiġi żgurata trasparenza sħiħa.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Sat-30 ta’ Settembru 2023, l-Istati Membri kollha se jippreżentaw applikazzjoni għal kontribuzzjoni finanzjarja mir-Riżerva (kif stabbilit fl-Anness II ta’ dan ir-Regolament), li tagħti dettalji u tiġġustifika n-nefqa pubblika totali mġarrba u mħallsa mill-Istat Membru mill-1 ta’ Lulju 2020 sal-31 ta’ Diċembru 2022. L-applikazzjoni se tkun akkumpanjata minn rapport ta’ implimentazzjoni, li jagħti dettalji, fost l-oħrajn, tal-miżuri meħuda biex jiġu miġġielda l-konsegwenzi negattivi tal-ħruġ tar-Renju Unit mill-Unjoni, u kif ġew implimentati, dikjarazzjoni ta’ ġestjoni u opinjoni tal-awditjar indipendenti li tkopri l-perjodu ta’ referenza għar-Riżerva.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Il-Kummissjoni se tivvaluta l-applikazzjonijiet f’pakkett, b'mod li jiggarantixxi trattament ugwali tal-Istati Membri kollha u li jiżgura l-konsistenza fl-evalwazzjoni. Fil-valutazzjoni tal-applikazzjonijiet għal kontribuzzjoni finanzjarja mir-Riżerva, il-Kummissjoni se tapprova l-prefinanzjament imħallas, u tirkupra l-ammont mhux użat għall-fini ta’ dan ir-Regolament. Fejn in-nefqa taqbeż l-ammont imħallas fil-prefinanzjament u 0.06 % tal-ING nominali tal-2021, jistgħu jitħallsu allokazzjonijiet addizzjonali mir-Riżerva biex jikkontribwixxu għall-ammonti eċċessivi, fil-limiti tar-riżorsi finanzjarji disponibbli. L-ammonti rkuprati mill-prefinanzjament u riportati jistgħu jintużaw għar-rimborż ta’ nefqa addizzjonali mill-Istati Membri, sakemm ikun hemm domanda.</w:t>
      </w:r>
    </w:p>
    <w:p>
      <w:pPr>
        <w:pStyle w:val="ManualHeading3"/>
        <w:rPr>
          <w:noProof/>
        </w:rPr>
      </w:pPr>
      <w:bookmarkStart w:id="36" w:name="_Toc514941986"/>
      <w:bookmarkStart w:id="37" w:name="_Toc520485213"/>
      <w:r>
        <w:rPr>
          <w:noProof/>
        </w:rPr>
        <w:t>2.2.2.</w:t>
      </w:r>
      <w:r>
        <w:rPr>
          <w:noProof/>
        </w:rPr>
        <w:tab/>
        <w:t>Informazzjoni dwar ir-riskji identifikati u s-sistema/i ta’ kontroll intern stabbiliti għall-mitigazzjoni tagħhom</w:t>
      </w:r>
      <w:bookmarkEnd w:id="36"/>
      <w:bookmarkEnd w:id="37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Ir-riskji huma dawn segwenti. Huwa importanti li jiġi żgurat li: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Cs w:val="24"/>
        </w:rPr>
      </w:pPr>
      <w:r>
        <w:rPr>
          <w:noProof/>
        </w:rPr>
        <w:t>- in-nefqa pubblika totali ddikjarata mill-Istati Membri hija marbuta ma’ miżuri meħuda biex jikkumbattu l-konsegwenzi negattivi tal-ħruġ tar-Renju Unit mill-Unjoni;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Cs w:val="24"/>
        </w:rPr>
      </w:pPr>
      <w:r>
        <w:rPr>
          <w:noProof/>
        </w:rPr>
        <w:t>- in-nefqa pubblika totali ddikjarata mill-Istati Membri hija limitata għall-perjodu ta’ referenza mill-1 ta’ Lulju 2020 sal-31 ta’ Diċembru 2022;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jiġi evitat finanzjament doppju.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Se jiddaħħlu fis-seħħ miżuri biex itaffu dawn ir-riskji matul l-implimentazzjoni u l-iżborż tar-Riżerva: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l-istabbiliment fl-att leġiżlattiv ta’ metodutrasparenti ta’ allokazzjoni u ħlas;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proċess ta’ valutazzjoni bir-reqqa mill-Kummissjoni qabel il-pagament tal-ammonti addizzjonali mir-Riżerva;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l-irkupru tal-prefinanzjament jew parti minnu f’każ li l-ammont aċċettat mill-Kummissjoni tan-nefqa eliġibbli ddikjarata minn Stat Membru jkun aktar baxx mill-prefinanzjament jew f’każ li jinstabu irregolaritajiet;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l-użu ta’ sistema ta’ ġestjoni u kontroll speċifika għall-ġestjoni kondiviża f’konformità mal-Artikolu 63 tar-Regolament (UE, Euratom) 2018/1046 bħal dawk użati taħt il-politika ta’ koeżjoni jew taħt il-Fond ta’ Solidarjetà tal-UE. L-Istati Membri se japplikaw korrezzjonijiet finanzjarji fuq infiq irregolari.</w:t>
      </w:r>
    </w:p>
    <w:p>
      <w:pPr>
        <w:pStyle w:val="ManualHeading3"/>
        <w:rPr>
          <w:noProof/>
        </w:rPr>
      </w:pPr>
      <w:bookmarkStart w:id="38" w:name="_Toc514941987"/>
      <w:bookmarkStart w:id="39" w:name="_Toc520485214"/>
      <w:r>
        <w:rPr>
          <w:noProof/>
        </w:rPr>
        <w:t>2.2.3.</w:t>
      </w:r>
      <w:r>
        <w:rPr>
          <w:noProof/>
        </w:rPr>
        <w:tab/>
        <w:t>Stima u ġustifikazzjoni tal-kosteffettività tal-kontrolli (proporzjon tal-“kostijiet tal-kontroll ÷ il-valur tal-fondi relatati ġestiti”) u valutazzjoni tal-livelli mistennija tar-riskju ta’ errur (mal-ħlas u fl-għeluq)</w:t>
      </w:r>
      <w:bookmarkEnd w:id="38"/>
      <w:bookmarkEnd w:id="39"/>
      <w:r>
        <w:rPr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Il-Kummissjoni kkunsidrat dawn l-elementi kritiċi bir-reqqa bil-għan li ssib bilanċ tajjeb bejn ir-responsabbiltà, is-simplifikazzjoni u l-prestazzjoni.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F’dan il-kuntest, il-Kummissjoni tipproponi li s-sistema ta’ ġestjoni u kontroll tar-Riżerva hija rregolata mir-regoli applikabbli għall-fondi b’ġestjoni kondiviża, eż. ir-Regolament dwar id-Dispożizzjonijiet Komuni u l-Fond ta’ Solidarjetà tal-UE. Ir-Regolament jistabbilixxi b’mod ċar ir-responsabbiltajiet għall-Istati Membri u sett minimu ta’ rekwiżiti għall-korpi responsabbli għall-ġestjoni, il-kontroll u l-awditjar tal-kontribuzzjoni finanzjarja taħt ir-Riżerva. L-Istati Membri se jistabbilixxu sistemi li għandhom l-għan li jipprevjenu, jidentifikaw u jittrattaw b’mod effettiv kwalunkwe irregolarità, frodi u kunflitt ta’ interess.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Sabiex jiġu evitati piżijiet finanzjarji u amministrattivi żejda fuq l-Istati Membri, id-dispożizzjonijiet proposti jilħqu bilanċ tajjeb bejn l-assigurazzjoni u r-regoli simplifikati u jippromwovu r-riportament tas-sistemi eżistenti.</w:t>
      </w:r>
    </w:p>
    <w:p>
      <w:pPr>
        <w:pStyle w:val="ManualHeading2"/>
        <w:rPr>
          <w:bCs/>
          <w:noProof/>
          <w:szCs w:val="24"/>
        </w:rPr>
      </w:pPr>
      <w:bookmarkStart w:id="40" w:name="_Toc514941988"/>
      <w:bookmarkStart w:id="41" w:name="_Toc520485215"/>
      <w:r>
        <w:rPr>
          <w:noProof/>
        </w:rPr>
        <w:t>2.3.</w:t>
      </w:r>
      <w:r>
        <w:rPr>
          <w:noProof/>
        </w:rPr>
        <w:tab/>
        <w:t>Miżuri għall-prevenzjoni tal-frodi u tal-irregolaritajiet</w:t>
      </w:r>
      <w:bookmarkEnd w:id="40"/>
      <w:bookmarkEnd w:id="41"/>
      <w:r>
        <w:rPr>
          <w:noProof/>
        </w:rPr>
        <w:t xml:space="preserve">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l-miżuri ta’ prevenzjoni u ta’ protezzjoni eżistenti jew previsti, eż. mill-Istrateġija ta’ Kontra l-Frodi.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Skont ir-regoli ta’ ġestjoni kondiviża, l-Istati Membri se jkollhom jistabbilixxu sistema ta’ ġestjoni u kontroll u jaħtru korpi responsabbli għall-ġestjoni tar-Riżerva u korp indipendenti tal-awditjar. L-Istati Membri għandhom jinnotifikaw lill-Kummissjoni bl-identità tal-korpi maħtura u tal-korp li lilu se jitħallas il-prefinanzjament, u jikkonfermaw li d-deskrizzjonijiet tas-sistemi tfasslu fi żmien tliet xhur mid-dħul fis-seħħ ta’ dan ir-Regolament.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L-awtoritajiet tal-Istati Membri se jkollhom jużaw miżuri u proċeduri effettivi u proporzjonati kontra l-frodi, b’mod speċifiku billi jqisu r-riskji identifikati ta’ frodi. L-awtoritajiet tal-Istati Membri se jkunu jistgħu jagħmlu użu mis-sistemi attwalment eżistenti għall-irregolaritajiet u l-prevenzjoni tal-frodi stabbiliti skont ir-regoli ta’ ġestjoni kondiviża li jirregolaw il-fondi tal-politika ta’ koeżjoni u l-Fond ta’ Solidarjetà tal-UE.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Il-Kummissjoni u istituzzjonijiet oħra tal-UE (il-Qorti Ewropea tal-Awdituri, l-OLAF) se jwettqu l-kontrolli u l-awditi tas-soltu tagħhom.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bookmarkStart w:id="42" w:name="_Toc514941989"/>
      <w:bookmarkStart w:id="43" w:name="_Toc520485216"/>
      <w:r>
        <w:rPr>
          <w:noProof/>
        </w:rPr>
        <w:t>3.</w:t>
      </w:r>
      <w:r>
        <w:rPr>
          <w:noProof/>
        </w:rPr>
        <w:tab/>
        <w:t>IMPATT FINANZJARJU STMAT TAL-PROPOSTA/TAL-INIZJATTIVA</w:t>
      </w:r>
      <w:bookmarkEnd w:id="42"/>
      <w:bookmarkEnd w:id="43"/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bookmarkStart w:id="44" w:name="_Toc514941990"/>
      <w:bookmarkStart w:id="45" w:name="_Toc520485217"/>
      <w:r>
        <w:rPr>
          <w:noProof/>
        </w:rPr>
        <w:t>3.1.</w:t>
      </w:r>
      <w:r>
        <w:rPr>
          <w:noProof/>
        </w:rPr>
        <w:tab/>
        <w:t>Intestatura tal-qafas finanzjarju pluriennali u l-linji baġitarji ġodda tan-nefqa proposti</w:t>
      </w:r>
      <w:bookmarkEnd w:id="44"/>
      <w:bookmarkEnd w:id="45"/>
      <w:r>
        <w:rPr>
          <w:noProof/>
        </w:rPr>
        <w:t xml:space="preserve"> </w:t>
      </w:r>
    </w:p>
    <w:tbl>
      <w:tblPr>
        <w:tblW w:w="106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720"/>
        <w:gridCol w:w="1080"/>
        <w:gridCol w:w="1044"/>
        <w:gridCol w:w="1134"/>
        <w:gridCol w:w="814"/>
        <w:gridCol w:w="1448"/>
      </w:tblGrid>
      <w:tr>
        <w:tc>
          <w:tcPr>
            <w:tcW w:w="144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72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Tip ta’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44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720" w:type="dxa"/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Diff./Mhux diff.</w:t>
            </w:r>
            <w:r>
              <w:rPr>
                <w:rStyle w:val="FootnoteReference0"/>
                <w:noProof/>
                <w:sz w:val="18"/>
              </w:rPr>
              <w:footnoteReference w:id="25"/>
            </w:r>
            <w:r>
              <w:rPr>
                <w:noProof/>
              </w:rPr>
              <w:t xml:space="preserve"> 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minn pajjiżi tal-EFTA</w:t>
            </w:r>
            <w:r>
              <w:rPr>
                <w:rStyle w:val="FootnoteReference0"/>
                <w:noProof/>
                <w:sz w:val="18"/>
              </w:rPr>
              <w:footnoteReference w:id="26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minn pajjiżi kandidati</w:t>
            </w:r>
            <w:r>
              <w:rPr>
                <w:rStyle w:val="FootnoteReference0"/>
                <w:noProof/>
                <w:sz w:val="18"/>
              </w:rPr>
              <w:footnoteReference w:id="27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skont it-tifsira tal-Artikolu 21(2)(b) tar-Regolament Finanzjarju </w:t>
            </w:r>
          </w:p>
        </w:tc>
      </w:tr>
      <w:tr>
        <w:tc>
          <w:tcPr>
            <w:tcW w:w="144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Titlu 16: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In-nefqa barra mil-limiti annwali stabbiliti fil-Qafas Finanzjarju Pluriennali</w:t>
            </w:r>
          </w:p>
        </w:tc>
        <w:tc>
          <w:tcPr>
            <w:tcW w:w="3720" w:type="dxa"/>
            <w:vAlign w:val="center"/>
          </w:tcPr>
          <w:p>
            <w:pPr>
              <w:spacing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02 03 Riżerva ta’ Aġġustament għall-Brexit(BAR)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  <w:sz w:val="18"/>
              </w:rPr>
              <w:t>Diff.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LE</w:t>
            </w:r>
          </w:p>
        </w:tc>
      </w:tr>
      <w:tr>
        <w:tc>
          <w:tcPr>
            <w:tcW w:w="144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Titlu 30: Riżervi</w:t>
            </w:r>
          </w:p>
        </w:tc>
        <w:tc>
          <w:tcPr>
            <w:tcW w:w="3720" w:type="dxa"/>
            <w:vAlign w:val="center"/>
          </w:tcPr>
          <w:p>
            <w:pPr>
              <w:spacing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 04 03 Riżerva ta’ Aġġustament għall-Brexit(BAR)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  <w:sz w:val="18"/>
              </w:rPr>
              <w:t>Differenzjat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LE</w:t>
            </w:r>
          </w:p>
        </w:tc>
      </w:tr>
    </w:tbl>
    <w:p>
      <w:pPr>
        <w:rPr>
          <w:noProof/>
        </w:rPr>
        <w:sect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bookmarkStart w:id="46" w:name="_Toc514941991"/>
      <w:bookmarkStart w:id="47" w:name="_Toc520485218"/>
      <w:r>
        <w:rPr>
          <w:noProof/>
        </w:rPr>
        <w:t>3.2.</w:t>
      </w:r>
      <w:r>
        <w:rPr>
          <w:noProof/>
        </w:rPr>
        <w:tab/>
        <w:t>Impatt stmat fuq in-nefqa</w:t>
      </w:r>
      <w:bookmarkEnd w:id="46"/>
      <w:bookmarkEnd w:id="47"/>
      <w:r>
        <w:rPr>
          <w:noProof/>
        </w:rPr>
        <w:t xml:space="preserve"> </w:t>
      </w:r>
    </w:p>
    <w:p>
      <w:pPr>
        <w:pStyle w:val="ManualHeading3"/>
        <w:rPr>
          <w:noProof/>
          <w:u w:val="single"/>
        </w:rPr>
      </w:pPr>
      <w:bookmarkStart w:id="48" w:name="_Toc514941992"/>
      <w:bookmarkStart w:id="49" w:name="_Toc520485219"/>
      <w:r>
        <w:rPr>
          <w:noProof/>
        </w:rPr>
        <w:t>3.2.1.</w:t>
      </w:r>
      <w:r>
        <w:rPr>
          <w:noProof/>
        </w:rPr>
        <w:tab/>
        <w:t>Sommarju tal-impatt stmat fuq in-nefqa</w:t>
      </w:r>
      <w:bookmarkEnd w:id="48"/>
      <w:bookmarkEnd w:id="49"/>
      <w:r>
        <w:rPr>
          <w:noProof/>
        </w:rPr>
        <w:t xml:space="preserve">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EUR, fi prezzijiet attwali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Intestatura tal-qafas finanzjarju 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&lt;…&gt;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 xml:space="preserve">Riżerva ta’ Aġġustament għall-Brexit għall-16 02 03 (BAR)/ 30 04 03 Riżerva ta’ Aġġustament għall-Brexit (BAR) </w:t>
            </w:r>
          </w:p>
        </w:tc>
      </w:tr>
    </w:tbl>
    <w:p>
      <w:pPr>
        <w:rPr>
          <w:noProof/>
          <w:sz w:val="16"/>
        </w:rPr>
      </w:pPr>
    </w:p>
    <w:tbl>
      <w:tblPr>
        <w:tblW w:w="14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3"/>
        <w:gridCol w:w="1440"/>
        <w:gridCol w:w="654"/>
        <w:gridCol w:w="868"/>
        <w:gridCol w:w="868"/>
        <w:gridCol w:w="868"/>
        <w:gridCol w:w="868"/>
        <w:gridCol w:w="868"/>
        <w:gridCol w:w="868"/>
        <w:gridCol w:w="909"/>
        <w:gridCol w:w="909"/>
        <w:gridCol w:w="1289"/>
      </w:tblGrid>
      <w:tr>
        <w:trPr>
          <w:jc w:val="center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2025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2026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2027</w:t>
            </w:r>
          </w:p>
        </w:tc>
        <w:tc>
          <w:tcPr>
            <w:tcW w:w="909" w:type="dxa"/>
          </w:tcPr>
          <w:p>
            <w:pPr>
              <w:jc w:val="center"/>
              <w:rPr>
                <w:b/>
                <w:i/>
                <w:noProof/>
                <w:sz w:val="20"/>
              </w:rPr>
            </w:pPr>
            <w:r>
              <w:rPr>
                <w:b/>
                <w:i/>
                <w:noProof/>
                <w:sz w:val="20"/>
              </w:rPr>
              <w:t>Wara l-2027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trHeight w:val="433"/>
          <w:jc w:val="center"/>
        </w:trPr>
        <w:tc>
          <w:tcPr>
            <w:tcW w:w="4103" w:type="dxa"/>
            <w:vMerge w:val="restart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Approprjazzjonijiet operazzjonali 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4 244 832 000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1 126 162 000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09" w:type="dxa"/>
            <w:shd w:val="clear" w:color="auto" w:fill="A6A6A6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09" w:type="dxa"/>
            <w:shd w:val="clear" w:color="auto" w:fill="A6A6A6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5 370 994 000</w:t>
            </w:r>
          </w:p>
        </w:tc>
      </w:tr>
      <w:tr>
        <w:trPr>
          <w:trHeight w:val="411"/>
          <w:jc w:val="center"/>
        </w:trPr>
        <w:tc>
          <w:tcPr>
            <w:tcW w:w="4103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4 244 832 000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1 126 162 000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09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09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5 370 994 000</w:t>
            </w:r>
          </w:p>
        </w:tc>
      </w:tr>
      <w:tr>
        <w:trPr>
          <w:trHeight w:val="319"/>
          <w:jc w:val="center"/>
        </w:trPr>
        <w:tc>
          <w:tcPr>
            <w:tcW w:w="4103" w:type="dxa"/>
            <w:vAlign w:val="center"/>
          </w:tcPr>
          <w:p>
            <w:pPr>
              <w:spacing w:before="20" w:after="20"/>
              <w:jc w:val="left"/>
              <w:rPr>
                <w:noProof/>
              </w:rPr>
            </w:pPr>
            <w:r>
              <w:rPr>
                <w:noProof/>
                <w:sz w:val="20"/>
              </w:rPr>
              <w:t>Approprjazzjonijiet ta’ natura amministrattiva ffinanzjati mill-pakkett tal-programm</w:t>
            </w:r>
            <w:r>
              <w:rPr>
                <w:rStyle w:val="FootnoteReference0"/>
                <w:noProof/>
                <w:sz w:val="20"/>
              </w:rPr>
              <w:footnoteReference w:id="28"/>
            </w:r>
            <w:r>
              <w:rPr>
                <w:noProof/>
                <w:sz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pacing w:before="40" w:after="4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 = Pagamenti</w:t>
            </w:r>
          </w:p>
        </w:tc>
        <w:tc>
          <w:tcPr>
            <w:tcW w:w="654" w:type="dxa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09" w:type="dxa"/>
            <w:shd w:val="clear" w:color="auto" w:fill="A6A6A6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09" w:type="dxa"/>
            <w:shd w:val="clear" w:color="auto" w:fill="A6A6A6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jc w:val="center"/>
        </w:trPr>
        <w:tc>
          <w:tcPr>
            <w:tcW w:w="4103" w:type="dxa"/>
            <w:vMerge w:val="restart"/>
            <w:vAlign w:val="center"/>
          </w:tcPr>
          <w:p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ta’ approprazzjonijiet għall-pakkett tal-programm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4 244 832 000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1 126 162 000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09" w:type="dxa"/>
            <w:shd w:val="clear" w:color="auto" w:fill="A6A6A6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09" w:type="dxa"/>
            <w:shd w:val="clear" w:color="auto" w:fill="A6A6A6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5 370 994 000</w:t>
            </w:r>
          </w:p>
        </w:tc>
      </w:tr>
      <w:tr>
        <w:trPr>
          <w:jc w:val="center"/>
        </w:trPr>
        <w:tc>
          <w:tcPr>
            <w:tcW w:w="4103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4 244 832 000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1 126 162 000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09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09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5 370 994 000</w:t>
            </w:r>
          </w:p>
        </w:tc>
      </w:tr>
    </w:tbl>
    <w:p>
      <w:pPr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 xml:space="preserve">Intestatura tal-qafas finanzjarju pluriennali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"Nefqa amministrattiva”</w:t>
            </w:r>
          </w:p>
        </w:tc>
      </w:tr>
    </w:tbl>
    <w:p>
      <w:pPr>
        <w:jc w:val="left"/>
        <w:rPr>
          <w:noProof/>
        </w:rPr>
      </w:pPr>
      <w:r>
        <w:rPr>
          <w:noProof/>
        </w:rPr>
        <w:t>Jenħtieġ li din it-taqsima timtela bl-użu tad-“</w:t>
      </w:r>
      <w:r>
        <w:rPr>
          <w:i/>
          <w:iCs/>
          <w:noProof/>
        </w:rPr>
        <w:t xml:space="preserve">data </w:t>
      </w:r>
      <w:r>
        <w:rPr>
          <w:noProof/>
        </w:rPr>
        <w:t>tal-baġit ta’ natura amministrattiva” li se tiġi introdotta għall-ewwel darba fl-</w:t>
      </w:r>
      <w:hyperlink r:id="rId13" w:history="1">
        <w:r>
          <w:rPr>
            <w:noProof/>
            <w:color w:val="0000FF"/>
            <w:u w:val="single"/>
          </w:rPr>
          <w:t>Anness għad-Dikjarazzjoni Finanzjarja Leġiżlattiva</w:t>
        </w:r>
      </w:hyperlink>
      <w:r>
        <w:rPr>
          <w:noProof/>
        </w:rPr>
        <w:t xml:space="preserve"> (LFS), li hija mtella’ fuq DECIDE għal skopijiet ta’ konsultazzjoni bejn is-servizzi.</w:t>
      </w:r>
    </w:p>
    <w:p>
      <w:pPr>
        <w:jc w:val="left"/>
        <w:rPr>
          <w:noProof/>
          <w:color w:val="0000FF"/>
        </w:rPr>
      </w:pPr>
      <w:r>
        <w:rPr>
          <w:noProof/>
        </w:rPr>
        <w:br w:type="page"/>
      </w:r>
    </w:p>
    <w:p>
      <w:pPr>
        <w:jc w:val="left"/>
        <w:rPr>
          <w:noProof/>
        </w:rPr>
      </w:pPr>
    </w:p>
    <w:p>
      <w:pPr>
        <w:jc w:val="right"/>
        <w:rPr>
          <w:noProof/>
          <w:sz w:val="20"/>
        </w:rPr>
      </w:pPr>
      <w:r>
        <w:rPr>
          <w:noProof/>
          <w:sz w:val="20"/>
        </w:rPr>
        <w:t>EUR miljun (sa tliet pożizzjonijiet deċimali)</w:t>
      </w: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9"/>
        <w:gridCol w:w="2046"/>
        <w:gridCol w:w="868"/>
        <w:gridCol w:w="868"/>
        <w:gridCol w:w="868"/>
        <w:gridCol w:w="868"/>
        <w:gridCol w:w="868"/>
        <w:gridCol w:w="868"/>
        <w:gridCol w:w="1291"/>
        <w:gridCol w:w="1291"/>
      </w:tblGrid>
      <w:tr>
        <w:trPr>
          <w:jc w:val="center"/>
        </w:trPr>
        <w:tc>
          <w:tcPr>
            <w:tcW w:w="6245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2025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2026</w:t>
            </w:r>
          </w:p>
        </w:tc>
        <w:tc>
          <w:tcPr>
            <w:tcW w:w="1291" w:type="dxa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2027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trHeight w:val="313"/>
          <w:jc w:val="center"/>
        </w:trPr>
        <w:tc>
          <w:tcPr>
            <w:tcW w:w="6245" w:type="dxa"/>
            <w:gridSpan w:val="2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t xml:space="preserve">Riżorsi umani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0.300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0.150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0.300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0.150</w:t>
            </w:r>
          </w:p>
        </w:tc>
        <w:tc>
          <w:tcPr>
            <w:tcW w:w="1291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0.150</w:t>
            </w:r>
          </w:p>
        </w:tc>
        <w:tc>
          <w:tcPr>
            <w:tcW w:w="1291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2.550</w:t>
            </w:r>
          </w:p>
        </w:tc>
      </w:tr>
      <w:tr>
        <w:trPr>
          <w:trHeight w:val="351"/>
          <w:jc w:val="center"/>
        </w:trPr>
        <w:tc>
          <w:tcPr>
            <w:tcW w:w="6245" w:type="dxa"/>
            <w:gridSpan w:val="2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t xml:space="preserve">Nefqa amministrattiva oħra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91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351"/>
          <w:jc w:val="center"/>
        </w:trPr>
        <w:tc>
          <w:tcPr>
            <w:tcW w:w="4199" w:type="dxa"/>
            <w:vAlign w:val="center"/>
          </w:tcPr>
          <w:p>
            <w:pPr>
              <w:spacing w:before="20" w:after="2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TOTAL tal-approprazzjonijiet taħt INTESTATURA 7 tal-qafas finanzjarju pluriennali</w:t>
            </w:r>
          </w:p>
        </w:tc>
        <w:tc>
          <w:tcPr>
            <w:tcW w:w="2046" w:type="dxa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(Impenji totali = Pagamenti totali)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0.300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0.150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0.750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0.750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0.300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0.150</w:t>
            </w:r>
          </w:p>
        </w:tc>
        <w:tc>
          <w:tcPr>
            <w:tcW w:w="1291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0.150</w:t>
            </w:r>
          </w:p>
        </w:tc>
        <w:tc>
          <w:tcPr>
            <w:tcW w:w="1291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2.550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EUR miljun (sa tliet pożizzjonijiet deċimali)</w:t>
      </w:r>
    </w:p>
    <w:tbl>
      <w:tblPr>
        <w:tblW w:w="14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560"/>
        <w:gridCol w:w="534"/>
        <w:gridCol w:w="868"/>
        <w:gridCol w:w="868"/>
        <w:gridCol w:w="868"/>
        <w:gridCol w:w="868"/>
        <w:gridCol w:w="868"/>
        <w:gridCol w:w="868"/>
        <w:gridCol w:w="1292"/>
        <w:gridCol w:w="1292"/>
      </w:tblGrid>
      <w:tr>
        <w:trPr>
          <w:jc w:val="center"/>
        </w:trPr>
        <w:tc>
          <w:tcPr>
            <w:tcW w:w="417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2025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2026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2027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jc w:val="center"/>
        </w:trPr>
        <w:tc>
          <w:tcPr>
            <w:tcW w:w="4173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tal-approprijazzjonijiet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fl-INTESTATURI</w:t>
            </w:r>
            <w:r>
              <w:rPr>
                <w:noProof/>
              </w:rPr>
              <w:br/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4 245.132 tunnellati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0.150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1 126. 912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0.300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0.150</w:t>
            </w:r>
          </w:p>
        </w:tc>
        <w:tc>
          <w:tcPr>
            <w:tcW w:w="1292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0.150</w:t>
            </w:r>
          </w:p>
        </w:tc>
        <w:tc>
          <w:tcPr>
            <w:tcW w:w="1292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  <w:highlight w:val="yellow"/>
              </w:rPr>
            </w:pPr>
            <w:r>
              <w:rPr>
                <w:b/>
                <w:noProof/>
                <w:sz w:val="20"/>
              </w:rPr>
              <w:t>5 373.544 tunnellati</w:t>
            </w:r>
          </w:p>
        </w:tc>
      </w:tr>
      <w:tr>
        <w:trPr>
          <w:jc w:val="center"/>
        </w:trPr>
        <w:tc>
          <w:tcPr>
            <w:tcW w:w="4173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  <w:highlight w:val="magenta"/>
              </w:rPr>
            </w:pPr>
            <w:r>
              <w:rPr>
                <w:noProof/>
                <w:sz w:val="20"/>
              </w:rPr>
              <w:t>4 245.132 tunnellati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0.150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1 126. 912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0.300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0.150</w:t>
            </w:r>
          </w:p>
        </w:tc>
        <w:tc>
          <w:tcPr>
            <w:tcW w:w="1292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0.150</w:t>
            </w:r>
          </w:p>
        </w:tc>
        <w:tc>
          <w:tcPr>
            <w:tcW w:w="1292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  <w:highlight w:val="yellow"/>
              </w:rPr>
            </w:pPr>
            <w:r>
              <w:rPr>
                <w:b/>
                <w:noProof/>
                <w:sz w:val="20"/>
              </w:rPr>
              <w:t>5 373.544 tunnellati</w:t>
            </w:r>
          </w:p>
        </w:tc>
      </w:tr>
    </w:tbl>
    <w:p>
      <w:pPr>
        <w:jc w:val="left"/>
        <w:rPr>
          <w:noProof/>
        </w:rPr>
      </w:pPr>
    </w:p>
    <w:p>
      <w:pPr>
        <w:jc w:val="left"/>
        <w:rPr>
          <w:noProof/>
        </w:rPr>
      </w:pPr>
    </w:p>
    <w:p>
      <w:pPr>
        <w:rPr>
          <w:noProof/>
        </w:rPr>
        <w:sectPr>
          <w:headerReference w:type="default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bookmarkStart w:id="50" w:name="_Toc514941993"/>
      <w:bookmarkStart w:id="51" w:name="_Toc520485220"/>
      <w:r>
        <w:rPr>
          <w:noProof/>
        </w:rPr>
        <w:t>3.2.2.</w:t>
      </w:r>
      <w:r>
        <w:rPr>
          <w:noProof/>
        </w:rPr>
        <w:tab/>
        <w:t>Sommarju tal-impatt stmat fuq l-approprjazzjonijiet ta’ natura amministrattiva</w:t>
      </w:r>
      <w:bookmarkEnd w:id="50"/>
      <w:bookmarkEnd w:id="51"/>
    </w:p>
    <w:p>
      <w:pPr>
        <w:pStyle w:val="ListDash1"/>
        <w:rPr>
          <w:noProof/>
        </w:rPr>
      </w:pPr>
      <w:r>
        <w:rPr>
          <w:b/>
          <w:noProof/>
        </w:rPr>
        <w:t>X</w:t>
      </w:r>
      <w:r>
        <w:rPr>
          <w:noProof/>
        </w:rPr>
        <w:tab/>
        <w:t xml:space="preserve">Il-proposta / l-inizjattiva ma teħtieġx l-użu ta’ approprjazzjonijiet addizzjonali ta’ natura amministrattiva.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teħtieġ l-użu ta’ approprjazzjonijiet ta’ natura amministrattiva, kif spjegat hawn taħt:</w:t>
      </w:r>
    </w:p>
    <w:p>
      <w:pPr>
        <w:jc w:val="right"/>
        <w:rPr>
          <w:noProof/>
          <w:sz w:val="16"/>
          <w:szCs w:val="16"/>
        </w:rPr>
      </w:pPr>
      <w:r>
        <w:rPr>
          <w:noProof/>
          <w:sz w:val="20"/>
        </w:rPr>
        <w:t>EUR miljun (sa tliet pożizzjonijiet deċimali)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Is-snin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8"/>
              </w:rPr>
              <w:t>2025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8"/>
              </w:rPr>
              <w:t>2026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8"/>
              </w:rPr>
              <w:t>2027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INTESTATURA 7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tal-qafas finanzjarju pluriennali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0.300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0.150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0.750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0.750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0.300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0.150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0.150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2.550</w:t>
            </w: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amministrattiva oħra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Subtotal INTESTATURA 7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0.300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0.150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0.750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0.750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0.300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0.150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0.150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2.550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p>
      <w:pPr>
        <w:spacing w:line="200" w:lineRule="exact"/>
        <w:rPr>
          <w:noProof/>
          <w:sz w:val="16"/>
          <w:szCs w:val="16"/>
        </w:rPr>
      </w:pPr>
    </w:p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Barra INTESTATURA 7</w:t>
            </w:r>
            <w:r>
              <w:rPr>
                <w:rStyle w:val="FootnoteReference0"/>
                <w:b/>
                <w:noProof/>
                <w:sz w:val="16"/>
              </w:rPr>
              <w:footnoteReference w:id="29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of the multiannual financial framework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Nefqa oħra</w:t>
            </w:r>
            <w:r>
              <w:rPr>
                <w:noProof/>
              </w:rPr>
              <w:br/>
            </w:r>
            <w:r>
              <w:rPr>
                <w:noProof/>
                <w:sz w:val="16"/>
              </w:rPr>
              <w:t>ta’ natura amministrattiva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Subtotal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barra l-INTESTATURA 7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0.300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0.150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0.750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0.750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0.300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0.150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0.150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2.550</w:t>
            </w:r>
          </w:p>
        </w:tc>
      </w:tr>
    </w:tbl>
    <w:p>
      <w:pPr>
        <w:rPr>
          <w:noProof/>
          <w:sz w:val="18"/>
        </w:rPr>
      </w:pPr>
      <w:r>
        <w:rPr>
          <w:noProof/>
          <w:sz w:val="18"/>
        </w:rPr>
        <w:t>L-approprjazzjonijiet meħtieġa għar-riżorsi umani u għal infiq ieħor ta’ natura amministrattiva se jiġu ssodisfati b’approprjazzjonijiet mid-DĠ li diġà jkunu assenjati għall-ġestjoni tal-azzjoni u/jew kienu ġew ridistribwiti fi ħdan id-DĠ, flimkien, jekk dan ikun neċessarju, ma’ kwalunkwe allokazzjoni addizzjonali li tista’ tingħata lid-DĠ ta’ ġestjoni skont il-proċedura annwali ta’ allokazzjoni u fid-dawl tal-limitazzjonijiet baġitarji.</w:t>
      </w:r>
    </w:p>
    <w:p>
      <w:pPr>
        <w:spacing w:before="0" w:after="200" w:line="276" w:lineRule="auto"/>
        <w:jc w:val="left"/>
        <w:rPr>
          <w:noProof/>
          <w:sz w:val="18"/>
        </w:rPr>
      </w:pPr>
      <w:r>
        <w:rPr>
          <w:noProof/>
        </w:rPr>
        <w:br w:type="page"/>
      </w:r>
    </w:p>
    <w:p>
      <w:pPr>
        <w:pStyle w:val="ManualHeading4"/>
        <w:rPr>
          <w:bCs/>
          <w:noProof/>
          <w:szCs w:val="24"/>
        </w:rPr>
      </w:pPr>
      <w:r>
        <w:rPr>
          <w:noProof/>
        </w:rPr>
        <w:t>3.2.2.1.</w:t>
      </w:r>
      <w:r>
        <w:rPr>
          <w:noProof/>
        </w:rPr>
        <w:tab/>
        <w:t>Ir-rekwiżiti stmati tar-riżorsi umani</w:t>
      </w:r>
    </w:p>
    <w:p>
      <w:pPr>
        <w:pStyle w:val="ListDash1"/>
        <w:rPr>
          <w:noProof/>
        </w:rPr>
      </w:pPr>
      <w:r>
        <w:rPr>
          <w:b/>
          <w:noProof/>
        </w:rPr>
        <w:t>X</w:t>
      </w:r>
      <w:r>
        <w:rPr>
          <w:noProof/>
        </w:rPr>
        <w:tab/>
        <w:t xml:space="preserve">Il-proposta/inizjattiva ma teħtieġ l-ebda użu ta’ riżorsi umani addizzjonali.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tirrikjedi l-użu tar-riżorsi umani, kif spjegat hawn taħt: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L-istima għandha tingħata f’unitajiet ekwivalenti għal full time</w:t>
      </w:r>
    </w:p>
    <w:tbl>
      <w:tblPr>
        <w:tblW w:w="5324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79"/>
        <w:gridCol w:w="934"/>
        <w:gridCol w:w="1068"/>
        <w:gridCol w:w="934"/>
        <w:gridCol w:w="1068"/>
        <w:gridCol w:w="1068"/>
        <w:gridCol w:w="935"/>
        <w:gridCol w:w="932"/>
      </w:tblGrid>
      <w:tr>
        <w:trPr>
          <w:trHeight w:val="289"/>
        </w:trPr>
        <w:tc>
          <w:tcPr>
            <w:tcW w:w="1492" w:type="pct"/>
            <w:gridSpan w:val="2"/>
            <w:vAlign w:val="center"/>
          </w:tcPr>
          <w:p>
            <w:pPr>
              <w:spacing w:before="40" w:after="40"/>
              <w:jc w:val="center"/>
              <w:rPr>
                <w:i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Is-snin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2026</w:t>
            </w:r>
          </w:p>
        </w:tc>
        <w:tc>
          <w:tcPr>
            <w:tcW w:w="472" w:type="pct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2027</w:t>
            </w:r>
          </w:p>
        </w:tc>
      </w:tr>
      <w:tr>
        <w:trPr>
          <w:trHeight w:val="289"/>
        </w:trPr>
        <w:tc>
          <w:tcPr>
            <w:tcW w:w="1492" w:type="pct"/>
            <w:gridSpan w:val="2"/>
          </w:tcPr>
          <w:p>
            <w:pPr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Kwartieri ġenerali u Uffiċċji tar-Rappreżentanza tal-Kummissjoni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 AD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 AD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 AD; 1 AST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 AD; 1 AST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 AD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 AD</w:t>
            </w:r>
          </w:p>
        </w:tc>
        <w:tc>
          <w:tcPr>
            <w:tcW w:w="472" w:type="pct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 AD</w:t>
            </w:r>
          </w:p>
        </w:tc>
      </w:tr>
      <w:tr>
        <w:trPr>
          <w:trHeight w:val="289"/>
        </w:trPr>
        <w:tc>
          <w:tcPr>
            <w:tcW w:w="1492" w:type="pct"/>
            <w:gridSpan w:val="2"/>
          </w:tcPr>
          <w:p>
            <w:pPr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Delegazzjonijiet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2" w:type="pct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</w:trPr>
        <w:tc>
          <w:tcPr>
            <w:tcW w:w="1492" w:type="pct"/>
            <w:gridSpan w:val="2"/>
          </w:tcPr>
          <w:p>
            <w:pPr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Riċerka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2" w:type="pct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485"/>
        </w:trPr>
        <w:tc>
          <w:tcPr>
            <w:tcW w:w="744" w:type="pct"/>
            <w:vMerge w:val="restart"/>
            <w:vAlign w:val="center"/>
          </w:tcPr>
          <w:p>
            <w:pPr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Iffinanzjat mill-INTESTATURA 7 tal-qafas finanzjarju pluriennali</w:t>
            </w:r>
            <w:r>
              <w:rPr>
                <w:b/>
                <w:noProof/>
                <w:sz w:val="16"/>
              </w:rPr>
              <w:t xml:space="preserve"> </w:t>
            </w:r>
          </w:p>
        </w:tc>
        <w:tc>
          <w:tcPr>
            <w:tcW w:w="747" w:type="pct"/>
            <w:vAlign w:val="center"/>
          </w:tcPr>
          <w:p>
            <w:pPr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fil-Kwartieri Ġenerali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2" w:type="pct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</w:trPr>
        <w:tc>
          <w:tcPr>
            <w:tcW w:w="744" w:type="pct"/>
            <w:vMerge/>
            <w:vAlign w:val="center"/>
          </w:tcPr>
          <w:p>
            <w:pPr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fid-Delegazzjonijiet 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2" w:type="pct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370"/>
        </w:trPr>
        <w:tc>
          <w:tcPr>
            <w:tcW w:w="744" w:type="pct"/>
            <w:vMerge w:val="restart"/>
            <w:vAlign w:val="center"/>
          </w:tcPr>
          <w:p>
            <w:pPr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Iffinanzjati mill-pakkett tal-programm</w:t>
            </w:r>
            <w:r>
              <w:rPr>
                <w:rStyle w:val="FootnoteReference0"/>
                <w:noProof/>
                <w:sz w:val="16"/>
                <w:szCs w:val="16"/>
              </w:rPr>
              <w:footnoteReference w:id="30"/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fil-Kwartieri Ġenerali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2" w:type="pct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</w:trPr>
        <w:tc>
          <w:tcPr>
            <w:tcW w:w="744" w:type="pct"/>
            <w:vMerge/>
          </w:tcPr>
          <w:p>
            <w:pPr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fid-Delegazzjonijiet 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2" w:type="pct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</w:trPr>
        <w:tc>
          <w:tcPr>
            <w:tcW w:w="1492" w:type="pct"/>
            <w:gridSpan w:val="2"/>
          </w:tcPr>
          <w:p>
            <w:pPr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Riċerka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2" w:type="pct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</w:trPr>
        <w:tc>
          <w:tcPr>
            <w:tcW w:w="1492" w:type="pct"/>
            <w:gridSpan w:val="2"/>
            <w:tcBorders>
              <w:bottom w:val="double" w:sz="4" w:space="0" w:color="auto"/>
            </w:tcBorders>
          </w:tcPr>
          <w:p>
            <w:pPr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Oħrajn (speċifika)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4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2" w:type="pct"/>
            <w:tcBorders>
              <w:bottom w:val="double" w:sz="4" w:space="0" w:color="auto"/>
            </w:tcBorders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</w:trPr>
        <w:tc>
          <w:tcPr>
            <w:tcW w:w="1492" w:type="pct"/>
            <w:gridSpan w:val="2"/>
            <w:tcBorders>
              <w:top w:val="double" w:sz="4" w:space="0" w:color="auto"/>
            </w:tcBorders>
          </w:tcPr>
          <w:p>
            <w:pPr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 AD</w:t>
            </w:r>
          </w:p>
        </w:tc>
        <w:tc>
          <w:tcPr>
            <w:tcW w:w="54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 AD</w:t>
            </w: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 AD; 1 AST</w:t>
            </w:r>
          </w:p>
        </w:tc>
        <w:tc>
          <w:tcPr>
            <w:tcW w:w="54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 AD; 1 AST</w:t>
            </w:r>
          </w:p>
        </w:tc>
        <w:tc>
          <w:tcPr>
            <w:tcW w:w="54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 AD</w:t>
            </w:r>
          </w:p>
        </w:tc>
        <w:tc>
          <w:tcPr>
            <w:tcW w:w="47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 AD</w:t>
            </w:r>
          </w:p>
        </w:tc>
        <w:tc>
          <w:tcPr>
            <w:tcW w:w="472" w:type="pct"/>
            <w:tcBorders>
              <w:top w:val="doub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 AD</w:t>
            </w:r>
          </w:p>
        </w:tc>
      </w:tr>
    </w:tbl>
    <w:p>
      <w:pPr>
        <w:spacing w:after="60"/>
        <w:jc w:val="right"/>
        <w:rPr>
          <w:i/>
          <w:noProof/>
          <w:sz w:val="20"/>
        </w:rPr>
      </w:pPr>
    </w:p>
    <w:p>
      <w:pPr>
        <w:spacing w:after="60"/>
        <w:jc w:val="right"/>
        <w:rPr>
          <w:i/>
          <w:noProof/>
          <w:sz w:val="20"/>
        </w:rPr>
      </w:pPr>
    </w:p>
    <w:p>
      <w:pPr>
        <w:ind w:left="850"/>
        <w:rPr>
          <w:noProof/>
          <w:sz w:val="18"/>
          <w:szCs w:val="18"/>
        </w:rPr>
      </w:pPr>
      <w:r>
        <w:rPr>
          <w:noProof/>
          <w:sz w:val="18"/>
        </w:rPr>
        <w:t>Ir-riżorsi umani meħtieġa sejrin jiġu ssodisfati minn persunal tad-DĠ li huwa diġà assenjat għall-ġestjoni tal-azzjoni u/jew li ġie skjerat mill-ġdid fid-DĠ, flimkien ma’, jekk ikun hemm bżonn, kwalunkwe allokazzjoni addizzjonali li tista’ tingħata lid-DĠ ta’ ġestjoni skont il-proċedura ta’ allokazzjoni annwali u fid-dawl tal-limitazzjonijiet baġitarji.</w:t>
      </w:r>
    </w:p>
    <w:p>
      <w:pPr>
        <w:rPr>
          <w:noProof/>
          <w:sz w:val="20"/>
        </w:rPr>
      </w:pPr>
      <w:r>
        <w:rPr>
          <w:noProof/>
          <w:sz w:val="20"/>
        </w:rPr>
        <w:t>Deskrizzjoni tal-kompiti li jridu jitwettqu:</w:t>
      </w:r>
    </w:p>
    <w:tbl>
      <w:tblPr>
        <w:tblW w:w="10632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392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Uffiċjali u aġenti temporanji</w:t>
            </w:r>
          </w:p>
        </w:tc>
        <w:tc>
          <w:tcPr>
            <w:tcW w:w="7392" w:type="dxa"/>
          </w:tcPr>
          <w:p>
            <w:pPr>
              <w:rPr>
                <w:noProof/>
                <w:sz w:val="20"/>
              </w:rPr>
            </w:pP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Persunal estern</w:t>
            </w:r>
          </w:p>
        </w:tc>
        <w:tc>
          <w:tcPr>
            <w:tcW w:w="7392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bookmarkStart w:id="52" w:name="_Toc514941994"/>
      <w:bookmarkStart w:id="53" w:name="_Toc520485221"/>
      <w:r>
        <w:rPr>
          <w:noProof/>
        </w:rPr>
        <w:t>3.2.3.</w:t>
      </w:r>
      <w:r>
        <w:rPr>
          <w:noProof/>
        </w:rPr>
        <w:tab/>
        <w:t>Kontribuzzjonijiet ta’ partijiet terzi</w:t>
      </w:r>
      <w:bookmarkEnd w:id="52"/>
      <w:bookmarkEnd w:id="53"/>
      <w:r>
        <w:rPr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t>Il-proposta/l-inizjattiva:</w:t>
      </w:r>
    </w:p>
    <w:p>
      <w:pPr>
        <w:pStyle w:val="ListDash1"/>
        <w:rPr>
          <w:noProof/>
        </w:rPr>
      </w:pPr>
      <w:r>
        <w:rPr>
          <w:b/>
          <w:noProof/>
        </w:rPr>
        <w:t>X</w:t>
      </w:r>
      <w:r>
        <w:rPr>
          <w:noProof/>
        </w:rPr>
        <w:tab/>
        <w:t>ma tipprevedix il-kofinanzjament minn partijiet terzi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tipprevedi l-kofinanzjament minn partijiet terzi li qed jiġi stmat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f’EUR miljun (sa tliet pożizzjonijiet deċimali)</w:t>
      </w:r>
    </w:p>
    <w:tbl>
      <w:tblPr>
        <w:tblW w:w="92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  <w:jc w:val="center"/>
        </w:trPr>
        <w:tc>
          <w:tcPr>
            <w:tcW w:w="2340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Is-snin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2026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cantSplit/>
          <w:jc w:val="center"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Speċifika l-korp ta’ kofinanzjament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  <w:jc w:val="center"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Approprjazzjonijiet TOTALI kofinanzjati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p>
      <w:pPr>
        <w:pStyle w:val="ManualHeading2"/>
        <w:rPr>
          <w:bCs/>
          <w:noProof/>
          <w:szCs w:val="24"/>
        </w:rPr>
      </w:pPr>
      <w:bookmarkStart w:id="54" w:name="_Toc514941995"/>
      <w:bookmarkStart w:id="55" w:name="_Toc520485222"/>
      <w:r>
        <w:rPr>
          <w:noProof/>
        </w:rPr>
        <w:t>3.3.</w:t>
      </w:r>
      <w:r>
        <w:rPr>
          <w:noProof/>
        </w:rPr>
        <w:tab/>
        <w:t>Impatt stmat fuq id-dħul</w:t>
      </w:r>
      <w:bookmarkEnd w:id="54"/>
      <w:bookmarkEnd w:id="55"/>
      <w:r>
        <w:rPr>
          <w:noProof/>
        </w:rPr>
        <w:t xml:space="preserve"> </w:t>
      </w:r>
    </w:p>
    <w:p>
      <w:pPr>
        <w:pStyle w:val="ListDash1"/>
        <w:rPr>
          <w:noProof/>
        </w:rPr>
      </w:pPr>
      <w:r>
        <w:rPr>
          <w:b/>
          <w:noProof/>
        </w:rPr>
        <w:t>X</w:t>
      </w:r>
      <w:r>
        <w:rPr>
          <w:noProof/>
        </w:rPr>
        <w:tab/>
        <w:t>Il-proposta/inizjattiva ma għandha l-ebda impatt finanzjarju fuq id-dħul.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għandha l-impatt finanzjarju li ġej: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ir-riżorsi proprji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fuq dħul ieħor</w:t>
      </w:r>
    </w:p>
    <w:p>
      <w:pPr>
        <w:rPr>
          <w:noProof/>
        </w:rPr>
      </w:pPr>
      <w:r>
        <w:rPr>
          <w:noProof/>
        </w:rPr>
        <w:t xml:space="preserve">jekk jogħġbok indika jekk id-dħul huwa assenjat għal-linji tan-nefqa </w:t>
      </w:r>
      <w:r>
        <w:rPr>
          <w:noProof/>
        </w:rPr>
        <w:sym w:font="Wingdings" w:char="F0A8"/>
      </w:r>
      <w:r>
        <w:rPr>
          <w:noProof/>
        </w:rPr>
        <w:tab/>
      </w:r>
    </w:p>
    <w:p>
      <w:pPr>
        <w:jc w:val="right"/>
        <w:rPr>
          <w:i/>
          <w:noProof/>
          <w:sz w:val="16"/>
        </w:rPr>
      </w:pPr>
      <w:r>
        <w:rPr>
          <w:noProof/>
          <w:sz w:val="20"/>
        </w:rPr>
        <w:t>EUR miljun (sa tliet pożizzjonijiet deċimali)</w:t>
      </w: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080"/>
        <w:gridCol w:w="900"/>
        <w:gridCol w:w="900"/>
        <w:gridCol w:w="1080"/>
        <w:gridCol w:w="1080"/>
        <w:gridCol w:w="1128"/>
      </w:tblGrid>
      <w:tr>
        <w:trPr>
          <w:trHeight w:val="388"/>
          <w:jc w:val="center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Linja baġitarja tad-dħul:</w:t>
            </w:r>
          </w:p>
        </w:tc>
        <w:tc>
          <w:tcPr>
            <w:tcW w:w="6168" w:type="dxa"/>
            <w:gridSpan w:val="6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Impatt tal-proposta/inizjattiva</w:t>
            </w:r>
            <w:r>
              <w:rPr>
                <w:rStyle w:val="FootnoteReference0"/>
                <w:noProof/>
                <w:sz w:val="18"/>
              </w:rPr>
              <w:footnoteReference w:id="31"/>
            </w:r>
          </w:p>
        </w:tc>
      </w:tr>
      <w:tr>
        <w:trPr>
          <w:trHeight w:val="388"/>
          <w:jc w:val="center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2026</w:t>
            </w:r>
          </w:p>
        </w:tc>
      </w:tr>
      <w:tr>
        <w:trPr>
          <w:trHeight w:val="388"/>
          <w:jc w:val="center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Artikolu ………….</w:t>
            </w: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128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2"/>
        </w:rPr>
      </w:pPr>
      <w:r>
        <w:rPr>
          <w:noProof/>
          <w:sz w:val="22"/>
        </w:rPr>
        <w:t>Għad-dħul assenjat, speċifika l-linja/i baġitarja/i tan-nefqa affettwata/i.</w:t>
      </w:r>
    </w:p>
    <w:p>
      <w:pPr>
        <w:pStyle w:val="Text1"/>
        <w:rPr>
          <w:noProof/>
        </w:rPr>
      </w:pPr>
      <w:r>
        <w:rPr>
          <w:noProof/>
          <w:sz w:val="22"/>
        </w:rPr>
        <w:t>Rimarki oħra (eż. metodu/formula użati għall-kalkolu tal-impatt fuq id-dħul jew kwalunkwe informazzjoni oħra).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0"/>
        </w:rPr>
        <w:footnoteRef/>
      </w:r>
      <w:r>
        <w:tab/>
        <w:t>Ftehim dwar il-ħruġ tar-Renju Unit tal-Gran Brittanja u l-Irlanda ta’ Fuq mill-Unjoni Ewropea u mill-Komunità Ewropea tal-Enerġija Atomika (“Il-Ftehim dwar il-Ħruġ”) (ĠU L 29, 31.1.2020, p. 7).</w:t>
      </w:r>
    </w:p>
  </w:footnote>
  <w:footnote w:id="2">
    <w:p>
      <w:pPr>
        <w:pStyle w:val="FootnoteText"/>
      </w:pPr>
      <w:r>
        <w:rPr>
          <w:rStyle w:val="FootnoteReference0"/>
        </w:rPr>
        <w:footnoteRef/>
      </w:r>
      <w:r>
        <w:tab/>
      </w:r>
      <w:r>
        <w:rPr>
          <w:shd w:val="clear" w:color="auto" w:fill="FFFFFF"/>
        </w:rPr>
        <w:t>Test rivedut tad-Dikjarazzjoni Politika li tistabbilixxi l-qafas għar-relazzjoni futura bejn l-Unjoni Ewropea u r-Renju Unit kif miftiehma fil-livell tan-negozjaturi fis-17 ta’ Ottubru 2019, ĠU C34, 31.1.2020, p. 1).</w:t>
      </w:r>
    </w:p>
  </w:footnote>
  <w:footnote w:id="3">
    <w:p>
      <w:pPr>
        <w:pStyle w:val="FootnoteText"/>
      </w:pPr>
      <w:r>
        <w:rPr>
          <w:rStyle w:val="FootnoteReference0"/>
        </w:rPr>
        <w:footnoteRef/>
      </w:r>
      <w:r>
        <w:tab/>
        <w:t>Konklużjonijiet tal-Kunsill Ewropew, 17, 18, 19, 20 u 21 ta’ Lulju 2020, EUCO 10/20, CO EUR 8 CONCL 4.</w:t>
      </w:r>
    </w:p>
  </w:footnote>
  <w:footnote w:id="4">
    <w:p>
      <w:pPr>
        <w:pStyle w:val="FootnoteText"/>
      </w:pPr>
      <w:r>
        <w:rPr>
          <w:rStyle w:val="FootnoteReference0"/>
        </w:rPr>
        <w:footnoteRef/>
      </w:r>
      <w:r>
        <w:tab/>
        <w:t>Ir-Regolament tal-Kunsill (KE) Nru 2012/2002 tal-11 ta’ Novembru 2002 li jistabbilixxi l-Fond ta’ Solidarjetà tal-Unjoni Ewropea (ĠU L 311, 14.11.2002, p. 3) kif emendat bir-Regolament (UE) Nru 661/2014 tal-Parlament Ewropew u tal-Kunsill tal-15 ta’ Mejju 2014 (ĠU L 189, 27.6.2014, p. 143) u bir-Regolament (UE) Nru 461/2020 tal-Parlament Ewropew u tal-Kunsill tat-30 ta’ Marzu 2020 (ĠU L 99, 31.3.2020, p. 9).</w:t>
      </w:r>
    </w:p>
  </w:footnote>
  <w:footnote w:id="5">
    <w:p>
      <w:pPr>
        <w:pStyle w:val="FootnoteText"/>
      </w:pPr>
      <w:r>
        <w:rPr>
          <w:rStyle w:val="FootnoteReference0"/>
        </w:rPr>
        <w:footnoteRef/>
      </w:r>
      <w:r>
        <w:tab/>
        <w:t>Ir-Regolament (UE, Euratom) 2018/1046 tal-Parlament Ewropew u tal-Kunsill tat-18 ta' Lulju 2018 dwar ir-regoli finanzjarji applikabbli għall-baġit ġenerali tal-Unjoni (ĠU L 193, 30.7.2018, p. 1).</w:t>
      </w:r>
    </w:p>
  </w:footnote>
  <w:footnote w:id="6">
    <w:p>
      <w:pPr>
        <w:pStyle w:val="FootnoteText"/>
      </w:pPr>
      <w:r>
        <w:rPr>
          <w:rStyle w:val="FootnoteReference0"/>
        </w:rPr>
        <w:footnoteRef/>
      </w:r>
      <w:r>
        <w:tab/>
        <w:t>Ir-Regolament tal-Kunsill (UE, Euratom) Nru 2020/2093 tas-17 ta’ Diċembru 2020 li jistabbilixxi l-qafas finanzjarju pluriennali għas-snin 2021sa 2027 (ĠU L 433I, 22.12.2020, p. 11).</w:t>
      </w:r>
    </w:p>
  </w:footnote>
  <w:footnote w:id="7">
    <w:p>
      <w:pPr>
        <w:pStyle w:val="FootnoteText"/>
      </w:pPr>
      <w:r>
        <w:rPr>
          <w:rStyle w:val="FootnoteReference0"/>
        </w:rPr>
        <w:footnoteRef/>
      </w:r>
      <w:r>
        <w:tab/>
        <w:t>EUCO 10/20, CO EUR 8, CONCL 4 tal-21 ta’ Lulju 2020 — paragrafi A26 u 134.</w:t>
      </w:r>
    </w:p>
  </w:footnote>
  <w:footnote w:id="8">
    <w:p>
      <w:pPr>
        <w:pStyle w:val="FootnoteText"/>
      </w:pPr>
      <w:r>
        <w:rPr>
          <w:rStyle w:val="FootnoteReference0"/>
        </w:rPr>
        <w:footnoteRef/>
      </w:r>
      <w:r>
        <w:tab/>
        <w:t>ĠU C , , p. .</w:t>
      </w:r>
    </w:p>
  </w:footnote>
  <w:footnote w:id="9">
    <w:p>
      <w:pPr>
        <w:pStyle w:val="FootnoteText"/>
      </w:pPr>
      <w:r>
        <w:rPr>
          <w:rStyle w:val="FootnoteReference0"/>
        </w:rPr>
        <w:footnoteRef/>
      </w:r>
      <w:r>
        <w:tab/>
        <w:t>ĠU C , , p. .</w:t>
      </w:r>
    </w:p>
  </w:footnote>
  <w:footnote w:id="10">
    <w:p>
      <w:pPr>
        <w:pStyle w:val="FootnoteText"/>
      </w:pPr>
      <w:r>
        <w:rPr>
          <w:rStyle w:val="FootnoteReference0"/>
        </w:rPr>
        <w:footnoteRef/>
      </w:r>
      <w:r>
        <w:tab/>
        <w:t>ĠU C , , p. .</w:t>
      </w:r>
    </w:p>
  </w:footnote>
  <w:footnote w:id="11">
    <w:p>
      <w:pPr>
        <w:pStyle w:val="FootnoteText"/>
      </w:pPr>
      <w:r>
        <w:rPr>
          <w:rStyle w:val="FootnoteReference0"/>
        </w:rPr>
        <w:footnoteRef/>
      </w:r>
      <w:r>
        <w:tab/>
        <w:t>Ftehim dwar il-ħruġ tar-Renju Unit tal-Gran Brittanja u l-Irlanda ta’ Fuq mill-Unjoni Ewropea u mill-Komunità Ewropea tal-Enerġija Atomika (“Il-Ftehim dwar il-Ħruġ”) (ĠU L 29, 31.1.2020, p. 7).</w:t>
      </w:r>
    </w:p>
  </w:footnote>
  <w:footnote w:id="12">
    <w:p>
      <w:pPr>
        <w:pStyle w:val="FootnoteText"/>
        <w:rPr>
          <w:sz w:val="22"/>
        </w:rPr>
      </w:pPr>
      <w:r>
        <w:rPr>
          <w:rStyle w:val="FootnoteReference0"/>
        </w:rPr>
        <w:footnoteRef/>
      </w:r>
      <w:r>
        <w:tab/>
        <w:t>Ir-Regolament (UE, Euratom) 2018/1046 tal-Parlament Ewropew u tal-Kunsill tat-18 ta' Lulju 2018 dwar ir-regoli finanzjarji applikabbli għall-baġit ġenerali tal-Unjoni (ĠU L 193, 30.7.2018, p. 1).</w:t>
      </w:r>
    </w:p>
  </w:footnote>
  <w:footnote w:id="13">
    <w:p>
      <w:pPr>
        <w:pStyle w:val="FootnoteText"/>
      </w:pPr>
      <w:r>
        <w:rPr>
          <w:rStyle w:val="FootnoteReference0"/>
        </w:rPr>
        <w:footnoteRef/>
      </w:r>
      <w:r>
        <w:tab/>
        <w:t>Il-Ftehim Interistituzzjonali bejn il-Parlament Ewropew, il-Kunsill tal-Unjoni Ewropea u l-Kummissjoni Ewropea dwar it-Tfassil Aħjar tal-Liġijiet (ĠU L 123, 12.5.2016, p. 1).</w:t>
      </w:r>
    </w:p>
  </w:footnote>
  <w:footnote w:id="14">
    <w:p>
      <w:pPr>
        <w:pStyle w:val="FootnoteText"/>
      </w:pPr>
      <w:r>
        <w:rPr>
          <w:rStyle w:val="FootnoteReference0"/>
        </w:rPr>
        <w:footnoteRef/>
      </w:r>
      <w:r>
        <w:tab/>
        <w:t>Ir-Regolament tal-Kunsill (KE, Euratom) Nru 2988/95 tat-18 ta’ Diċembru 1995 dwar il-protezzjoni tal-interessi finanzjarji tal-Komunità Ewropea (ĠU L 312, 23.12.1995, p. 1).</w:t>
      </w:r>
    </w:p>
  </w:footnote>
  <w:footnote w:id="15">
    <w:p>
      <w:pPr>
        <w:pStyle w:val="FootnoteText"/>
      </w:pPr>
      <w:r>
        <w:rPr>
          <w:rStyle w:val="FootnoteReference0"/>
        </w:rPr>
        <w:footnoteRef/>
      </w:r>
      <w:r>
        <w:tab/>
        <w:t>Ir-Regolament tal-Kunsill (Euratom, KE) Nru 2185/96 tal-11 ta' Novembru 1996 dwar il-verifiki u l-ispezzjonijiet fuq il-post imwettqa mill-Kummissjoni sabiex tipproteġi l-interessi finanzjarji tal-Komunità Ewropea kontra l-frodi u irregolaritajiet oħra (ĠU L 292, 15.11.1996, p. 2).</w:t>
      </w:r>
    </w:p>
  </w:footnote>
  <w:footnote w:id="16">
    <w:p>
      <w:pPr>
        <w:pStyle w:val="FootnoteText"/>
      </w:pPr>
      <w:r>
        <w:rPr>
          <w:rStyle w:val="FootnoteReference0"/>
        </w:rPr>
        <w:footnoteRef/>
      </w:r>
      <w:r>
        <w:tab/>
        <w:t>Ir-Regolament tal-Kunsill (UE) 2017/1939 tat-12 ta' Ottubru 2017 li jimplimenta kooperazzjoni msaħħa dwar l-istabbiliment tal-Uffiċċju tal-Prosekutur Pubbliku Ewropew (“l-UPPE”) ( ĠU L 283, 31.10.2017, p. 1).</w:t>
      </w:r>
    </w:p>
  </w:footnote>
  <w:footnote w:id="17">
    <w:p>
      <w:pPr>
        <w:pStyle w:val="FootnoteText"/>
      </w:pPr>
      <w:r>
        <w:rPr>
          <w:rStyle w:val="FootnoteReference0"/>
        </w:rPr>
        <w:footnoteRef/>
      </w:r>
      <w:r>
        <w:tab/>
        <w:t>Ir-Regolament (UE, Euratom) Nru 883/2013 tal-Parlament Ewropew u tal-Kunsill tal-11 ta' Settembru 2013 dwar investigazzjonijiet immexxija mill-Uffiċċju Ewropew Kontra l-Frodi (OLAF) u li jħassar ir-Regolament tal-Parlament Ewropew u tal-Kunsill (KE) Nru 1073/1999 u r-Regolament tal-Kunsill (Euratom) Nru 1074/1999 (ĠU L 248, 18.9.2013, p. 1).</w:t>
      </w:r>
    </w:p>
  </w:footnote>
  <w:footnote w:id="18">
    <w:p>
      <w:pPr>
        <w:pStyle w:val="FootnoteText"/>
      </w:pPr>
      <w:r>
        <w:rPr>
          <w:rStyle w:val="FootnoteReference0"/>
        </w:rPr>
        <w:footnoteRef/>
      </w:r>
      <w:r>
        <w:tab/>
        <w:t>Id-Direttiva (UE) 2017/1371 tal-Parlament Ewropew u tal-Kunsill tal-5 ta' Lulju 2017 dwar il-ġlieda kontra l-frodi tal-interessi finanzjarji tal-Unjoni permezz tal-liġi kriminali (ĠU L 198, 28.7.2017, p. 29).</w:t>
      </w:r>
    </w:p>
  </w:footnote>
  <w:footnote w:id="19">
    <w:p>
      <w:pPr>
        <w:pStyle w:val="FootnoteText"/>
      </w:pPr>
      <w:r>
        <w:rPr>
          <w:rStyle w:val="FootnoteReference0"/>
        </w:rPr>
        <w:footnoteRef/>
      </w:r>
      <w:r>
        <w:tab/>
        <w:t>Ir-Regolament (UE) 2018/1725 tal-Parlament Ewropew u tal-Kunsill tat-23 ta' Ottubru 2018 dwar il-protezzjoni ta' persuni fiżiċi fir-rigward tal-ipproċessar ta' data personali mill‐istituzzjonijiet, korpi, uffiċċji u aġenziji tal-Unjoni u dwar il-moviment liberu ta' tali data, u li jħassar ir-Regolament (KE) Nru 45/2001 u d-Deċiżjoni Nru 1247/2002/KE (ĠU L 295, 21.11.2018, p. 39).</w:t>
      </w:r>
    </w:p>
  </w:footnote>
  <w:footnote w:id="20">
    <w:p>
      <w:pPr>
        <w:pStyle w:val="FootnoteText"/>
      </w:pPr>
      <w:r>
        <w:rPr>
          <w:rStyle w:val="FootnoteReference0"/>
        </w:rPr>
        <w:footnoteRef/>
      </w:r>
      <w:r>
        <w:tab/>
        <w:t>ĠU C… .</w:t>
      </w:r>
    </w:p>
  </w:footnote>
  <w:footnote w:id="21">
    <w:p>
      <w:pPr>
        <w:pStyle w:val="FootnoteText"/>
      </w:pPr>
      <w:r>
        <w:rPr>
          <w:rStyle w:val="FootnoteReference0"/>
        </w:rPr>
        <w:footnoteRef/>
      </w:r>
      <w:r>
        <w:tab/>
        <w:t>Ir-Regolament tal-Kummissjoni (UE) Nru 651/2014 tas-17 ta' Ġunju 2014 li jiddikjara li ċerti kategoriji ta' għajnuna huma kompatibbli mas-suq intern skont l-Artikoli 107 u 108 tat-Trattat (ĠU L 187, 26.6.2014, p. 1).</w:t>
      </w:r>
    </w:p>
  </w:footnote>
  <w:footnote w:id="22">
    <w:p>
      <w:pPr>
        <w:pStyle w:val="FootnoteText"/>
        <w:rPr>
          <w:sz w:val="18"/>
        </w:rPr>
      </w:pPr>
      <w:r>
        <w:rPr>
          <w:rStyle w:val="FootnoteReference0"/>
        </w:rPr>
        <w:footnoteRef/>
      </w:r>
      <w:r>
        <w:tab/>
      </w:r>
      <w:r>
        <w:rPr>
          <w:color w:val="444444"/>
          <w:szCs w:val="21"/>
        </w:rPr>
        <w:t xml:space="preserve">Ir-Regolament (UE) 2016/679 tal-Parlament Ewropew u tal-Kunsill tas-27 ta’ April 2016 dwar il-protezzjoni tal-persuni fiżiċi fir-rigward tal-ipproċessar ta’ </w:t>
      </w:r>
      <w:r>
        <w:rPr>
          <w:i/>
          <w:color w:val="444444"/>
          <w:szCs w:val="21"/>
        </w:rPr>
        <w:t>data</w:t>
      </w:r>
      <w:r>
        <w:rPr>
          <w:color w:val="444444"/>
          <w:szCs w:val="21"/>
        </w:rPr>
        <w:t xml:space="preserve"> personali u dwar il-moviment liberu ta’ tali </w:t>
      </w:r>
      <w:r>
        <w:rPr>
          <w:i/>
          <w:color w:val="444444"/>
          <w:szCs w:val="21"/>
        </w:rPr>
        <w:t>data</w:t>
      </w:r>
      <w:r>
        <w:rPr>
          <w:color w:val="444444"/>
          <w:szCs w:val="21"/>
        </w:rPr>
        <w:t>, u li jħassar id-Direttiva 95/46/KE (Regolament Ġenerali dwar il-Protezzjoni tad-</w:t>
      </w:r>
      <w:r>
        <w:rPr>
          <w:i/>
          <w:color w:val="444444"/>
          <w:szCs w:val="21"/>
        </w:rPr>
        <w:t>Data</w:t>
      </w:r>
      <w:r>
        <w:rPr>
          <w:color w:val="444444"/>
          <w:szCs w:val="21"/>
        </w:rPr>
        <w:t>) (ĠU L 119, 4.5.2016, p. 1).</w:t>
      </w:r>
    </w:p>
  </w:footnote>
  <w:footnote w:id="23">
    <w:p>
      <w:pPr>
        <w:pStyle w:val="FootnoteText"/>
      </w:pPr>
      <w:r>
        <w:rPr>
          <w:rStyle w:val="FootnoteReference0"/>
        </w:rPr>
        <w:footnoteRef/>
      </w:r>
      <w:r>
        <w:tab/>
        <w:t>Kif imsemmi fl-Artikolu 58(2)(a) jew (b) tar-Regolament Finanzjarju.</w:t>
      </w:r>
    </w:p>
  </w:footnote>
  <w:footnote w:id="24">
    <w:p>
      <w:pPr>
        <w:pStyle w:val="FootnoteText"/>
      </w:pPr>
      <w:r>
        <w:rPr>
          <w:rStyle w:val="FootnoteReference0"/>
        </w:rPr>
        <w:footnoteRef/>
      </w:r>
      <w:r>
        <w:tab/>
        <w:t>Id-dettalji tal-modi ta’ ġestjoni u r-referenzi għar-Regolament Finanzjarju jistgħu jinstabu fuq is-sit BudgWeb:</w:t>
      </w:r>
      <w:r>
        <w:tab/>
        <w:t xml:space="preserve"> </w:t>
      </w:r>
      <w:r>
        <w:br/>
      </w:r>
      <w:hyperlink r:id="rId1" w:history="1">
        <w:r>
          <w:rPr>
            <w:rStyle w:val="Hyperlink"/>
          </w:rPr>
          <w:t>https://myintracomm.ec.europa.eu/budgweb/EN/man/budgmanag/Pages/budgmanag.aspx</w:t>
        </w:r>
      </w:hyperlink>
    </w:p>
  </w:footnote>
  <w:footnote w:id="25">
    <w:p>
      <w:pPr>
        <w:pStyle w:val="FootnoteText"/>
      </w:pPr>
      <w:r>
        <w:rPr>
          <w:rStyle w:val="FootnoteReference0"/>
        </w:rPr>
        <w:footnoteRef/>
      </w:r>
      <w:r>
        <w:tab/>
        <w:t>Diff. = Approprjazzjonijiet differenzjati / Mhux diff. = Approprjazzjonijiet mhux differenzjati.</w:t>
      </w:r>
    </w:p>
  </w:footnote>
  <w:footnote w:id="26">
    <w:p>
      <w:pPr>
        <w:pStyle w:val="FootnoteText"/>
      </w:pPr>
      <w:r>
        <w:rPr>
          <w:rStyle w:val="FootnoteReference0"/>
        </w:rPr>
        <w:footnoteRef/>
      </w:r>
      <w:r>
        <w:tab/>
        <w:t>EFTA: Assoċjazzjoni Ewropea tal-Kummerċ Ħieles.</w:t>
      </w:r>
    </w:p>
  </w:footnote>
  <w:footnote w:id="27">
    <w:p>
      <w:pPr>
        <w:pStyle w:val="FootnoteText"/>
      </w:pPr>
      <w:r>
        <w:rPr>
          <w:rStyle w:val="FootnoteReference0"/>
        </w:rPr>
        <w:footnoteRef/>
      </w:r>
      <w:r>
        <w:tab/>
        <w:t>Pajjiżi kandidati u, meta applikabbli, kandidati potenzjali mill-Balkani tal-Punent.</w:t>
      </w:r>
    </w:p>
  </w:footnote>
  <w:footnote w:id="28">
    <w:p>
      <w:pPr>
        <w:pStyle w:val="FootnoteText"/>
      </w:pPr>
      <w:r>
        <w:rPr>
          <w:rStyle w:val="FootnoteReference0"/>
        </w:rPr>
        <w:footnoteRef/>
      </w:r>
      <w:r>
        <w:tab/>
        <w:t>Assistenza teknika u/jew amministrattiva u nefqa b’appoġġ għall-implimentazzjoni ta’ programmi u / jew ta’ azzjonijiet tal-UE (il-linji “BA” preċedenti), riċerka indiretta, riċerka diretta.</w:t>
      </w:r>
    </w:p>
  </w:footnote>
  <w:footnote w:id="29">
    <w:p>
      <w:pPr>
        <w:pStyle w:val="FootnoteText"/>
      </w:pPr>
      <w:r>
        <w:rPr>
          <w:rStyle w:val="FootnoteReference0"/>
        </w:rPr>
        <w:footnoteRef/>
      </w:r>
      <w:r>
        <w:tab/>
        <w:t>Assistenza teknika u/jew amministrattiva u nefqa b’appoġġ għall-implimentazzjoni ta’ programmi u / jew ta’ azzjonijiet tal-UE (il-linji “BA” preċedenti), riċerka indiretta, riċerka diretta.</w:t>
      </w:r>
    </w:p>
  </w:footnote>
  <w:footnote w:id="30">
    <w:p>
      <w:pPr>
        <w:pStyle w:val="FootnoteText"/>
      </w:pPr>
      <w:r>
        <w:rPr>
          <w:rStyle w:val="FootnoteReference0"/>
        </w:rPr>
        <w:footnoteRef/>
      </w:r>
      <w:r>
        <w:tab/>
        <w:t>Sottolimitu għall-persunal estern kopert minn approprjazzjonijiet operazzjonali (li qabel kienu l-linji “BA”).</w:t>
      </w:r>
    </w:p>
  </w:footnote>
  <w:footnote w:id="31">
    <w:p>
      <w:pPr>
        <w:pStyle w:val="FootnoteText"/>
      </w:pPr>
      <w:r>
        <w:rPr>
          <w:rStyle w:val="FootnoteReference0"/>
        </w:rPr>
        <w:footnoteRef/>
      </w:r>
      <w:r>
        <w:tab/>
        <w:t>Fir-rigward tar-riżorsi proprji tradizzjonali (id-dazji doganali, id-dazji fuq iz-zokkor), l-ammonti indikati jridu jkunu ammonti netti, jiġifieri l-ammonti gross wara t-tnaqqis ta’ 20 % għall-ispejjeż tal-ġbir.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6D0A1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83CCE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BBAB7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19CBB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F8E8F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31498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BB207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F80AA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2"/>
  </w:num>
  <w:num w:numId="23">
    <w:abstractNumId w:val="22"/>
  </w:num>
  <w:num w:numId="24">
    <w:abstractNumId w:val="11"/>
  </w:num>
  <w:num w:numId="25">
    <w:abstractNumId w:val="13"/>
  </w:num>
  <w:num w:numId="26">
    <w:abstractNumId w:val="9"/>
  </w:num>
  <w:num w:numId="27">
    <w:abstractNumId w:val="21"/>
  </w:num>
  <w:num w:numId="28">
    <w:abstractNumId w:val="8"/>
  </w:num>
  <w:num w:numId="29">
    <w:abstractNumId w:val="14"/>
  </w:num>
  <w:num w:numId="30">
    <w:abstractNumId w:val="18"/>
  </w:num>
  <w:num w:numId="31">
    <w:abstractNumId w:val="19"/>
  </w:num>
  <w:num w:numId="32">
    <w:abstractNumId w:val="10"/>
  </w:num>
  <w:num w:numId="33">
    <w:abstractNumId w:val="17"/>
  </w:num>
  <w:num w:numId="34">
    <w:abstractNumId w:val="23"/>
  </w:num>
  <w:num w:numId="35">
    <w:abstractNumId w:val="20"/>
  </w:num>
  <w:num w:numId="36">
    <w:abstractNumId w:val="12"/>
  </w:num>
  <w:num w:numId="37">
    <w:abstractNumId w:val="22"/>
  </w:num>
  <w:num w:numId="38">
    <w:abstractNumId w:val="11"/>
  </w:num>
  <w:num w:numId="39">
    <w:abstractNumId w:val="13"/>
  </w:num>
  <w:num w:numId="40">
    <w:abstractNumId w:val="9"/>
  </w:num>
  <w:num w:numId="41">
    <w:abstractNumId w:val="21"/>
  </w:num>
  <w:num w:numId="42">
    <w:abstractNumId w:val="8"/>
  </w:num>
  <w:num w:numId="43">
    <w:abstractNumId w:val="14"/>
  </w:num>
  <w:num w:numId="44">
    <w:abstractNumId w:val="18"/>
  </w:num>
  <w:num w:numId="45">
    <w:abstractNumId w:val="19"/>
  </w:num>
  <w:num w:numId="46">
    <w:abstractNumId w:val="10"/>
  </w:num>
  <w:num w:numId="47">
    <w:abstractNumId w:val="17"/>
  </w:num>
  <w:num w:numId="4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1-14 09:44:2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E80C6B2-82F6-4896-A5FB-F5AAC07B7430"/>
    <w:docVar w:name="LW_COVERPAGE_TYPE" w:val="1"/>
    <w:docVar w:name="LW_CROSSREFERENCE" w:val="&lt;UNUSED&gt;"/>
    <w:docVar w:name="LW_DocType" w:val="COM"/>
    <w:docVar w:name="LW_EMISSION" w:val="25.12.2020"/>
    <w:docVar w:name="LW_EMISSION_ISODATE" w:val="2020-12-25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80"/>
    <w:docVar w:name="LW_REF.II.NEW.CP_YEAR" w:val="2020"/>
    <w:docVar w:name="LW_REF.INST.NEW" w:val="COM"/>
    <w:docVar w:name="LW_REF.INST.NEW_ADOPTED" w:val="final"/>
    <w:docVar w:name="LW_REF.INST.NEW_TEXT" w:val="(2020) 85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istabbilixxi r-Ri\u380?erva ta\u8217? A\u289?\u289?ustament g\u295?all-Brexit.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um">
    <w:name w:val="num"/>
    <w:basedOn w:val="DefaultParagraphFont"/>
  </w:style>
  <w:style w:type="character" w:customStyle="1" w:styleId="footnotereference">
    <w:name w:val="footnotereference"/>
    <w:basedOn w:val="DefaultParagraphFont"/>
  </w:style>
  <w:style w:type="paragraph" w:customStyle="1" w:styleId="doc-ti">
    <w:name w:val="doc-ti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fr-BE"/>
    </w:rPr>
  </w:style>
  <w:style w:type="paragraph" w:customStyle="1" w:styleId="ListDash1">
    <w:name w:val="List Dash 1"/>
    <w:basedOn w:val="Normal"/>
    <w:pPr>
      <w:numPr>
        <w:numId w:val="6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7"/>
      </w:numPr>
    </w:pPr>
    <w:rPr>
      <w:rFonts w:eastAsia="Times New Roman"/>
      <w:lang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mt-MT"/>
    </w:rPr>
  </w:style>
  <w:style w:type="character" w:customStyle="1" w:styleId="ilfuvd">
    <w:name w:val="ilfuvd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FootnoteReference0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5"/>
      </w:numPr>
    </w:pPr>
  </w:style>
  <w:style w:type="paragraph" w:customStyle="1" w:styleId="Tiret1">
    <w:name w:val="Tiret 1"/>
    <w:basedOn w:val="Point1"/>
    <w:pPr>
      <w:numPr>
        <w:numId w:val="36"/>
      </w:numPr>
    </w:pPr>
  </w:style>
  <w:style w:type="paragraph" w:customStyle="1" w:styleId="Tiret2">
    <w:name w:val="Tiret 2"/>
    <w:basedOn w:val="Point2"/>
    <w:pPr>
      <w:numPr>
        <w:numId w:val="37"/>
      </w:numPr>
    </w:pPr>
  </w:style>
  <w:style w:type="paragraph" w:customStyle="1" w:styleId="Tiret3">
    <w:name w:val="Tiret 3"/>
    <w:basedOn w:val="Point3"/>
    <w:pPr>
      <w:numPr>
        <w:numId w:val="38"/>
      </w:numPr>
    </w:pPr>
  </w:style>
  <w:style w:type="paragraph" w:customStyle="1" w:styleId="Tiret4">
    <w:name w:val="Tiret 4"/>
    <w:basedOn w:val="Point4"/>
    <w:pPr>
      <w:numPr>
        <w:numId w:val="3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2"/>
      </w:numPr>
    </w:pPr>
  </w:style>
  <w:style w:type="paragraph" w:customStyle="1" w:styleId="Point1number">
    <w:name w:val="Point 1 (number)"/>
    <w:basedOn w:val="Normal"/>
    <w:pPr>
      <w:numPr>
        <w:ilvl w:val="2"/>
        <w:numId w:val="42"/>
      </w:numPr>
    </w:pPr>
  </w:style>
  <w:style w:type="paragraph" w:customStyle="1" w:styleId="Point2number">
    <w:name w:val="Point 2 (number)"/>
    <w:basedOn w:val="Normal"/>
    <w:pPr>
      <w:numPr>
        <w:ilvl w:val="4"/>
        <w:numId w:val="42"/>
      </w:numPr>
    </w:pPr>
  </w:style>
  <w:style w:type="paragraph" w:customStyle="1" w:styleId="Point3number">
    <w:name w:val="Point 3 (number)"/>
    <w:basedOn w:val="Normal"/>
    <w:pPr>
      <w:numPr>
        <w:ilvl w:val="6"/>
        <w:numId w:val="42"/>
      </w:numPr>
    </w:pPr>
  </w:style>
  <w:style w:type="paragraph" w:customStyle="1" w:styleId="Point0letter">
    <w:name w:val="Point 0 (letter)"/>
    <w:basedOn w:val="Normal"/>
    <w:pPr>
      <w:numPr>
        <w:ilvl w:val="1"/>
        <w:numId w:val="42"/>
      </w:numPr>
    </w:pPr>
  </w:style>
  <w:style w:type="paragraph" w:customStyle="1" w:styleId="Point1letter">
    <w:name w:val="Point 1 (letter)"/>
    <w:basedOn w:val="Normal"/>
    <w:pPr>
      <w:numPr>
        <w:ilvl w:val="3"/>
        <w:numId w:val="42"/>
      </w:numPr>
    </w:pPr>
  </w:style>
  <w:style w:type="paragraph" w:customStyle="1" w:styleId="Point2letter">
    <w:name w:val="Point 2 (letter)"/>
    <w:basedOn w:val="Normal"/>
    <w:pPr>
      <w:numPr>
        <w:ilvl w:val="5"/>
        <w:numId w:val="42"/>
      </w:numPr>
    </w:pPr>
  </w:style>
  <w:style w:type="paragraph" w:customStyle="1" w:styleId="Point3letter">
    <w:name w:val="Point 3 (letter)"/>
    <w:basedOn w:val="Normal"/>
    <w:pPr>
      <w:numPr>
        <w:ilvl w:val="7"/>
        <w:numId w:val="42"/>
      </w:numPr>
    </w:pPr>
  </w:style>
  <w:style w:type="paragraph" w:customStyle="1" w:styleId="Point4letter">
    <w:name w:val="Point 4 (letter)"/>
    <w:basedOn w:val="Normal"/>
    <w:pPr>
      <w:numPr>
        <w:ilvl w:val="8"/>
        <w:numId w:val="42"/>
      </w:numPr>
    </w:pPr>
  </w:style>
  <w:style w:type="paragraph" w:customStyle="1" w:styleId="Bullet0">
    <w:name w:val="Bullet 0"/>
    <w:basedOn w:val="Normal"/>
    <w:pPr>
      <w:numPr>
        <w:numId w:val="43"/>
      </w:numPr>
    </w:pPr>
  </w:style>
  <w:style w:type="paragraph" w:customStyle="1" w:styleId="Bullet1">
    <w:name w:val="Bullet 1"/>
    <w:basedOn w:val="Normal"/>
    <w:pPr>
      <w:numPr>
        <w:numId w:val="44"/>
      </w:numPr>
    </w:pPr>
  </w:style>
  <w:style w:type="paragraph" w:customStyle="1" w:styleId="Bullet2">
    <w:name w:val="Bullet 2"/>
    <w:basedOn w:val="Normal"/>
    <w:pPr>
      <w:numPr>
        <w:numId w:val="45"/>
      </w:numPr>
    </w:pPr>
  </w:style>
  <w:style w:type="paragraph" w:customStyle="1" w:styleId="Bullet3">
    <w:name w:val="Bullet 3"/>
    <w:basedOn w:val="Normal"/>
    <w:pPr>
      <w:numPr>
        <w:numId w:val="46"/>
      </w:numPr>
    </w:pPr>
  </w:style>
  <w:style w:type="paragraph" w:customStyle="1" w:styleId="Bullet4">
    <w:name w:val="Bullet 4"/>
    <w:basedOn w:val="Normal"/>
    <w:pPr>
      <w:numPr>
        <w:numId w:val="4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um">
    <w:name w:val="num"/>
    <w:basedOn w:val="DefaultParagraphFont"/>
  </w:style>
  <w:style w:type="character" w:customStyle="1" w:styleId="footnotereference">
    <w:name w:val="footnotereference"/>
    <w:basedOn w:val="DefaultParagraphFont"/>
  </w:style>
  <w:style w:type="paragraph" w:customStyle="1" w:styleId="doc-ti">
    <w:name w:val="doc-ti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fr-BE"/>
    </w:rPr>
  </w:style>
  <w:style w:type="paragraph" w:customStyle="1" w:styleId="ListDash1">
    <w:name w:val="List Dash 1"/>
    <w:basedOn w:val="Normal"/>
    <w:pPr>
      <w:numPr>
        <w:numId w:val="6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7"/>
      </w:numPr>
    </w:pPr>
    <w:rPr>
      <w:rFonts w:eastAsia="Times New Roman"/>
      <w:lang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mt-MT"/>
    </w:rPr>
  </w:style>
  <w:style w:type="character" w:customStyle="1" w:styleId="ilfuvd">
    <w:name w:val="ilfuvd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FootnoteReference0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5"/>
      </w:numPr>
    </w:pPr>
  </w:style>
  <w:style w:type="paragraph" w:customStyle="1" w:styleId="Tiret1">
    <w:name w:val="Tiret 1"/>
    <w:basedOn w:val="Point1"/>
    <w:pPr>
      <w:numPr>
        <w:numId w:val="36"/>
      </w:numPr>
    </w:pPr>
  </w:style>
  <w:style w:type="paragraph" w:customStyle="1" w:styleId="Tiret2">
    <w:name w:val="Tiret 2"/>
    <w:basedOn w:val="Point2"/>
    <w:pPr>
      <w:numPr>
        <w:numId w:val="37"/>
      </w:numPr>
    </w:pPr>
  </w:style>
  <w:style w:type="paragraph" w:customStyle="1" w:styleId="Tiret3">
    <w:name w:val="Tiret 3"/>
    <w:basedOn w:val="Point3"/>
    <w:pPr>
      <w:numPr>
        <w:numId w:val="38"/>
      </w:numPr>
    </w:pPr>
  </w:style>
  <w:style w:type="paragraph" w:customStyle="1" w:styleId="Tiret4">
    <w:name w:val="Tiret 4"/>
    <w:basedOn w:val="Point4"/>
    <w:pPr>
      <w:numPr>
        <w:numId w:val="3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2"/>
      </w:numPr>
    </w:pPr>
  </w:style>
  <w:style w:type="paragraph" w:customStyle="1" w:styleId="Point1number">
    <w:name w:val="Point 1 (number)"/>
    <w:basedOn w:val="Normal"/>
    <w:pPr>
      <w:numPr>
        <w:ilvl w:val="2"/>
        <w:numId w:val="42"/>
      </w:numPr>
    </w:pPr>
  </w:style>
  <w:style w:type="paragraph" w:customStyle="1" w:styleId="Point2number">
    <w:name w:val="Point 2 (number)"/>
    <w:basedOn w:val="Normal"/>
    <w:pPr>
      <w:numPr>
        <w:ilvl w:val="4"/>
        <w:numId w:val="42"/>
      </w:numPr>
    </w:pPr>
  </w:style>
  <w:style w:type="paragraph" w:customStyle="1" w:styleId="Point3number">
    <w:name w:val="Point 3 (number)"/>
    <w:basedOn w:val="Normal"/>
    <w:pPr>
      <w:numPr>
        <w:ilvl w:val="6"/>
        <w:numId w:val="42"/>
      </w:numPr>
    </w:pPr>
  </w:style>
  <w:style w:type="paragraph" w:customStyle="1" w:styleId="Point0letter">
    <w:name w:val="Point 0 (letter)"/>
    <w:basedOn w:val="Normal"/>
    <w:pPr>
      <w:numPr>
        <w:ilvl w:val="1"/>
        <w:numId w:val="42"/>
      </w:numPr>
    </w:pPr>
  </w:style>
  <w:style w:type="paragraph" w:customStyle="1" w:styleId="Point1letter">
    <w:name w:val="Point 1 (letter)"/>
    <w:basedOn w:val="Normal"/>
    <w:pPr>
      <w:numPr>
        <w:ilvl w:val="3"/>
        <w:numId w:val="42"/>
      </w:numPr>
    </w:pPr>
  </w:style>
  <w:style w:type="paragraph" w:customStyle="1" w:styleId="Point2letter">
    <w:name w:val="Point 2 (letter)"/>
    <w:basedOn w:val="Normal"/>
    <w:pPr>
      <w:numPr>
        <w:ilvl w:val="5"/>
        <w:numId w:val="42"/>
      </w:numPr>
    </w:pPr>
  </w:style>
  <w:style w:type="paragraph" w:customStyle="1" w:styleId="Point3letter">
    <w:name w:val="Point 3 (letter)"/>
    <w:basedOn w:val="Normal"/>
    <w:pPr>
      <w:numPr>
        <w:ilvl w:val="7"/>
        <w:numId w:val="42"/>
      </w:numPr>
    </w:pPr>
  </w:style>
  <w:style w:type="paragraph" w:customStyle="1" w:styleId="Point4letter">
    <w:name w:val="Point 4 (letter)"/>
    <w:basedOn w:val="Normal"/>
    <w:pPr>
      <w:numPr>
        <w:ilvl w:val="8"/>
        <w:numId w:val="42"/>
      </w:numPr>
    </w:pPr>
  </w:style>
  <w:style w:type="paragraph" w:customStyle="1" w:styleId="Bullet0">
    <w:name w:val="Bullet 0"/>
    <w:basedOn w:val="Normal"/>
    <w:pPr>
      <w:numPr>
        <w:numId w:val="43"/>
      </w:numPr>
    </w:pPr>
  </w:style>
  <w:style w:type="paragraph" w:customStyle="1" w:styleId="Bullet1">
    <w:name w:val="Bullet 1"/>
    <w:basedOn w:val="Normal"/>
    <w:pPr>
      <w:numPr>
        <w:numId w:val="44"/>
      </w:numPr>
    </w:pPr>
  </w:style>
  <w:style w:type="paragraph" w:customStyle="1" w:styleId="Bullet2">
    <w:name w:val="Bullet 2"/>
    <w:basedOn w:val="Normal"/>
    <w:pPr>
      <w:numPr>
        <w:numId w:val="45"/>
      </w:numPr>
    </w:pPr>
  </w:style>
  <w:style w:type="paragraph" w:customStyle="1" w:styleId="Bullet3">
    <w:name w:val="Bullet 3"/>
    <w:basedOn w:val="Normal"/>
    <w:pPr>
      <w:numPr>
        <w:numId w:val="46"/>
      </w:numPr>
    </w:pPr>
  </w:style>
  <w:style w:type="paragraph" w:customStyle="1" w:styleId="Bullet4">
    <w:name w:val="Bullet 4"/>
    <w:basedOn w:val="Normal"/>
    <w:pPr>
      <w:numPr>
        <w:numId w:val="4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intracomm.ec.europa.eu/budgweb/MT/bud/mff/Pages/mff-post-2020.asp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yintracomm.ec.europa.eu/budgweb/MT/man/budgmanag/Pages/budgmanag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F1C3-25C7-45C6-85C9-E850C887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23</Pages>
  <Words>10152</Words>
  <Characters>75232</Characters>
  <Application>Microsoft Office Word</Application>
  <DocSecurity>0</DocSecurity>
  <Lines>1671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21</cp:revision>
  <cp:lastPrinted>2020-11-26T08:40:00Z</cp:lastPrinted>
  <dcterms:created xsi:type="dcterms:W3CDTF">2021-01-12T07:45:00Z</dcterms:created>
  <dcterms:modified xsi:type="dcterms:W3CDTF">2021-01-14T08:44:00Z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