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CF9D530-99D5-4176-B3AE-19FAAB303479" style="width:450.8pt;height:348.1pt">
            <v:imagedata r:id="rId9" o:title=""/>
          </v:shape>
        </w:pict>
      </w:r>
    </w:p>
    <w:bookmarkEnd w:id="0"/>
    <w:p>
      <w:pPr>
        <w:spacing w:line="360" w:lineRule="auto"/>
        <w:rPr>
          <w:noProof/>
          <w:lang w:val="el-GR"/>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Default"/>
        <w:spacing w:line="360" w:lineRule="auto"/>
        <w:rPr>
          <w:noProof/>
        </w:rPr>
      </w:pPr>
      <w:bookmarkStart w:id="1" w:name="_GoBack"/>
      <w:bookmarkEnd w:id="1"/>
    </w:p>
    <w:p>
      <w:pPr>
        <w:pStyle w:val="Default"/>
        <w:spacing w:line="360" w:lineRule="auto"/>
        <w:rPr>
          <w:noProof/>
        </w:rPr>
      </w:pPr>
    </w:p>
    <w:p>
      <w:pPr>
        <w:spacing w:line="360" w:lineRule="auto"/>
        <w:jc w:val="center"/>
        <w:rPr>
          <w:rFonts w:ascii="Times New Roman" w:hAnsi="Times New Roman" w:cs="Times New Roman"/>
          <w:b/>
          <w:noProof/>
          <w:sz w:val="24"/>
          <w:szCs w:val="24"/>
        </w:rPr>
      </w:pPr>
      <w:r>
        <w:rPr>
          <w:rFonts w:ascii="Times New Roman" w:hAnsi="Times New Roman"/>
          <w:b/>
          <w:noProof/>
          <w:sz w:val="24"/>
          <w:szCs w:val="24"/>
        </w:rPr>
        <w:t>A BIZOTTSÁG JELENTÉSE AZ EURÓPAI PARLAMENTNEK ÉS A TANÁCSNAK</w:t>
      </w:r>
    </w:p>
    <w:p>
      <w:pPr>
        <w:spacing w:before="120" w:after="120" w:line="360" w:lineRule="auto"/>
        <w:jc w:val="center"/>
        <w:rPr>
          <w:rFonts w:ascii="Times New Roman" w:eastAsia="Times New Roman" w:hAnsi="Times New Roman" w:cs="Times New Roman"/>
          <w:b/>
          <w:noProof/>
          <w:sz w:val="24"/>
          <w:szCs w:val="24"/>
        </w:rPr>
      </w:pPr>
      <w:r>
        <w:rPr>
          <w:rFonts w:ascii="Times New Roman" w:hAnsi="Times New Roman"/>
          <w:b/>
          <w:noProof/>
          <w:sz w:val="24"/>
          <w:szCs w:val="24"/>
        </w:rPr>
        <w:t>az Európai Unió és Ausztrália közötti, az utas-nyilvántartási adatállomány (PNR) adatainak a légi fuvarozók általi feldolgozásáról és az Ausztrál Vámügyi és Határvédelmi Szolgálatnak való továbbításáról szóló megállapodás közös értékeléséről</w:t>
      </w:r>
    </w:p>
    <w:p>
      <w:pPr>
        <w:spacing w:line="360" w:lineRule="auto"/>
        <w:rPr>
          <w:rFonts w:ascii="Times New Roman" w:hAnsi="Times New Roman" w:cs="Times New Roman"/>
          <w:noProof/>
          <w:sz w:val="24"/>
          <w:szCs w:val="24"/>
          <w:u w:val="single"/>
        </w:rPr>
      </w:pPr>
      <w:r>
        <w:rPr>
          <w:rFonts w:ascii="Times New Roman" w:hAnsi="Times New Roman"/>
          <w:noProof/>
          <w:sz w:val="24"/>
          <w:szCs w:val="24"/>
          <w:u w:val="single"/>
        </w:rPr>
        <w:t>Bevezetés</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Az Európai Unió és Ausztrália között az utas-nyilvántartási adatállomány (PNR) adatainak a légi fuvarozók általi feldolgozásáról és az ausztrál vámügyi szolgálatnak való továbbításáról szóló megállapodás 2012. június 1-jén hatályba lépett</w:t>
      </w:r>
      <w:r>
        <w:rPr>
          <w:rStyle w:val="FootnoteReference"/>
          <w:rFonts w:ascii="Times New Roman" w:hAnsi="Times New Roman" w:cs="Times New Roman"/>
          <w:noProof/>
          <w:sz w:val="24"/>
          <w:szCs w:val="24"/>
          <w:lang w:val="en-IE"/>
        </w:rPr>
        <w:footnoteReference w:id="1"/>
      </w:r>
      <w:r>
        <w:rPr>
          <w:rFonts w:ascii="Times New Roman" w:hAnsi="Times New Roman"/>
          <w:noProof/>
          <w:sz w:val="24"/>
          <w:szCs w:val="24"/>
        </w:rPr>
        <w:t>. A megállapodás 24. cikkének (4) bekezdése értelmében mindkét fél legkésőbb a hatálybalépését követő négy éven belül értékeli a megállapodást, különös tekintettel annak működési hatékonyságára.</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A közös értékelés részét képezi a megállapodás alaposabb vizsgálata, amelybe beletartozik a szélesebb körű működés és a működési hozzáadott érték vizsgálata, valamint a megállapodás eredményeinek, hatásainak, hatékonyságának, szükségességének és arányosságának értékelése. A közös értékelés arra is lehetőséget kínál, hogy számba vegyék a két fél vonatkozó jogi keretének és ítélkezési gyakorlatának alakulása által kifejtett hatásokat. Ezért a közös értékelés szélesebb megközelítést alkalmaz, mint a közös felülvizsgálatok, amelyek során a két fél azt értékeli, hogy a megállapodást helyesen hajtják-e végre.</w:t>
      </w:r>
    </w:p>
    <w:p>
      <w:pPr>
        <w:spacing w:line="360" w:lineRule="auto"/>
        <w:rPr>
          <w:rFonts w:ascii="Times New Roman" w:hAnsi="Times New Roman" w:cs="Times New Roman"/>
          <w:noProof/>
          <w:sz w:val="24"/>
          <w:szCs w:val="24"/>
          <w:u w:val="single"/>
        </w:rPr>
      </w:pPr>
      <w:r>
        <w:rPr>
          <w:rFonts w:ascii="Times New Roman" w:hAnsi="Times New Roman"/>
          <w:noProof/>
          <w:sz w:val="24"/>
          <w:szCs w:val="24"/>
          <w:u w:val="single"/>
        </w:rPr>
        <w:t>A közös értékelés és az arról szóló jelentés előkészítési folyamata</w:t>
      </w:r>
    </w:p>
    <w:p>
      <w:pPr>
        <w:pStyle w:val="ListParagraph"/>
        <w:numPr>
          <w:ilvl w:val="0"/>
          <w:numId w:val="5"/>
        </w:numPr>
        <w:spacing w:line="360" w:lineRule="auto"/>
        <w:jc w:val="both"/>
        <w:rPr>
          <w:rFonts w:ascii="Times New Roman" w:hAnsi="Times New Roman" w:cs="Times New Roman"/>
          <w:noProof/>
          <w:sz w:val="24"/>
          <w:szCs w:val="24"/>
        </w:rPr>
      </w:pPr>
      <w:r>
        <w:rPr>
          <w:rFonts w:ascii="Times New Roman" w:hAnsi="Times New Roman"/>
          <w:noProof/>
          <w:sz w:val="24"/>
          <w:szCs w:val="24"/>
        </w:rPr>
        <w:t>A Bizottság a közös értékelést megelőzően 2019. június 28-án kérdőívet küldött Ausztrália Belügyminisztériumának (a továbbiakban: minisztérium). A minisztérium a közös értékelést megelőzően írásban benyújtotta a kérdőívre adott válaszok tervezetét, majd ezt követően a végleges, konszolidált változatot.</w:t>
      </w:r>
    </w:p>
    <w:p>
      <w:pPr>
        <w:pStyle w:val="ListParagraph"/>
        <w:numPr>
          <w:ilvl w:val="0"/>
          <w:numId w:val="5"/>
        </w:numPr>
        <w:spacing w:line="360" w:lineRule="auto"/>
        <w:jc w:val="both"/>
        <w:rPr>
          <w:rFonts w:ascii="Times New Roman" w:hAnsi="Times New Roman" w:cs="Times New Roman"/>
          <w:noProof/>
          <w:sz w:val="24"/>
          <w:szCs w:val="24"/>
        </w:rPr>
      </w:pPr>
      <w:r>
        <w:rPr>
          <w:rFonts w:ascii="Times New Roman" w:hAnsi="Times New Roman"/>
          <w:noProof/>
          <w:sz w:val="24"/>
          <w:szCs w:val="24"/>
        </w:rPr>
        <w:t>Az uniós szakértői csoport 2019. augusztus 15-én közös értékelő látogatást tett.</w:t>
      </w:r>
    </w:p>
    <w:p>
      <w:pPr>
        <w:pStyle w:val="ListParagraph"/>
        <w:numPr>
          <w:ilvl w:val="0"/>
          <w:numId w:val="5"/>
        </w:numPr>
        <w:spacing w:line="360" w:lineRule="auto"/>
        <w:jc w:val="both"/>
        <w:rPr>
          <w:rFonts w:ascii="Times New Roman" w:hAnsi="Times New Roman" w:cs="Times New Roman"/>
          <w:noProof/>
          <w:sz w:val="24"/>
          <w:szCs w:val="24"/>
        </w:rPr>
      </w:pPr>
      <w:r>
        <w:rPr>
          <w:rFonts w:ascii="Times New Roman" w:hAnsi="Times New Roman"/>
          <w:noProof/>
          <w:sz w:val="24"/>
          <w:szCs w:val="24"/>
        </w:rPr>
        <w:t>A minisztérium kérésére az uniós szakértői csoport valamennyi tagja titoktartási megállapodást írt alá a felülvizsgálati gyakorlatban való részvétel feltételeként.</w:t>
      </w:r>
    </w:p>
    <w:p>
      <w:pPr>
        <w:pStyle w:val="ListParagraph"/>
        <w:numPr>
          <w:ilvl w:val="0"/>
          <w:numId w:val="5"/>
        </w:numPr>
        <w:spacing w:line="360" w:lineRule="auto"/>
        <w:jc w:val="both"/>
        <w:rPr>
          <w:rFonts w:ascii="Times New Roman" w:hAnsi="Times New Roman" w:cs="Times New Roman"/>
          <w:noProof/>
          <w:sz w:val="24"/>
          <w:szCs w:val="24"/>
        </w:rPr>
      </w:pPr>
      <w:r>
        <w:rPr>
          <w:rFonts w:ascii="Times New Roman" w:hAnsi="Times New Roman"/>
          <w:noProof/>
          <w:sz w:val="24"/>
          <w:szCs w:val="24"/>
        </w:rPr>
        <w:t>A kérdőívre adott válaszokat részletesen megvitatták a minisztériummal. Az uniós szakértői csoportnak lehetősége nyílt és volt ideje arra is, hogy további kérdéseket tegyen fel a minisztériumi tisztviselőknek, és foglalkozzon a megállapodás különböző szempontjaival.</w:t>
      </w:r>
    </w:p>
    <w:p>
      <w:pPr>
        <w:pStyle w:val="ListParagraph"/>
        <w:numPr>
          <w:ilvl w:val="0"/>
          <w:numId w:val="5"/>
        </w:numPr>
        <w:spacing w:line="360" w:lineRule="auto"/>
        <w:jc w:val="both"/>
        <w:rPr>
          <w:rFonts w:ascii="Times New Roman" w:hAnsi="Times New Roman" w:cs="Times New Roman"/>
          <w:noProof/>
          <w:sz w:val="24"/>
          <w:szCs w:val="24"/>
        </w:rPr>
      </w:pPr>
      <w:r>
        <w:rPr>
          <w:rFonts w:ascii="Times New Roman" w:hAnsi="Times New Roman"/>
          <w:noProof/>
          <w:sz w:val="24"/>
          <w:szCs w:val="24"/>
        </w:rPr>
        <w:t>Az uniós szakértői csoport megállapításait a kísérő szolgálati munkadokumentum tartalmazza, amelyet a minisztériummal megosztottak, így Ausztráliának lehetősége nyílt arra, hogy észrevételeket tegyen a pontatlanságokkal kapcsolatban, és azonosítsa azokat az információkat, amelyeket nem lehet nyilvánosságra hozni.</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Az e jelentést kísérő bizottsági szolgálati munkadokumentum részletesebb információkat és átfogó elemzést tartalmaz a közös értékelés módszertanáról és a jelentés tárgyát képező valamennyi kérdésről.</w:t>
      </w:r>
    </w:p>
    <w:p>
      <w:pPr>
        <w:spacing w:line="360" w:lineRule="auto"/>
        <w:jc w:val="both"/>
        <w:rPr>
          <w:rFonts w:ascii="Times New Roman" w:hAnsi="Times New Roman" w:cs="Times New Roman"/>
          <w:noProof/>
          <w:sz w:val="24"/>
          <w:szCs w:val="24"/>
          <w:u w:val="single"/>
        </w:rPr>
      </w:pPr>
      <w:r>
        <w:rPr>
          <w:rFonts w:ascii="Times New Roman" w:hAnsi="Times New Roman"/>
          <w:noProof/>
          <w:sz w:val="24"/>
          <w:szCs w:val="24"/>
          <w:u w:val="single"/>
        </w:rPr>
        <w:t>A közös értékelés megállapításai</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A közös értékelés főbb megállapításai a következőképpen foglalhatók össze:</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Az értékelő csoportok megvitatták a PNR-adatoknak a terrorista bűncselekmények és az azokhoz kapcsolódó bűncselekmények, valamint bizonyos transznacionális jellegű egyéb bűncselekmények megelőzése, felderítése, kivizsgálása és büntetőeljárás alá vonása céljából történő felhasználásának különböző módjait. A közös értékelés megerősítette, hogy a PNR-adatok olyan elemeket tartalmaznak, amelyek más módon nem állnak rendelkezésre, és elsősorban arra mutatott rá, hogy a PNR-adatokban szereplő információk semmilyen más típusú adatgyűjtésben nem találhatók meg.</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A PNR-adatok gyűjtésének szükségességét az is bizonyította, hogy képes segítséget nyújtani az illetékes hatóságoknak a bűnüldöző hatóságok által egyébként nem ismert, nagy kockázatot jelentő utazók azonosításában. Emellett a megőrzött – korábbi – PNR-adatok hasznosságát számos olyan példa szemléltette, amelyekben a korábbi PNR-adatok döntő fontosságúak voltak a nagy horderejű terrorizmusellenes ügyek megoldásában nemcsak a Ausztráliában, hanem az EU-ban is.</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A közös értékelés emellett azt is tudomásul veszi, hogy világszerte egyre nagyobb érdeklődés mutatkozik a PNR terrorizmusellenes és bűnüldözési célú, valamint az újonnan létrejött nemzetközi kötelezettségekkel összefüggésben történő felhasználása iránt. Ebben az összefüggésben az értékelés külön hivatkozik az uniós utas-nyilvántartási adatállományról szóló irányelv</w:t>
      </w:r>
      <w:r>
        <w:rPr>
          <w:rStyle w:val="FootnoteReference"/>
          <w:rFonts w:ascii="Times New Roman" w:hAnsi="Times New Roman" w:cs="Times New Roman"/>
          <w:noProof/>
          <w:sz w:val="24"/>
          <w:szCs w:val="24"/>
          <w:lang w:val="en-IE"/>
        </w:rPr>
        <w:footnoteReference w:id="2"/>
      </w:r>
      <w:r>
        <w:rPr>
          <w:rFonts w:ascii="Times New Roman" w:hAnsi="Times New Roman"/>
          <w:noProof/>
          <w:sz w:val="24"/>
          <w:szCs w:val="24"/>
        </w:rPr>
        <w:t xml:space="preserve"> elfogadására, valamint globális szinten a PNR-adatoknak a Nemzetközi Polgári Repülési Szervezet (ICAO) általi gyűjtésére, felhasználására, feldolgozására és védelmére vonatkozó új szabványokra és ajánlott gyakorlatokra, az Egyesült Nemzetek Biztonsági Tanácsának 2396 (2017) sz. határozatában</w:t>
      </w:r>
      <w:r>
        <w:rPr>
          <w:rStyle w:val="FootnoteReference"/>
          <w:rFonts w:ascii="Times New Roman" w:hAnsi="Times New Roman" w:cs="Times New Roman"/>
          <w:noProof/>
          <w:sz w:val="24"/>
          <w:szCs w:val="24"/>
          <w:lang w:val="en-IE"/>
        </w:rPr>
        <w:footnoteReference w:id="3"/>
      </w:r>
      <w:r>
        <w:rPr>
          <w:rFonts w:ascii="Times New Roman" w:hAnsi="Times New Roman"/>
          <w:noProof/>
          <w:sz w:val="24"/>
          <w:szCs w:val="24"/>
        </w:rPr>
        <w:t xml:space="preserve"> foglaltak szerint.</w:t>
      </w:r>
    </w:p>
    <w:p>
      <w:pPr>
        <w:spacing w:line="360" w:lineRule="auto"/>
        <w:jc w:val="both"/>
        <w:rPr>
          <w:rFonts w:ascii="Times New Roman" w:hAnsi="Times New Roman" w:cs="Times New Roman"/>
          <w:noProof/>
          <w:sz w:val="24"/>
          <w:szCs w:val="24"/>
        </w:rPr>
      </w:pPr>
      <w:r>
        <w:rPr>
          <w:rFonts w:ascii="Times New Roman" w:hAnsi="Times New Roman"/>
          <w:noProof/>
          <w:sz w:val="24"/>
        </w:rPr>
        <w:t>Végezetül az értékelő csoportok megvitatták a Bíróságnak a tervezett EU–Kanada PNR-megállapodásról szóló 1/15. sz. véleményét is</w:t>
      </w:r>
      <w:r>
        <w:rPr>
          <w:rStyle w:val="FootnoteReference"/>
          <w:rFonts w:ascii="Times New Roman" w:hAnsi="Times New Roman" w:cs="Times New Roman"/>
          <w:noProof/>
          <w:sz w:val="24"/>
          <w:lang w:val="en-GB"/>
        </w:rPr>
        <w:footnoteReference w:id="4"/>
      </w:r>
      <w:r>
        <w:rPr>
          <w:rFonts w:ascii="Times New Roman" w:hAnsi="Times New Roman"/>
          <w:noProof/>
          <w:sz w:val="24"/>
        </w:rPr>
        <w:t>.</w:t>
      </w:r>
    </w:p>
    <w:p>
      <w:pPr>
        <w:spacing w:line="360" w:lineRule="auto"/>
        <w:rPr>
          <w:rFonts w:ascii="Times New Roman" w:hAnsi="Times New Roman" w:cs="Times New Roman"/>
          <w:noProof/>
          <w:sz w:val="24"/>
          <w:szCs w:val="24"/>
          <w:u w:val="single"/>
        </w:rPr>
      </w:pPr>
      <w:r>
        <w:rPr>
          <w:rFonts w:ascii="Times New Roman" w:hAnsi="Times New Roman"/>
          <w:noProof/>
          <w:sz w:val="24"/>
          <w:szCs w:val="24"/>
          <w:u w:val="single"/>
        </w:rPr>
        <w:t>Következtetések</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A közös értékelés egyértelműen rámutatott a megállapodás hozzáadott értékére és operatív hatékonyságára a terrorizmus és a súlyos nemzetközi bűncselekmények elleni küzdelem terén. Az értékelés során bemutatott példák azt mutatják, hogy a PNR – beleértve a korábbi PNR-adatokat is – egyedülálló adatkészletként döntő fontosságú volt a külföldi terrorista harcosok visszatérésének megakadályozása, valamint különösen a kábítószerrel kapcsolatos bűncselekmények és a gyermekek kizsákmányolása elleni küzdelem szempontjából. Emellett a megállapodás célkitűzései összhangban állnak a PNR-adatok gyűjtésére, feldolgozására és elemzésére vonatkozó nemzetközi kötelezettségekkel, amelyek célja a hatékony határellenőrzés, a terroristák utazásának megakadályozása, a szervezett bűnözéssel kapcsolatban álló személyek közötti kapcsolatok felderítésének elősegítése, valamint a terrorizmus és a szervezett bűnözés büntetőeljárás alá vonása.</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Az uniós szakértői csoport ugyanakkor megjegyezte, hogy a megállapodásban foglalt számos biztosíték ellenére annak több vonatkozása nem áll teljes mértékben összhangban a Bíróságnak a Kanadával tervezett PNR-megállapodásról szóló 1/15. sz. véleményével, mivel Ausztráliával azelőtt került sor a megállapodás megkötésére, hogy a Bíróság véleményt nyilvánított volna. E vonatkozások az utasok értesítését, a PNR-adatok megőrzését, az adattovábbítást és a PNR-adatok felhasználásának előzetes, független felülvizsgálatának szükségességét érintik.</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A Bizottság elismeri Ausztrália arra irányuló erőfeszítéseit, hogy megfeleljen a megállapodás követelményeinek, amint azt a közös felülvizsgálat</w:t>
      </w:r>
      <w:r>
        <w:rPr>
          <w:rStyle w:val="FootnoteReference"/>
          <w:rFonts w:ascii="Times New Roman" w:hAnsi="Times New Roman" w:cs="Times New Roman"/>
          <w:noProof/>
          <w:sz w:val="24"/>
          <w:szCs w:val="24"/>
        </w:rPr>
        <w:footnoteReference w:customMarkFollows="1" w:id="5"/>
        <w:t>5</w:t>
      </w:r>
      <w:r>
        <w:rPr>
          <w:rFonts w:ascii="Times New Roman" w:hAnsi="Times New Roman"/>
          <w:noProof/>
          <w:sz w:val="24"/>
          <w:szCs w:val="24"/>
        </w:rPr>
        <w:t xml:space="preserve"> is bizonyítja, és tudomásul veszi, hogy Ausztrália fontosnak tartja a korábbi PNR-adatok megőrzését.</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Mindezek alapján a felek kötelezettséget vállaltak arra, hogy folytatják a megállapodás végrehajtásáról folytatott konstruktív párbeszédet, és a tervezett EU–Kanada PNR-megállapodásról szóló bírósági vélemény fényében dolgoznak a közös felülvizsgálatban és ezen értékelésben foglalt ajánlások végrehajtásán. Ezzel összefüggésben a Bizottság értékelni fogja a szükséges nyomonkövetési intézkedéseket, figyelembe véve azokat a visszajelzéseket, amelyeket az Európai Parlament és a Tanács ezen értékelésről kapott.</w:t>
      </w:r>
    </w:p>
    <w:p>
      <w:pPr>
        <w:spacing w:line="360" w:lineRule="auto"/>
        <w:jc w:val="both"/>
        <w:rPr>
          <w:noProof/>
        </w:rPr>
      </w:pPr>
      <w:r>
        <w:rPr>
          <w:rFonts w:ascii="Times New Roman" w:hAnsi="Times New Roman"/>
          <w:noProof/>
          <w:sz w:val="24"/>
          <w:szCs w:val="24"/>
        </w:rPr>
        <w:t>A Bizottság jövőre felül fogja vizsgálni a PNR-adatok harmadik országokba történő továbbítására vonatkozó uniós külső stratégiát.</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97609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425" w:hanging="425"/>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Megállapodás az Európai Unió és Ausztrália között az utas-nyilvántartási adatállomány (PNR) adatainak a légi fuvarozók általi feldolgozásáról és az Ausztrál Vámügyi és Határvédelmi Szolgálatnak való továbbításáról (HL L 186., 2012.7.14., 4. o.).</w:t>
      </w:r>
    </w:p>
  </w:footnote>
  <w:footnote w:id="2">
    <w:p>
      <w:pPr>
        <w:pStyle w:val="FootnoteText"/>
        <w:ind w:left="340" w:hanging="340"/>
        <w:jc w:val="both"/>
      </w:pPr>
      <w:r>
        <w:rPr>
          <w:rStyle w:val="FootnoteReference"/>
        </w:rPr>
        <w:footnoteRef/>
      </w:r>
      <w:r>
        <w:tab/>
      </w:r>
      <w:r>
        <w:rPr>
          <w:rFonts w:ascii="Times New Roman" w:hAnsi="Times New Roman"/>
        </w:rPr>
        <w:t>Az Európai Parlament és a Tanács (EU) 2016/681 irányelve (2016. április 27.) az utasnyilvántartási adatállománynak (PNR) a terrorista bűncselekmények és súlyos bűncselekmények megelőzése, felderítése, nyomozása és a vádeljárás lefolytatása érdekében történő felhasználásáról (HL L 119., 2016.5.4., 132. o.).</w:t>
      </w:r>
    </w:p>
  </w:footnote>
  <w:footnote w:id="3">
    <w:p>
      <w:pPr>
        <w:pStyle w:val="FootnoteText"/>
        <w:ind w:left="425" w:hanging="425"/>
        <w:jc w:val="both"/>
      </w:pPr>
      <w:r>
        <w:rPr>
          <w:rStyle w:val="FootnoteReference"/>
        </w:rPr>
        <w:footnoteRef/>
      </w:r>
      <w:r>
        <w:rPr>
          <w:rFonts w:ascii="Times New Roman" w:hAnsi="Times New Roman"/>
        </w:rPr>
        <w:tab/>
        <w:t>A Biztonsági Tanács 2017. december 21-i 8148. ülésén elfogadott 2396 (2017) sz. határozat.</w:t>
      </w:r>
    </w:p>
  </w:footnote>
  <w:footnote w:id="4">
    <w:p>
      <w:pPr>
        <w:pStyle w:val="FootnoteText"/>
        <w:ind w:left="425" w:hanging="425"/>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A Bíróság (nagytanács) 1/15. sz. véleménye, ECLI:EU:C:2017:592.</w:t>
      </w:r>
    </w:p>
  </w:footnote>
  <w:footnote w:id="5">
    <w:p>
      <w:pPr>
        <w:pStyle w:val="FootnoteText"/>
        <w:ind w:left="425" w:hanging="425"/>
        <w:jc w:val="both"/>
        <w:rPr>
          <w:rFonts w:ascii="Times New Roman" w:hAnsi="Times New Roman" w:cs="Times New Roman"/>
        </w:rPr>
      </w:pPr>
      <w:r>
        <w:rPr>
          <w:rStyle w:val="FootnoteReference"/>
        </w:rPr>
        <w:t>5</w:t>
      </w:r>
      <w:r>
        <w:tab/>
      </w:r>
      <w:r>
        <w:rPr>
          <w:rFonts w:ascii="Times New Roman" w:hAnsi="Times New Roman"/>
        </w:rPr>
        <w:t>A Bizottság jelentése az Európai Parlamentnek és a Tanácsnak az Európai Unió és Ausztrália közötti, az utas-nyilvántartási adatállomány (PNR) adatainak a légi fuvarozók általi feldolgozásáról és az Ausztrál Vámügyi és Határvédelmi Szolgálatnak való továbbításáról szóló megállapodás végrehajtásának közös felülvizsgálatáról (COM(2020) 701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96B"/>
    <w:multiLevelType w:val="hybridMultilevel"/>
    <w:tmpl w:val="0DC2170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B996715"/>
    <w:multiLevelType w:val="hybridMultilevel"/>
    <w:tmpl w:val="B26C52AE"/>
    <w:lvl w:ilvl="0" w:tplc="278EBC08">
      <w:numFmt w:val="bullet"/>
      <w:lvlText w:val="•"/>
      <w:lvlJc w:val="left"/>
      <w:pPr>
        <w:ind w:left="1065" w:hanging="705"/>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3EA250C"/>
    <w:multiLevelType w:val="hybridMultilevel"/>
    <w:tmpl w:val="0164C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7510842"/>
    <w:multiLevelType w:val="hybridMultilevel"/>
    <w:tmpl w:val="FEEE9920"/>
    <w:lvl w:ilvl="0" w:tplc="278EBC08">
      <w:numFmt w:val="bullet"/>
      <w:lvlText w:val="•"/>
      <w:lvlJc w:val="left"/>
      <w:pPr>
        <w:ind w:left="1065" w:hanging="705"/>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DB7573A"/>
    <w:multiLevelType w:val="hybridMultilevel"/>
    <w:tmpl w:val="3800B408"/>
    <w:lvl w:ilvl="0" w:tplc="AD704FC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F696BF4"/>
    <w:multiLevelType w:val="hybridMultilevel"/>
    <w:tmpl w:val="5BF8A8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0E12C5B"/>
    <w:multiLevelType w:val="hybridMultilevel"/>
    <w:tmpl w:val="BFD4CEF2"/>
    <w:lvl w:ilvl="0" w:tplc="AD704FC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5466248"/>
    <w:multiLevelType w:val="hybridMultilevel"/>
    <w:tmpl w:val="FF726180"/>
    <w:lvl w:ilvl="0" w:tplc="278EBC08">
      <w:numFmt w:val="bullet"/>
      <w:lvlText w:val="•"/>
      <w:lvlJc w:val="left"/>
      <w:pPr>
        <w:ind w:left="1065" w:hanging="705"/>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CF9D530-99D5-4176-B3AE-19FAAB303479"/>
    <w:docVar w:name="LW_COVERPAGE_TYPE" w:val="1"/>
    <w:docVar w:name="LW_CROSSREFERENCE" w:val="{SWD(2021) 3 final}"/>
    <w:docVar w:name="LW_DocType" w:val="NORMAL"/>
    <w:docVar w:name="LW_EMISSION" w:val="2021.1.12."/>
    <w:docVar w:name="LW_EMISSION_ISODATE" w:val="2021-01-12"/>
    <w:docVar w:name="LW_EMISSION_LOCATION" w:val="BRX"/>
    <w:docVar w:name="LW_EMISSION_PREFIX" w:val="Brüsszel, "/>
    <w:docVar w:name="LW_EMISSION_SUFFIX" w:val=" "/>
    <w:docVar w:name="LW_ID_DOCTYPE_NONLW" w:val="CP-006"/>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21) 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z Európai Unió és Ausztrália közötti, az utas-nyilvántartási adatállomány (PNR) adatainak a légi fuvarozók általi feldolgozásáról és az Ausztrál Vámügyi és Határvédelmi Szolgálatnak való továbbításáról szóló megállapodás közös értékelésér\u337?l&lt;FMT:Bold&gt;_x000d__x000d__x000d__x000d_&lt;/FMT&gt;_x000d__x000b_"/>
    <w:docVar w:name="LW_TYPE.DOC.CP" w:val="A BIZOTTSÁG JELENTÉSE AZ EURÓPAI PARLAMENTNEK ÉS A TANÁCSNAK"/>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FootnoteText">
    <w:name w:val="footnote text"/>
    <w:aliases w:val="M Footnotes,Fußnotentextf,Footnote,Fußnote,Char Char Car,Note de bas de page Car Car Car Car Car Car Car Car Car Car,Note de bas de page Car Car Car Car,Note de bas de page Car Car Car Car Car Car Car Car Car,ft,Footnote Text Char1,fn,o,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M Footnotes Char,Fußnotentextf Char,Footnote Char,Fußnote Char,Char Char Car Char,Note de bas de page Car Car Car Car Car Car Car Car Car Car Char,Note de bas de page Car Car Car Car Char,ft Char,Footnote Text Char1 Char,fn Char"/>
    <w:basedOn w:val="DefaultParagraphFont"/>
    <w:link w:val="FootnoteText"/>
    <w:uiPriority w:val="99"/>
    <w:rPr>
      <w:sz w:val="20"/>
      <w:szCs w:val="20"/>
    </w:rPr>
  </w:style>
  <w:style w:type="character" w:styleId="FootnoteReference">
    <w:name w:val="footnote reference"/>
    <w:aliases w:val="Footnote Refernece,BVI fnr,callout,16 Point,Superscript 6 Point,Odwołanie przypisu,Footnote symbol,Footnote Reference Number,Footnote Reference Superscript,SUPERS,Times 10 Point,Exposant 3 Point,Ref,de nota al pie,number, BVI fnr,FR,F"/>
    <w:basedOn w:val="DefaultParagraphFont"/>
    <w:uiPriority w:val="99"/>
    <w:unhideWhenUsed/>
    <w:qFormat/>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DefaultChar">
    <w:name w:val="Default Char"/>
    <w:basedOn w:val="DefaultParagraphFont"/>
    <w:link w:val="Default"/>
    <w:rPr>
      <w:rFonts w:ascii="Times New Roman" w:hAnsi="Times New Roman" w:cs="Times New Roman"/>
      <w:color w:val="000000"/>
      <w:sz w:val="24"/>
      <w:szCs w:val="24"/>
    </w:rPr>
  </w:style>
  <w:style w:type="character" w:customStyle="1" w:styleId="FooterCoverPageChar">
    <w:name w:val="Footer Cover Page Char"/>
    <w:basedOn w:val="DefaultChar"/>
    <w:link w:val="FooterCoverPage"/>
    <w:rPr>
      <w:rFonts w:ascii="Times New Roman" w:hAnsi="Times New Roman" w:cs="Times New Roman"/>
      <w:color w:val="00000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Char"/>
    <w:link w:val="HeaderCoverPage"/>
    <w:rPr>
      <w:rFonts w:ascii="Times New Roman" w:hAnsi="Times New Roman" w:cs="Times New Roman"/>
      <w:color w:val="00000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Char"/>
    <w:link w:val="HeaderSensitivityRight"/>
    <w:rPr>
      <w:rFonts w:ascii="Times New Roman" w:hAnsi="Times New Roman" w:cs="Times New Roman"/>
      <w:color w:val="000000"/>
      <w:sz w:val="28"/>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FootnoteText">
    <w:name w:val="footnote text"/>
    <w:aliases w:val="M Footnotes,Fußnotentextf,Footnote,Fußnote,Char Char Car,Note de bas de page Car Car Car Car Car Car Car Car Car Car,Note de bas de page Car Car Car Car,Note de bas de page Car Car Car Car Car Car Car Car Car,ft,Footnote Text Char1,fn,o,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M Footnotes Char,Fußnotentextf Char,Footnote Char,Fußnote Char,Char Char Car Char,Note de bas de page Car Car Car Car Car Car Car Car Car Car Char,Note de bas de page Car Car Car Car Char,ft Char,Footnote Text Char1 Char,fn Char"/>
    <w:basedOn w:val="DefaultParagraphFont"/>
    <w:link w:val="FootnoteText"/>
    <w:uiPriority w:val="99"/>
    <w:rPr>
      <w:sz w:val="20"/>
      <w:szCs w:val="20"/>
    </w:rPr>
  </w:style>
  <w:style w:type="character" w:styleId="FootnoteReference">
    <w:name w:val="footnote reference"/>
    <w:aliases w:val="Footnote Refernece,BVI fnr,callout,16 Point,Superscript 6 Point,Odwołanie przypisu,Footnote symbol,Footnote Reference Number,Footnote Reference Superscript,SUPERS,Times 10 Point,Exposant 3 Point,Ref,de nota al pie,number, BVI fnr,FR,F"/>
    <w:basedOn w:val="DefaultParagraphFont"/>
    <w:uiPriority w:val="99"/>
    <w:unhideWhenUsed/>
    <w:qFormat/>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DefaultChar">
    <w:name w:val="Default Char"/>
    <w:basedOn w:val="DefaultParagraphFont"/>
    <w:link w:val="Default"/>
    <w:rPr>
      <w:rFonts w:ascii="Times New Roman" w:hAnsi="Times New Roman" w:cs="Times New Roman"/>
      <w:color w:val="000000"/>
      <w:sz w:val="24"/>
      <w:szCs w:val="24"/>
    </w:rPr>
  </w:style>
  <w:style w:type="character" w:customStyle="1" w:styleId="FooterCoverPageChar">
    <w:name w:val="Footer Cover Page Char"/>
    <w:basedOn w:val="DefaultChar"/>
    <w:link w:val="FooterCoverPage"/>
    <w:rPr>
      <w:rFonts w:ascii="Times New Roman" w:hAnsi="Times New Roman" w:cs="Times New Roman"/>
      <w:color w:val="00000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Char"/>
    <w:link w:val="HeaderCoverPage"/>
    <w:rPr>
      <w:rFonts w:ascii="Times New Roman" w:hAnsi="Times New Roman" w:cs="Times New Roman"/>
      <w:color w:val="00000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Char"/>
    <w:link w:val="HeaderSensitivityRight"/>
    <w:rPr>
      <w:rFonts w:ascii="Times New Roman" w:hAnsi="Times New Roman" w:cs="Times New Roman"/>
      <w:color w:val="000000"/>
      <w:sz w:val="28"/>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133C-B16D-4264-B7E9-CA2FF4BE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846</Words>
  <Characters>6238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2020-01-20T07:41:00Z</cp:lastPrinted>
  <dcterms:created xsi:type="dcterms:W3CDTF">2021-01-11T08:38:00Z</dcterms:created>
  <dcterms:modified xsi:type="dcterms:W3CDTF">2021-01-14T16:04:00Z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7.0.1, Build 20190916</vt:lpwstr>
  </property>
</Properties>
</file>