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5D066287-932A-4A90-B72C-8D69912E4774" style="width:450pt;height:406.5pt">
            <v:imagedata r:id="rId13" o:title=""/>
          </v:shape>
        </w:pict>
      </w:r>
    </w:p>
    <w:bookmarkEnd w:id="0"/>
    <w:p>
      <w:pPr>
        <w:jc w:val="both"/>
        <w:rPr>
          <w:rFonts w:cs="Times New Roman"/>
          <w:noProof/>
          <w:szCs w:val="24"/>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spacing w:after="200"/>
        <w:jc w:val="center"/>
        <w:rPr>
          <w:rFonts w:cs="Times New Roman"/>
          <w:i/>
          <w:iCs/>
          <w:noProof/>
        </w:rPr>
      </w:pPr>
      <w:bookmarkStart w:id="1" w:name="_GoBack"/>
      <w:bookmarkEnd w:id="1"/>
      <w:r>
        <w:rPr>
          <w:i/>
          <w:noProof/>
        </w:rPr>
        <w:lastRenderedPageBreak/>
        <w:t>I LISA</w:t>
      </w:r>
    </w:p>
    <w:p>
      <w:pPr>
        <w:spacing w:after="200"/>
        <w:jc w:val="center"/>
        <w:rPr>
          <w:rFonts w:cs="Times New Roman"/>
          <w:i/>
          <w:iCs/>
          <w:caps/>
          <w:noProof/>
        </w:rPr>
      </w:pPr>
      <w:r>
        <w:rPr>
          <w:b/>
          <w:i/>
          <w:caps/>
          <w:noProof/>
        </w:rPr>
        <w:t>Elutähtsad üksused:</w:t>
      </w:r>
    </w:p>
    <w:p>
      <w:pPr>
        <w:spacing w:after="200"/>
        <w:jc w:val="center"/>
        <w:rPr>
          <w:rFonts w:cs="Times New Roman"/>
          <w:i/>
          <w:iCs/>
          <w:caps/>
          <w:noProof/>
        </w:rPr>
      </w:pPr>
      <w:r>
        <w:rPr>
          <w:b/>
          <w:i/>
          <w:caps/>
          <w:noProof/>
        </w:rPr>
        <w:t>sektorid, allsektorid ja üksuste liigid</w:t>
      </w:r>
    </w:p>
    <w:p>
      <w:pPr>
        <w:spacing w:after="200"/>
        <w:jc w:val="both"/>
        <w:rPr>
          <w:rFonts w:cs="Times New Roman"/>
          <w:b/>
          <w:noProof/>
          <w:szCs w:val="24"/>
        </w:rPr>
      </w:pPr>
    </w:p>
    <w:tbl>
      <w:tblPr>
        <w:tblStyle w:val="TableGrid"/>
        <w:tblW w:w="0" w:type="auto"/>
        <w:tblBorders>
          <w:left w:val="none" w:sz="0" w:space="0" w:color="auto"/>
          <w:right w:val="none" w:sz="0" w:space="0" w:color="auto"/>
        </w:tblBorders>
        <w:tblCellMar>
          <w:top w:w="108" w:type="dxa"/>
          <w:bottom w:w="108" w:type="dxa"/>
        </w:tblCellMar>
        <w:tblLook w:val="04A0" w:firstRow="1" w:lastRow="0" w:firstColumn="1" w:lastColumn="0" w:noHBand="0" w:noVBand="1"/>
      </w:tblPr>
      <w:tblGrid>
        <w:gridCol w:w="2518"/>
        <w:gridCol w:w="2692"/>
        <w:gridCol w:w="4077"/>
      </w:tblGrid>
      <w:tr>
        <w:tc>
          <w:tcPr>
            <w:tcW w:w="2518" w:type="dxa"/>
            <w:tcBorders>
              <w:top w:val="single" w:sz="4" w:space="0" w:color="auto"/>
              <w:left w:val="nil"/>
              <w:bottom w:val="single" w:sz="4" w:space="0" w:color="auto"/>
              <w:right w:val="single" w:sz="4" w:space="0" w:color="auto"/>
            </w:tcBorders>
            <w:hideMark/>
          </w:tcPr>
          <w:p>
            <w:pPr>
              <w:jc w:val="both"/>
              <w:rPr>
                <w:rFonts w:cs="Times New Roman"/>
                <w:noProof/>
              </w:rPr>
            </w:pPr>
            <w:r>
              <w:rPr>
                <w:noProof/>
              </w:rPr>
              <w:t>Sektor</w:t>
            </w:r>
          </w:p>
        </w:tc>
        <w:tc>
          <w:tcPr>
            <w:tcW w:w="2692" w:type="dxa"/>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rPr>
              <w:t>Allsektor</w:t>
            </w:r>
          </w:p>
        </w:tc>
        <w:tc>
          <w:tcPr>
            <w:tcW w:w="4077" w:type="dxa"/>
            <w:tcBorders>
              <w:top w:val="single" w:sz="4" w:space="0" w:color="auto"/>
              <w:left w:val="single" w:sz="4" w:space="0" w:color="auto"/>
              <w:bottom w:val="single" w:sz="4" w:space="0" w:color="auto"/>
              <w:right w:val="nil"/>
            </w:tcBorders>
            <w:hideMark/>
          </w:tcPr>
          <w:p>
            <w:pPr>
              <w:jc w:val="both"/>
              <w:rPr>
                <w:rFonts w:cs="Times New Roman"/>
                <w:noProof/>
              </w:rPr>
            </w:pPr>
            <w:r>
              <w:rPr>
                <w:noProof/>
              </w:rPr>
              <w:t>Üksuse liik</w:t>
            </w:r>
          </w:p>
        </w:tc>
      </w:tr>
      <w:tr>
        <w:trPr>
          <w:trHeight w:val="69"/>
        </w:trPr>
        <w:tc>
          <w:tcPr>
            <w:tcW w:w="2518" w:type="dxa"/>
            <w:vMerge w:val="restart"/>
            <w:tcBorders>
              <w:top w:val="single" w:sz="4" w:space="0" w:color="auto"/>
              <w:left w:val="nil"/>
              <w:right w:val="single" w:sz="4" w:space="0" w:color="auto"/>
            </w:tcBorders>
            <w:hideMark/>
          </w:tcPr>
          <w:p>
            <w:pPr>
              <w:jc w:val="both"/>
              <w:rPr>
                <w:rFonts w:cs="Times New Roman"/>
                <w:noProof/>
              </w:rPr>
            </w:pPr>
            <w:r>
              <w:rPr>
                <w:noProof/>
                <w:color w:val="000000" w:themeColor="text1"/>
              </w:rPr>
              <w:t>1. Energeetika</w:t>
            </w:r>
          </w:p>
          <w:p>
            <w:pPr>
              <w:jc w:val="both"/>
              <w:rPr>
                <w:rFonts w:cs="Times New Roman"/>
                <w:noProof/>
              </w:rPr>
            </w:pPr>
          </w:p>
        </w:tc>
        <w:tc>
          <w:tcPr>
            <w:tcW w:w="2692" w:type="dxa"/>
            <w:vMerge w:val="restart"/>
            <w:tcBorders>
              <w:top w:val="single" w:sz="4" w:space="0" w:color="auto"/>
              <w:left w:val="single" w:sz="4" w:space="0" w:color="auto"/>
              <w:right w:val="single" w:sz="4" w:space="0" w:color="auto"/>
            </w:tcBorders>
            <w:hideMark/>
          </w:tcPr>
          <w:p>
            <w:pPr>
              <w:jc w:val="both"/>
              <w:rPr>
                <w:rFonts w:cs="Times New Roman"/>
                <w:noProof/>
              </w:rPr>
            </w:pPr>
            <w:r>
              <w:rPr>
                <w:noProof/>
                <w:color w:val="000000" w:themeColor="text1"/>
              </w:rPr>
              <w:t>a) Elekter</w:t>
            </w:r>
          </w:p>
        </w:tc>
        <w:tc>
          <w:tcPr>
            <w:tcW w:w="4077" w:type="dxa"/>
            <w:tcBorders>
              <w:top w:val="single" w:sz="4" w:space="0" w:color="auto"/>
              <w:left w:val="single" w:sz="4" w:space="0" w:color="auto"/>
              <w:bottom w:val="single" w:sz="4" w:space="0" w:color="auto"/>
              <w:right w:val="nil"/>
            </w:tcBorders>
            <w:hideMark/>
          </w:tcPr>
          <w:p>
            <w:pPr>
              <w:ind w:left="327" w:hanging="327"/>
              <w:jc w:val="both"/>
              <w:rPr>
                <w:rFonts w:cs="Times New Roman"/>
                <w:noProof/>
              </w:rPr>
            </w:pPr>
            <w:r>
              <w:rPr>
                <w:noProof/>
              </w:rPr>
              <w:t>–</w:t>
            </w:r>
            <w:r>
              <w:rPr>
                <w:noProof/>
              </w:rPr>
              <w:tab/>
              <w:t>Direktiivi (EL) 2019/944(</w:t>
            </w:r>
            <w:r>
              <w:rPr>
                <w:rStyle w:val="FootnoteReference"/>
                <w:rFonts w:cs="Times New Roman"/>
                <w:noProof/>
              </w:rPr>
              <w:footnoteReference w:id="2"/>
            </w:r>
            <w:r>
              <w:rPr>
                <w:noProof/>
              </w:rPr>
              <w:t xml:space="preserve">) artikli 2 punktis 57 osutatud elektriettevõtjad, kes tegelevad sama direktiivi artikli 2 punktis 12 osutatud tarnimisülesandega </w:t>
            </w:r>
          </w:p>
        </w:tc>
      </w:tr>
      <w:tr>
        <w:trPr>
          <w:trHeight w:val="67"/>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left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7" w:hanging="327"/>
              <w:jc w:val="both"/>
              <w:rPr>
                <w:rFonts w:cs="Times New Roman"/>
                <w:noProof/>
              </w:rPr>
            </w:pPr>
            <w:r>
              <w:rPr>
                <w:noProof/>
              </w:rPr>
              <w:t>–</w:t>
            </w:r>
            <w:r>
              <w:rPr>
                <w:noProof/>
              </w:rPr>
              <w:tab/>
              <w:t>Direktiivi (EL) 2019/944 artikli 2 punktis 29 osutatud jaotusvõrguettevõtjad</w:t>
            </w:r>
          </w:p>
        </w:tc>
      </w:tr>
      <w:tr>
        <w:trPr>
          <w:trHeight w:val="67"/>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left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7" w:hanging="327"/>
              <w:jc w:val="both"/>
              <w:rPr>
                <w:rFonts w:cs="Times New Roman"/>
                <w:noProof/>
              </w:rPr>
            </w:pPr>
            <w:r>
              <w:rPr>
                <w:noProof/>
              </w:rPr>
              <w:t>–</w:t>
            </w:r>
            <w:r>
              <w:rPr>
                <w:noProof/>
              </w:rPr>
              <w:tab/>
              <w:t>Direktiivi (EL) 2019/944 artikli 2 punktis 35 osutatud põhivõrguettevõtjad</w:t>
            </w:r>
          </w:p>
        </w:tc>
      </w:tr>
      <w:tr>
        <w:trPr>
          <w:trHeight w:val="67"/>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left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7" w:hanging="327"/>
              <w:jc w:val="both"/>
              <w:rPr>
                <w:rFonts w:cs="Times New Roman"/>
                <w:noProof/>
              </w:rPr>
            </w:pPr>
            <w:r>
              <w:rPr>
                <w:noProof/>
              </w:rPr>
              <w:t>–</w:t>
            </w:r>
            <w:r>
              <w:rPr>
                <w:noProof/>
              </w:rPr>
              <w:tab/>
              <w:t>Direktiivi (EL) 2019/944 artikli 2 punktis 38 osutatud tootjad</w:t>
            </w:r>
          </w:p>
        </w:tc>
      </w:tr>
      <w:t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left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right w:val="nil"/>
            </w:tcBorders>
            <w:hideMark/>
          </w:tcPr>
          <w:p>
            <w:pPr>
              <w:pStyle w:val="ListBullet"/>
              <w:ind w:left="325" w:hanging="325"/>
              <w:jc w:val="both"/>
              <w:rPr>
                <w:rFonts w:cs="Times New Roman"/>
                <w:bCs/>
                <w:noProof/>
              </w:rPr>
            </w:pPr>
            <w:r>
              <w:rPr>
                <w:noProof/>
              </w:rPr>
              <w:t>Määruse (EL) 2019/943(</w:t>
            </w:r>
            <w:r>
              <w:rPr>
                <w:rStyle w:val="FootnoteReference"/>
                <w:rFonts w:cs="Times New Roman"/>
                <w:noProof/>
              </w:rPr>
              <w:footnoteReference w:id="3"/>
            </w:r>
            <w:r>
              <w:rPr>
                <w:noProof/>
              </w:rPr>
              <w:t xml:space="preserve">) artikli 2 punktis 8 osutatud määratud elektriturukorraldajad </w:t>
            </w:r>
          </w:p>
        </w:tc>
      </w:tr>
      <w:tr>
        <w:trPr>
          <w:trHeight w:val="368"/>
        </w:trPr>
        <w:tc>
          <w:tcPr>
            <w:tcW w:w="0" w:type="auto"/>
            <w:vMerge/>
            <w:tcBorders>
              <w:left w:val="nil"/>
              <w:right w:val="single" w:sz="4" w:space="0" w:color="auto"/>
            </w:tcBorders>
            <w:vAlign w:val="center"/>
          </w:tcPr>
          <w:p>
            <w:pPr>
              <w:jc w:val="both"/>
              <w:rPr>
                <w:rFonts w:cs="Times New Roman"/>
                <w:noProof/>
                <w:szCs w:val="24"/>
              </w:rPr>
            </w:pPr>
          </w:p>
        </w:tc>
        <w:tc>
          <w:tcPr>
            <w:tcW w:w="0" w:type="auto"/>
            <w:vMerge/>
            <w:tcBorders>
              <w:left w:val="single" w:sz="4" w:space="0" w:color="auto"/>
              <w:bottom w:val="single" w:sz="4" w:space="0" w:color="auto"/>
              <w:right w:val="single" w:sz="4" w:space="0" w:color="auto"/>
            </w:tcBorders>
            <w:vAlign w:val="center"/>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tcPr>
          <w:p>
            <w:pPr>
              <w:ind w:left="327" w:hanging="327"/>
              <w:jc w:val="both"/>
              <w:rPr>
                <w:rFonts w:cs="Times New Roman"/>
                <w:bCs/>
                <w:noProof/>
              </w:rPr>
            </w:pPr>
            <w:r>
              <w:rPr>
                <w:noProof/>
              </w:rPr>
              <w:t>–</w:t>
            </w:r>
            <w:r>
              <w:rPr>
                <w:noProof/>
              </w:rPr>
              <w:tab/>
              <w:t>Määruse (EL) 2019/943 artikli 2 punktis 25 osutatud elektrituru osalised, kes osutavad direktiivi (EL) 2019/944 artikli 2 punktides 18, 20 ja 59 osutatud agregeerimis-, tarbimiskaja- või energia salvestamise teenuseid</w:t>
            </w:r>
          </w:p>
        </w:tc>
      </w:tr>
      <w:tr>
        <w:trPr>
          <w:trHeight w:val="169"/>
        </w:trPr>
        <w:tc>
          <w:tcPr>
            <w:tcW w:w="2518" w:type="dxa"/>
            <w:vMerge/>
            <w:tcBorders>
              <w:left w:val="nil"/>
              <w:right w:val="single" w:sz="4" w:space="0" w:color="auto"/>
            </w:tcBorders>
          </w:tcPr>
          <w:p>
            <w:pPr>
              <w:jc w:val="both"/>
              <w:rPr>
                <w:rFonts w:cs="Times New Roman"/>
                <w:noProof/>
                <w:szCs w:val="24"/>
              </w:rPr>
            </w:pPr>
          </w:p>
        </w:tc>
        <w:tc>
          <w:tcPr>
            <w:tcW w:w="2692" w:type="dxa"/>
            <w:tcBorders>
              <w:top w:val="single" w:sz="4" w:space="0" w:color="auto"/>
              <w:left w:val="single" w:sz="4" w:space="0" w:color="auto"/>
              <w:bottom w:val="single" w:sz="4" w:space="0" w:color="auto"/>
              <w:right w:val="single" w:sz="4" w:space="0" w:color="auto"/>
            </w:tcBorders>
          </w:tcPr>
          <w:p>
            <w:pPr>
              <w:jc w:val="both"/>
              <w:rPr>
                <w:rFonts w:eastAsiaTheme="minorEastAsia" w:cs="Times New Roman"/>
                <w:noProof/>
                <w:color w:val="000000" w:themeColor="text1"/>
                <w:kern w:val="24"/>
              </w:rPr>
            </w:pPr>
            <w:r>
              <w:rPr>
                <w:noProof/>
                <w:color w:val="000000" w:themeColor="text1"/>
              </w:rPr>
              <w:t>b) Kaugküte ja -jahutus</w:t>
            </w:r>
          </w:p>
        </w:tc>
        <w:tc>
          <w:tcPr>
            <w:tcW w:w="4077" w:type="dxa"/>
            <w:tcBorders>
              <w:top w:val="single" w:sz="4" w:space="0" w:color="auto"/>
              <w:left w:val="single" w:sz="4" w:space="0" w:color="auto"/>
              <w:bottom w:val="single" w:sz="4" w:space="0" w:color="auto"/>
              <w:right w:val="nil"/>
            </w:tcBorders>
          </w:tcPr>
          <w:p>
            <w:pPr>
              <w:ind w:left="327" w:hanging="327"/>
              <w:jc w:val="both"/>
              <w:rPr>
                <w:rFonts w:cs="Times New Roman"/>
                <w:noProof/>
              </w:rPr>
            </w:pPr>
            <w:r>
              <w:rPr>
                <w:noProof/>
              </w:rPr>
              <w:t>–</w:t>
            </w:r>
            <w:r>
              <w:rPr>
                <w:noProof/>
              </w:rPr>
              <w:tab/>
              <w:t>– Direktiivi (EL) 2018/2001(</w:t>
            </w:r>
            <w:r>
              <w:rPr>
                <w:rStyle w:val="FootnoteReference"/>
                <w:rFonts w:cs="Times New Roman"/>
                <w:noProof/>
              </w:rPr>
              <w:footnoteReference w:id="4"/>
            </w:r>
            <w:r>
              <w:rPr>
                <w:noProof/>
              </w:rPr>
              <w:t>) (taastuvatest energiaallikatest toodetud energia kasutamise edendamise kohta) artikli 2 punktis 19 osutatud kaugküte ja kaugjahutus</w:t>
            </w:r>
          </w:p>
        </w:tc>
      </w:tr>
      <w:tr>
        <w:trPr>
          <w:trHeight w:val="169"/>
        </w:trPr>
        <w:tc>
          <w:tcPr>
            <w:tcW w:w="2518" w:type="dxa"/>
            <w:vMerge/>
            <w:tcBorders>
              <w:left w:val="nil"/>
              <w:right w:val="single" w:sz="4" w:space="0" w:color="auto"/>
            </w:tcBorders>
          </w:tcPr>
          <w:p>
            <w:pPr>
              <w:jc w:val="both"/>
              <w:rPr>
                <w:rFonts w:cs="Times New Roman"/>
                <w:noProof/>
                <w:szCs w:val="24"/>
              </w:rPr>
            </w:pPr>
          </w:p>
        </w:tc>
        <w:tc>
          <w:tcPr>
            <w:tcW w:w="2692" w:type="dxa"/>
            <w:vMerge w:val="restart"/>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color w:val="000000" w:themeColor="text1"/>
              </w:rPr>
              <w:t>c) Nafta</w:t>
            </w:r>
          </w:p>
        </w:tc>
        <w:tc>
          <w:tcPr>
            <w:tcW w:w="4077" w:type="dxa"/>
            <w:tcBorders>
              <w:top w:val="single" w:sz="4" w:space="0" w:color="auto"/>
              <w:left w:val="single" w:sz="4" w:space="0" w:color="auto"/>
              <w:bottom w:val="single" w:sz="4" w:space="0" w:color="auto"/>
              <w:right w:val="nil"/>
            </w:tcBorders>
            <w:hideMark/>
          </w:tcPr>
          <w:p>
            <w:pPr>
              <w:ind w:left="327" w:hanging="327"/>
              <w:jc w:val="both"/>
              <w:rPr>
                <w:rFonts w:cs="Times New Roman"/>
                <w:noProof/>
              </w:rPr>
            </w:pPr>
            <w:r>
              <w:rPr>
                <w:noProof/>
              </w:rPr>
              <w:t>–</w:t>
            </w:r>
            <w:r>
              <w:rPr>
                <w:noProof/>
              </w:rPr>
              <w:tab/>
              <w:t>Naftajuhtmete operaatorid</w:t>
            </w:r>
          </w:p>
        </w:tc>
      </w:tr>
      <w:tr>
        <w:trPr>
          <w:trHeight w:val="233"/>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7" w:hanging="327"/>
              <w:jc w:val="both"/>
              <w:rPr>
                <w:rFonts w:cs="Times New Roman"/>
                <w:noProof/>
              </w:rPr>
            </w:pPr>
            <w:r>
              <w:rPr>
                <w:noProof/>
              </w:rPr>
              <w:t>–</w:t>
            </w:r>
            <w:r>
              <w:rPr>
                <w:noProof/>
              </w:rPr>
              <w:tab/>
              <w:t>Nafta tootmise, rafineerimise ja töötlemise rajatiste ning hoiustamise ja ülekandmisega tegelevad operaatorid</w:t>
            </w:r>
          </w:p>
        </w:tc>
      </w:tr>
      <w:tr>
        <w:trPr>
          <w:trHeight w:val="233"/>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pStyle w:val="ListBullet"/>
              <w:numPr>
                <w:ilvl w:val="0"/>
                <w:numId w:val="7"/>
              </w:numPr>
              <w:ind w:left="325" w:hanging="325"/>
              <w:jc w:val="both"/>
              <w:rPr>
                <w:bCs/>
                <w:noProof/>
              </w:rPr>
            </w:pPr>
            <w:r>
              <w:rPr>
                <w:noProof/>
              </w:rPr>
              <w:t>Nõukogu direktiivi 2009/119/EÜ(</w:t>
            </w:r>
            <w:r>
              <w:rPr>
                <w:rStyle w:val="FootnoteReference"/>
                <w:rFonts w:cs="Times New Roman"/>
                <w:noProof/>
              </w:rPr>
              <w:footnoteReference w:id="5"/>
            </w:r>
            <w:r>
              <w:rPr>
                <w:noProof/>
              </w:rPr>
              <w:t xml:space="preserve">) artikli 2 punktis f osutatud naftavarude säilitamise kesküksused </w:t>
            </w:r>
          </w:p>
        </w:tc>
      </w:tr>
      <w:tr>
        <w:trPr>
          <w:trHeight w:val="42"/>
        </w:trPr>
        <w:tc>
          <w:tcPr>
            <w:tcW w:w="2518" w:type="dxa"/>
            <w:vMerge/>
            <w:tcBorders>
              <w:left w:val="nil"/>
              <w:right w:val="single" w:sz="4" w:space="0" w:color="auto"/>
            </w:tcBorders>
          </w:tcPr>
          <w:p>
            <w:pPr>
              <w:jc w:val="both"/>
              <w:rPr>
                <w:rFonts w:cs="Times New Roman"/>
                <w:noProof/>
                <w:szCs w:val="24"/>
              </w:rPr>
            </w:pPr>
          </w:p>
        </w:tc>
        <w:tc>
          <w:tcPr>
            <w:tcW w:w="2692" w:type="dxa"/>
            <w:vMerge w:val="restart"/>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color w:val="000000" w:themeColor="text1"/>
              </w:rPr>
              <w:t>d) Gaas</w:t>
            </w: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Direktiivi (EÜ) 2009/73/EÜ(</w:t>
            </w:r>
            <w:r>
              <w:rPr>
                <w:rStyle w:val="FootnoteReference"/>
                <w:rFonts w:cs="Times New Roman"/>
                <w:noProof/>
              </w:rPr>
              <w:footnoteReference w:id="6"/>
            </w:r>
            <w:r>
              <w:rPr>
                <w:noProof/>
              </w:rPr>
              <w:t xml:space="preserve">) artikli 2 punktis 8 osutatud tarneettevõtjad </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Direktiivi 2009/73/EÜ artikli 2 punktis 6 osutatud jaotussüsteemi haldurid</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Direktiivi 2009/73/EÜ artikli 2 punktis 4 osutatud ülekandesüsteemi haldurid</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Direktiivi 2009/73/EÜ artikli 2 punktis 10 osutatud hoidlatevõrgu haldurid</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Direktiivi 2009/73/EÜ artikli 2 punktis 12 osutatud maagaasi veeldusjaamade haldurid</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Direktiivi 2009/73/EÜ artikli 2 punktis 1 määratletud maagaasiettevõtjad</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Maagaasi rafineerimise ja töötlemise rajatiste haldurid</w:t>
            </w:r>
          </w:p>
        </w:tc>
      </w:tr>
      <w:tr>
        <w:trPr>
          <w:trHeight w:val="38"/>
        </w:trPr>
        <w:tc>
          <w:tcPr>
            <w:tcW w:w="0" w:type="auto"/>
            <w:vMerge/>
            <w:tcBorders>
              <w:left w:val="nil"/>
              <w:bottom w:val="single" w:sz="4" w:space="0" w:color="auto"/>
              <w:right w:val="single" w:sz="4" w:space="0" w:color="auto"/>
            </w:tcBorders>
            <w:vAlign w:val="center"/>
          </w:tcPr>
          <w:p>
            <w:pPr>
              <w:jc w:val="both"/>
              <w:rPr>
                <w:rFonts w:cs="Times New Roman"/>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rPr>
                <w:rFonts w:cs="Times New Roman"/>
                <w:noProof/>
                <w:szCs w:val="24"/>
              </w:rPr>
            </w:pPr>
            <w:r>
              <w:rPr>
                <w:noProof/>
              </w:rPr>
              <w:t>e) Vesinik</w:t>
            </w:r>
          </w:p>
        </w:tc>
        <w:tc>
          <w:tcPr>
            <w:tcW w:w="4077" w:type="dxa"/>
            <w:tcBorders>
              <w:top w:val="single" w:sz="4" w:space="0" w:color="auto"/>
              <w:left w:val="single" w:sz="4" w:space="0" w:color="auto"/>
              <w:bottom w:val="single" w:sz="4" w:space="0" w:color="auto"/>
              <w:right w:val="nil"/>
            </w:tcBorders>
            <w:shd w:val="clear" w:color="auto" w:fill="auto"/>
          </w:tcPr>
          <w:p>
            <w:pPr>
              <w:pStyle w:val="ListBullet"/>
              <w:numPr>
                <w:ilvl w:val="0"/>
                <w:numId w:val="0"/>
              </w:numPr>
              <w:jc w:val="both"/>
              <w:rPr>
                <w:noProof/>
              </w:rPr>
            </w:pPr>
            <w:r>
              <w:rPr>
                <w:noProof/>
              </w:rPr>
              <w:t>Vesiniku tootmise, hoiustamise ja ülekandmisega tegelevad operaatorid</w:t>
            </w:r>
          </w:p>
        </w:tc>
      </w:tr>
      <w:tr>
        <w:trPr>
          <w:trHeight w:val="113"/>
        </w:trPr>
        <w:tc>
          <w:tcPr>
            <w:tcW w:w="2518" w:type="dxa"/>
            <w:vMerge w:val="restart"/>
            <w:tcBorders>
              <w:top w:val="single" w:sz="4" w:space="0" w:color="auto"/>
              <w:left w:val="nil"/>
              <w:right w:val="single" w:sz="4" w:space="0" w:color="auto"/>
            </w:tcBorders>
            <w:hideMark/>
          </w:tcPr>
          <w:p>
            <w:pPr>
              <w:jc w:val="both"/>
              <w:rPr>
                <w:rFonts w:cs="Times New Roman"/>
                <w:noProof/>
              </w:rPr>
            </w:pPr>
            <w:r>
              <w:rPr>
                <w:noProof/>
                <w:color w:val="000000" w:themeColor="text1"/>
              </w:rPr>
              <w:t>2. Transport</w:t>
            </w:r>
          </w:p>
        </w:tc>
        <w:tc>
          <w:tcPr>
            <w:tcW w:w="2692" w:type="dxa"/>
            <w:vMerge w:val="restart"/>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color w:val="000000" w:themeColor="text1"/>
              </w:rPr>
              <w:t>a) Lennutransport</w:t>
            </w:r>
          </w:p>
        </w:tc>
        <w:tc>
          <w:tcPr>
            <w:tcW w:w="4077" w:type="dxa"/>
            <w:tcBorders>
              <w:top w:val="single" w:sz="4" w:space="0" w:color="auto"/>
              <w:left w:val="single" w:sz="4" w:space="0" w:color="auto"/>
              <w:bottom w:val="single" w:sz="4" w:space="0" w:color="auto"/>
              <w:right w:val="nil"/>
            </w:tcBorders>
            <w:shd w:val="clear" w:color="auto" w:fill="auto"/>
            <w:hideMark/>
          </w:tcPr>
          <w:p>
            <w:pPr>
              <w:ind w:left="325" w:hanging="325"/>
              <w:jc w:val="both"/>
              <w:rPr>
                <w:rFonts w:cs="Times New Roman"/>
                <w:noProof/>
              </w:rPr>
            </w:pPr>
            <w:r>
              <w:rPr>
                <w:noProof/>
              </w:rPr>
              <w:t>–</w:t>
            </w:r>
            <w:r>
              <w:rPr>
                <w:noProof/>
              </w:rPr>
              <w:tab/>
              <w:t>Määruse (EÜ) nr 300/2008(</w:t>
            </w:r>
            <w:r>
              <w:rPr>
                <w:rStyle w:val="FootnoteReference"/>
                <w:rFonts w:cs="Times New Roman"/>
                <w:noProof/>
              </w:rPr>
              <w:footnoteReference w:id="7"/>
            </w:r>
            <w:r>
              <w:rPr>
                <w:noProof/>
              </w:rPr>
              <w:t>) artikli 3 punktis 4 osutatud lennuettevõtjad</w:t>
            </w:r>
          </w:p>
        </w:tc>
      </w:tr>
      <w:tr>
        <w:trPr>
          <w:trHeight w:val="112"/>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Direktiivi 2009/12/EÜ(</w:t>
            </w:r>
            <w:r>
              <w:rPr>
                <w:rStyle w:val="FootnoteReference"/>
                <w:rFonts w:cs="Times New Roman"/>
                <w:noProof/>
              </w:rPr>
              <w:footnoteReference w:id="8"/>
            </w:r>
            <w:r>
              <w:rPr>
                <w:noProof/>
              </w:rPr>
              <w:t>) artikli 2 punktis 2 osutatud lennujaama juhtorganid, sama direktiivi artikli 2 punktis 1 osutatud lennujaamad, sealhulgas määruse (EL) nr 1315/2013(</w:t>
            </w:r>
            <w:r>
              <w:rPr>
                <w:rStyle w:val="FootnoteReference"/>
                <w:rFonts w:cs="Times New Roman"/>
                <w:noProof/>
              </w:rPr>
              <w:footnoteReference w:id="9"/>
            </w:r>
            <w:r>
              <w:rPr>
                <w:noProof/>
              </w:rPr>
              <w:t>) II lisa 2. punktis loetletud põhivõrgu lennujaamad ning lennujaamades olevaid abirajatisi käitavad üksused</w:t>
            </w:r>
          </w:p>
        </w:tc>
      </w:tr>
      <w:tr>
        <w:trPr>
          <w:trHeight w:val="112"/>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Euroopa Parlamendi ja nõukogu määruse (EÜ) nr 549/2004(</w:t>
            </w:r>
            <w:r>
              <w:rPr>
                <w:rStyle w:val="FootnoteReference"/>
                <w:rFonts w:cs="Times New Roman"/>
                <w:noProof/>
              </w:rPr>
              <w:footnoteReference w:id="10"/>
            </w:r>
            <w:r>
              <w:rPr>
                <w:noProof/>
              </w:rPr>
              <w:t>) artikli 2 punktis 1 osutatud lennujuhtimise teenust osutavad liikluskorraldusettevõtjad</w:t>
            </w:r>
          </w:p>
        </w:tc>
      </w:tr>
      <w:tr>
        <w:trPr>
          <w:trHeight w:val="169"/>
        </w:trPr>
        <w:tc>
          <w:tcPr>
            <w:tcW w:w="2518" w:type="dxa"/>
            <w:vMerge/>
            <w:tcBorders>
              <w:left w:val="nil"/>
              <w:right w:val="single" w:sz="4" w:space="0" w:color="auto"/>
            </w:tcBorders>
          </w:tcPr>
          <w:p>
            <w:pPr>
              <w:jc w:val="both"/>
              <w:rPr>
                <w:rFonts w:cs="Times New Roman"/>
                <w:noProof/>
                <w:szCs w:val="24"/>
              </w:rPr>
            </w:pPr>
          </w:p>
        </w:tc>
        <w:tc>
          <w:tcPr>
            <w:tcW w:w="2692" w:type="dxa"/>
            <w:vMerge w:val="restart"/>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color w:val="000000" w:themeColor="text1"/>
              </w:rPr>
              <w:t>b) Raudteetransport</w:t>
            </w: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Direktiivi 2012/34/EL(</w:t>
            </w:r>
            <w:r>
              <w:rPr>
                <w:rStyle w:val="FootnoteReference"/>
                <w:rFonts w:cs="Times New Roman"/>
                <w:noProof/>
              </w:rPr>
              <w:footnoteReference w:id="11"/>
            </w:r>
            <w:r>
              <w:rPr>
                <w:noProof/>
              </w:rPr>
              <w:t>) artikli 3 punktis 2 osutatud raudteeinfrastruktuuri-ettevõtjad</w:t>
            </w:r>
          </w:p>
        </w:tc>
      </w:tr>
      <w:tr>
        <w:trPr>
          <w:trHeight w:val="168"/>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Direktiivi 2012/34/EL artikli 3 punktis 1 osutatud raudteeveo-ettevõtjad, sealhulgas sama direktiivi artikli 3 punktis 12 osutatud teenindusrajatiste käitajad</w:t>
            </w:r>
          </w:p>
        </w:tc>
      </w:tr>
      <w:tr>
        <w:trPr>
          <w:trHeight w:val="113"/>
        </w:trPr>
        <w:tc>
          <w:tcPr>
            <w:tcW w:w="2518" w:type="dxa"/>
            <w:vMerge/>
            <w:tcBorders>
              <w:left w:val="nil"/>
              <w:right w:val="single" w:sz="4" w:space="0" w:color="auto"/>
            </w:tcBorders>
          </w:tcPr>
          <w:p>
            <w:pPr>
              <w:jc w:val="both"/>
              <w:rPr>
                <w:rFonts w:cs="Times New Roman"/>
                <w:noProof/>
                <w:szCs w:val="24"/>
              </w:rPr>
            </w:pPr>
          </w:p>
        </w:tc>
        <w:tc>
          <w:tcPr>
            <w:tcW w:w="2692" w:type="dxa"/>
            <w:vMerge w:val="restart"/>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color w:val="000000" w:themeColor="text1"/>
              </w:rPr>
              <w:t>– c) Veetransport</w:t>
            </w: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Euroopa Parlamendi ja nõukogu määruse (EÜ) nr 725/2004(</w:t>
            </w:r>
            <w:r>
              <w:rPr>
                <w:rStyle w:val="FootnoteReference"/>
                <w:rFonts w:cs="Times New Roman"/>
                <w:noProof/>
              </w:rPr>
              <w:footnoteReference w:id="12"/>
            </w:r>
            <w:r>
              <w:rPr>
                <w:noProof/>
              </w:rPr>
              <w:t>) I lisas osutatud ettevõtjad, kes tegelevad reisijate ja kauba vedamisega sisevetel, merel ja rannavetes (ei kohaldata kõnealuste ettevõtjate käitatavate üksikute laevade suhtes)</w:t>
            </w:r>
          </w:p>
        </w:tc>
      </w:tr>
      <w:tr>
        <w:trPr>
          <w:trHeight w:val="112"/>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Euroopa Parlamendi ja nõukogu direktiivi 2005/65/EÜ(</w:t>
            </w:r>
            <w:r>
              <w:rPr>
                <w:rStyle w:val="FootnoteReference"/>
                <w:rFonts w:cs="Times New Roman"/>
                <w:noProof/>
              </w:rPr>
              <w:footnoteReference w:id="13"/>
            </w:r>
            <w:r>
              <w:rPr>
                <w:noProof/>
              </w:rPr>
              <w:t>) artikli 3 punktis 1 osutatud sadamate valdajad, sealhulgas nende määruse (EÜ) nr 725/2004 artikli 2 punktis 11 osutatud sadamarajatised ning sadamates tööde ja varustuse haldamisega tegelevad üksused</w:t>
            </w:r>
          </w:p>
        </w:tc>
      </w:tr>
      <w:tr>
        <w:trPr>
          <w:trHeight w:val="112"/>
        </w:trPr>
        <w:tc>
          <w:tcPr>
            <w:tcW w:w="0" w:type="auto"/>
            <w:vMerge/>
            <w:tcBorders>
              <w:left w:val="nil"/>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Direktiivi 2002/59/EÜ(</w:t>
            </w:r>
            <w:r>
              <w:rPr>
                <w:rStyle w:val="FootnoteReference"/>
                <w:rFonts w:cs="Times New Roman"/>
                <w:noProof/>
              </w:rPr>
              <w:footnoteReference w:id="14"/>
            </w:r>
            <w:r>
              <w:rPr>
                <w:noProof/>
              </w:rPr>
              <w:t>) artikli 3 punktis o osutatud laevaliikluse juhtimise keskuste operaatorid</w:t>
            </w:r>
          </w:p>
        </w:tc>
      </w:tr>
      <w:tr>
        <w:trPr>
          <w:trHeight w:val="169"/>
        </w:trPr>
        <w:tc>
          <w:tcPr>
            <w:tcW w:w="2518" w:type="dxa"/>
            <w:vMerge/>
            <w:tcBorders>
              <w:left w:val="nil"/>
              <w:right w:val="single" w:sz="4" w:space="0" w:color="auto"/>
            </w:tcBorders>
          </w:tcPr>
          <w:p>
            <w:pPr>
              <w:jc w:val="both"/>
              <w:rPr>
                <w:rFonts w:cs="Times New Roman"/>
                <w:noProof/>
                <w:szCs w:val="24"/>
              </w:rPr>
            </w:pPr>
          </w:p>
        </w:tc>
        <w:tc>
          <w:tcPr>
            <w:tcW w:w="2692" w:type="dxa"/>
            <w:vMerge w:val="restart"/>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color w:val="000000" w:themeColor="text1"/>
              </w:rPr>
              <w:t>d) Maanteetransport</w:t>
            </w: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Komisjoni delegeeritud määruse (EL) 2015/962(</w:t>
            </w:r>
            <w:r>
              <w:rPr>
                <w:rStyle w:val="FootnoteReference"/>
                <w:rFonts w:cs="Times New Roman"/>
                <w:noProof/>
              </w:rPr>
              <w:footnoteReference w:id="15"/>
            </w:r>
            <w:r>
              <w:rPr>
                <w:noProof/>
              </w:rPr>
              <w:t>) artikli 2 punktis 12 osutatud maanteeametid, kes vastutavad liikluskorralduse eest</w:t>
            </w:r>
          </w:p>
        </w:tc>
      </w:tr>
      <w:tr>
        <w:trPr>
          <w:trHeight w:val="168"/>
        </w:trPr>
        <w:tc>
          <w:tcPr>
            <w:tcW w:w="0" w:type="auto"/>
            <w:vMerge/>
            <w:tcBorders>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Direktiivi 2010/40/EL(</w:t>
            </w:r>
            <w:r>
              <w:rPr>
                <w:rStyle w:val="FootnoteReference"/>
                <w:rFonts w:cs="Times New Roman"/>
                <w:noProof/>
              </w:rPr>
              <w:footnoteReference w:id="16"/>
            </w:r>
            <w:r>
              <w:rPr>
                <w:noProof/>
              </w:rPr>
              <w:t xml:space="preserve">) artikli 4 punktis 1 osutatud intelligentsete transpordisüsteemide operaatorid </w:t>
            </w:r>
          </w:p>
        </w:tc>
      </w:tr>
      <w:tr>
        <w:tc>
          <w:tcPr>
            <w:tcW w:w="2518" w:type="dxa"/>
            <w:tcBorders>
              <w:top w:val="single" w:sz="4" w:space="0" w:color="auto"/>
              <w:left w:val="nil"/>
              <w:bottom w:val="single" w:sz="4" w:space="0" w:color="auto"/>
              <w:right w:val="single" w:sz="4" w:space="0" w:color="auto"/>
            </w:tcBorders>
            <w:hideMark/>
          </w:tcPr>
          <w:p>
            <w:pPr>
              <w:jc w:val="both"/>
              <w:rPr>
                <w:rFonts w:cs="Times New Roman"/>
                <w:noProof/>
              </w:rPr>
            </w:pPr>
            <w:r>
              <w:rPr>
                <w:noProof/>
                <w:color w:val="000000" w:themeColor="text1"/>
              </w:rPr>
              <w:t>3. Pangandus</w:t>
            </w:r>
          </w:p>
        </w:tc>
        <w:tc>
          <w:tcPr>
            <w:tcW w:w="2692" w:type="dxa"/>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jc w:val="both"/>
              <w:rPr>
                <w:rFonts w:cs="Times New Roman"/>
                <w:noProof/>
              </w:rPr>
            </w:pPr>
            <w:r>
              <w:rPr>
                <w:noProof/>
              </w:rPr>
              <w:t>Määruse (EL) nr 575/2013(</w:t>
            </w:r>
            <w:r>
              <w:rPr>
                <w:rStyle w:val="FootnoteReference"/>
                <w:rFonts w:cs="Times New Roman"/>
                <w:noProof/>
              </w:rPr>
              <w:footnoteReference w:id="17"/>
            </w:r>
            <w:r>
              <w:rPr>
                <w:noProof/>
              </w:rPr>
              <w:t xml:space="preserve">) artikli 4 punktis 1 osutatud krediidiasutused </w:t>
            </w:r>
          </w:p>
        </w:tc>
      </w:tr>
      <w:tr>
        <w:trPr>
          <w:trHeight w:val="346"/>
        </w:trPr>
        <w:tc>
          <w:tcPr>
            <w:tcW w:w="2518" w:type="dxa"/>
            <w:vMerge w:val="restart"/>
            <w:tcBorders>
              <w:top w:val="single" w:sz="4" w:space="0" w:color="auto"/>
              <w:left w:val="nil"/>
              <w:bottom w:val="single" w:sz="4" w:space="0" w:color="auto"/>
              <w:right w:val="single" w:sz="4" w:space="0" w:color="auto"/>
            </w:tcBorders>
            <w:hideMark/>
          </w:tcPr>
          <w:p>
            <w:pPr>
              <w:jc w:val="both"/>
              <w:rPr>
                <w:rFonts w:cs="Times New Roman"/>
                <w:noProof/>
              </w:rPr>
            </w:pPr>
            <w:r>
              <w:rPr>
                <w:noProof/>
                <w:color w:val="000000" w:themeColor="text1"/>
              </w:rPr>
              <w:t>4. Finantsturutaristud</w:t>
            </w:r>
          </w:p>
        </w:tc>
        <w:tc>
          <w:tcPr>
            <w:tcW w:w="2692" w:type="dxa"/>
            <w:vMerge w:val="restart"/>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Direktiivi 2014/65/EL(</w:t>
            </w:r>
            <w:r>
              <w:rPr>
                <w:rStyle w:val="FootnoteReference"/>
                <w:rFonts w:cs="Times New Roman"/>
                <w:noProof/>
              </w:rPr>
              <w:footnoteReference w:id="18"/>
            </w:r>
            <w:r>
              <w:rPr>
                <w:noProof/>
              </w:rPr>
              <w:t xml:space="preserve">) artikli 4 punktis 24 osutatud kauplemiskohtade korraldajad </w:t>
            </w:r>
          </w:p>
        </w:tc>
      </w:tr>
      <w:tr>
        <w:trPr>
          <w:trHeight w:val="346"/>
        </w:trP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t>Määruse (EL) nr 648/2012(</w:t>
            </w:r>
            <w:r>
              <w:rPr>
                <w:rStyle w:val="FootnoteReference"/>
                <w:rFonts w:cs="Times New Roman"/>
                <w:noProof/>
              </w:rPr>
              <w:footnoteReference w:id="19"/>
            </w:r>
            <w:r>
              <w:rPr>
                <w:noProof/>
              </w:rPr>
              <w:t>) artikli 2 punktis 1 osutatud kesksed vastaspooled</w:t>
            </w:r>
          </w:p>
        </w:tc>
      </w:tr>
      <w:tr>
        <w:trPr>
          <w:trHeight w:val="396"/>
        </w:trPr>
        <w:tc>
          <w:tcPr>
            <w:tcW w:w="2518" w:type="dxa"/>
            <w:vMerge w:val="restart"/>
            <w:tcBorders>
              <w:top w:val="single" w:sz="4" w:space="0" w:color="auto"/>
              <w:left w:val="nil"/>
              <w:right w:val="single" w:sz="4" w:space="0" w:color="auto"/>
            </w:tcBorders>
            <w:hideMark/>
          </w:tcPr>
          <w:p>
            <w:pPr>
              <w:jc w:val="both"/>
              <w:rPr>
                <w:rFonts w:cs="Times New Roman"/>
                <w:noProof/>
              </w:rPr>
            </w:pPr>
            <w:r>
              <w:rPr>
                <w:noProof/>
                <w:color w:val="000000" w:themeColor="text1"/>
              </w:rPr>
              <w:t>5. Tervishoid</w:t>
            </w:r>
          </w:p>
        </w:tc>
        <w:tc>
          <w:tcPr>
            <w:tcW w:w="2692" w:type="dxa"/>
            <w:vMerge w:val="restart"/>
            <w:tcBorders>
              <w:top w:val="single" w:sz="4" w:space="0" w:color="auto"/>
              <w:left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pStyle w:val="ListBullet"/>
              <w:ind w:left="325" w:hanging="325"/>
              <w:jc w:val="both"/>
              <w:rPr>
                <w:rFonts w:cs="Times New Roman"/>
                <w:noProof/>
              </w:rPr>
            </w:pPr>
            <w:r>
              <w:rPr>
                <w:noProof/>
              </w:rPr>
              <w:t>Direktiivi 2011/24/EL(</w:t>
            </w:r>
            <w:r>
              <w:rPr>
                <w:rStyle w:val="FootnoteReference"/>
                <w:rFonts w:cs="Times New Roman"/>
                <w:noProof/>
              </w:rPr>
              <w:footnoteReference w:id="20"/>
            </w:r>
            <w:r>
              <w:rPr>
                <w:noProof/>
              </w:rPr>
              <w:t>) artikli 3 punktis g osutatud tervishoiuteenuse osutajad</w:t>
            </w:r>
          </w:p>
        </w:tc>
      </w:tr>
      <w:tr>
        <w:trPr>
          <w:trHeight w:val="1343"/>
        </w:trPr>
        <w:tc>
          <w:tcPr>
            <w:tcW w:w="2518" w:type="dxa"/>
            <w:vMerge/>
            <w:tcBorders>
              <w:left w:val="nil"/>
              <w:right w:val="single" w:sz="4" w:space="0" w:color="auto"/>
            </w:tcBorders>
          </w:tcPr>
          <w:p>
            <w:pPr>
              <w:jc w:val="both"/>
              <w:rPr>
                <w:rFonts w:eastAsiaTheme="minorEastAsia" w:cs="Times New Roman"/>
                <w:noProof/>
                <w:color w:val="000000" w:themeColor="text1"/>
                <w:kern w:val="24"/>
                <w:szCs w:val="24"/>
              </w:rPr>
            </w:pPr>
          </w:p>
        </w:tc>
        <w:tc>
          <w:tcPr>
            <w:tcW w:w="2692" w:type="dxa"/>
            <w:vMerge/>
            <w:tcBorders>
              <w:left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tcPr>
          <w:p>
            <w:pPr>
              <w:pStyle w:val="ListBullet"/>
              <w:ind w:left="325" w:hanging="325"/>
              <w:jc w:val="both"/>
              <w:rPr>
                <w:rFonts w:cs="Times New Roman"/>
                <w:bCs/>
                <w:noProof/>
              </w:rPr>
            </w:pPr>
            <w:r>
              <w:rPr>
                <w:noProof/>
              </w:rPr>
              <w:t>Määruse XXXX/XXXX</w:t>
            </w:r>
            <w:r>
              <w:rPr>
                <w:rStyle w:val="FootnoteReference"/>
                <w:rFonts w:cs="Times New Roman"/>
                <w:noProof/>
              </w:rPr>
              <w:footnoteReference w:id="21"/>
            </w:r>
            <w:r>
              <w:rPr>
                <w:noProof/>
              </w:rPr>
              <w:t xml:space="preserve"> (milles käsitletakse tõsiseid piiriüleseid terviseohte) artiklis 15 osutatud ELi referentlaborid</w:t>
            </w:r>
          </w:p>
        </w:tc>
      </w:tr>
      <w:tr>
        <w:trPr>
          <w:trHeight w:val="1342"/>
        </w:trPr>
        <w:tc>
          <w:tcPr>
            <w:tcW w:w="2518" w:type="dxa"/>
            <w:vMerge/>
            <w:tcBorders>
              <w:left w:val="nil"/>
              <w:right w:val="single" w:sz="4" w:space="0" w:color="auto"/>
            </w:tcBorders>
          </w:tcPr>
          <w:p>
            <w:pPr>
              <w:jc w:val="both"/>
              <w:rPr>
                <w:rFonts w:eastAsiaTheme="minorEastAsia" w:cs="Times New Roman"/>
                <w:noProof/>
                <w:color w:val="000000" w:themeColor="text1"/>
                <w:kern w:val="24"/>
                <w:szCs w:val="24"/>
              </w:rPr>
            </w:pPr>
          </w:p>
        </w:tc>
        <w:tc>
          <w:tcPr>
            <w:tcW w:w="2692" w:type="dxa"/>
            <w:vMerge/>
            <w:tcBorders>
              <w:left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tcPr>
          <w:p>
            <w:pPr>
              <w:pStyle w:val="ListBullet"/>
              <w:ind w:left="325" w:hanging="325"/>
              <w:jc w:val="both"/>
              <w:rPr>
                <w:rFonts w:cs="Times New Roman"/>
                <w:bCs/>
                <w:noProof/>
              </w:rPr>
            </w:pPr>
            <w:r>
              <w:rPr>
                <w:noProof/>
              </w:rPr>
              <w:t>Üksused, mis tegelevad direktiivi 2001/83/EÜ(</w:t>
            </w:r>
            <w:r>
              <w:rPr>
                <w:rStyle w:val="FootnoteReference"/>
                <w:rFonts w:cs="Times New Roman"/>
                <w:noProof/>
              </w:rPr>
              <w:footnoteReference w:id="22"/>
            </w:r>
            <w:r>
              <w:rPr>
                <w:noProof/>
              </w:rPr>
              <w:t xml:space="preserve">) artikli 1 punktis 2 osutatud ravimite uurimise ja arendamisega </w:t>
            </w:r>
          </w:p>
          <w:p>
            <w:pPr>
              <w:pStyle w:val="ListBullet"/>
              <w:ind w:left="325" w:hanging="325"/>
              <w:jc w:val="both"/>
              <w:rPr>
                <w:rFonts w:cs="Times New Roman"/>
                <w:bCs/>
                <w:noProof/>
              </w:rPr>
            </w:pPr>
            <w:r>
              <w:rPr>
                <w:noProof/>
              </w:rPr>
              <w:t>NACE Rev. 2 C jao jaotises 21 osutatud põhifarmaatsiatooteid ja ravimpreparaate tootvad üksused</w:t>
            </w:r>
          </w:p>
          <w:p>
            <w:pPr>
              <w:pStyle w:val="ListBullet"/>
              <w:ind w:left="325" w:hanging="325"/>
              <w:jc w:val="both"/>
              <w:rPr>
                <w:rFonts w:cs="Times New Roman"/>
                <w:bCs/>
                <w:noProof/>
              </w:rPr>
            </w:pPr>
            <w:r>
              <w:rPr>
                <w:noProof/>
              </w:rPr>
              <w:t>Üksused, kes toodavad rahvatervise hädaolukorras kriitilise tähtsusega meditsiiniseadmeid (rahvatervise hädaolukorra kriitilise tähtsusega meditsiiniseadmete loetelu), millele on osutatud määruse XXXX</w:t>
            </w:r>
            <w:r>
              <w:rPr>
                <w:rStyle w:val="FootnoteReference"/>
                <w:noProof/>
              </w:rPr>
              <w:footnoteReference w:id="23"/>
            </w:r>
            <w:r>
              <w:rPr>
                <w:noProof/>
              </w:rPr>
              <w:t xml:space="preserve"> artiklis 20 </w:t>
            </w:r>
          </w:p>
        </w:tc>
      </w:tr>
      <w:tr>
        <w:trPr>
          <w:trHeight w:val="1515"/>
        </w:trPr>
        <w:tc>
          <w:tcPr>
            <w:tcW w:w="2518" w:type="dxa"/>
            <w:tcBorders>
              <w:top w:val="single" w:sz="4" w:space="0" w:color="auto"/>
              <w:left w:val="nil"/>
              <w:bottom w:val="single" w:sz="4" w:space="0" w:color="auto"/>
              <w:right w:val="single" w:sz="4" w:space="0" w:color="auto"/>
            </w:tcBorders>
          </w:tcPr>
          <w:p>
            <w:pPr>
              <w:jc w:val="both"/>
              <w:rPr>
                <w:rFonts w:eastAsiaTheme="minorEastAsia" w:cs="Times New Roman"/>
                <w:noProof/>
                <w:color w:val="000000" w:themeColor="text1"/>
                <w:kern w:val="24"/>
              </w:rPr>
            </w:pPr>
            <w:r>
              <w:rPr>
                <w:noProof/>
                <w:color w:val="000000" w:themeColor="text1"/>
              </w:rPr>
              <w:t xml:space="preserve">6. Joogivesi </w:t>
            </w:r>
          </w:p>
        </w:tc>
        <w:tc>
          <w:tcPr>
            <w:tcW w:w="2692" w:type="dxa"/>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tcPr>
          <w:p>
            <w:pPr>
              <w:jc w:val="both"/>
              <w:rPr>
                <w:rFonts w:cs="Times New Roman"/>
                <w:noProof/>
              </w:rPr>
            </w:pPr>
            <w:r>
              <w:rPr>
                <w:noProof/>
              </w:rPr>
              <w:t>Nõukogu direktiivi 98/83/EÜ(</w:t>
            </w:r>
            <w:r>
              <w:rPr>
                <w:rStyle w:val="FootnoteReference"/>
                <w:rFonts w:cs="Times New Roman"/>
                <w:noProof/>
              </w:rPr>
              <w:footnoteReference w:id="24"/>
            </w:r>
            <w:r>
              <w:rPr>
                <w:noProof/>
              </w:rPr>
              <w:t>) artikli 2 punkti 1 alapunktis a osutatud olmeveega varustajad ja olmevee jaotajad, v.a jaotajad, kelle puhul olmevee jaotamine on vaid üks osa nende jaotustegevusest, mis hõlmab ka muude tarbekaupade ja kaupade tarnimist ja mida ei käsitata elutähtsa või olulise teenusena.</w:t>
            </w:r>
          </w:p>
        </w:tc>
      </w:tr>
      <w:tr>
        <w:tc>
          <w:tcPr>
            <w:tcW w:w="2518" w:type="dxa"/>
            <w:tcBorders>
              <w:top w:val="single" w:sz="4" w:space="0" w:color="auto"/>
              <w:left w:val="nil"/>
              <w:bottom w:val="single" w:sz="4" w:space="0" w:color="auto"/>
              <w:right w:val="single" w:sz="4" w:space="0" w:color="auto"/>
            </w:tcBorders>
            <w:hideMark/>
          </w:tcPr>
          <w:p>
            <w:pPr>
              <w:jc w:val="both"/>
              <w:rPr>
                <w:rFonts w:eastAsiaTheme="minorEastAsia" w:cs="Times New Roman"/>
                <w:b/>
                <w:bCs/>
                <w:noProof/>
                <w:color w:val="000000" w:themeColor="text1"/>
                <w:kern w:val="24"/>
              </w:rPr>
            </w:pPr>
            <w:r>
              <w:rPr>
                <w:noProof/>
                <w:color w:val="000000" w:themeColor="text1"/>
              </w:rPr>
              <w:t>7. Reovesi</w:t>
            </w:r>
          </w:p>
        </w:tc>
        <w:tc>
          <w:tcPr>
            <w:tcW w:w="2692" w:type="dxa"/>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jc w:val="both"/>
              <w:rPr>
                <w:rFonts w:cs="Times New Roman"/>
                <w:noProof/>
              </w:rPr>
            </w:pPr>
            <w:r>
              <w:rPr>
                <w:noProof/>
              </w:rPr>
              <w:t>Ettevõtjad, kes tegelevad nõukogu direktiivi 91/271/EMÜ(</w:t>
            </w:r>
            <w:r>
              <w:rPr>
                <w:rStyle w:val="FootnoteReference"/>
                <w:rFonts w:cs="Times New Roman"/>
                <w:noProof/>
              </w:rPr>
              <w:footnoteReference w:id="25"/>
            </w:r>
            <w:r>
              <w:rPr>
                <w:noProof/>
              </w:rPr>
              <w:t xml:space="preserve">) artikli 2 punktides 1–3 osutatud asula-, olme- ja tööstusreovee kogumise, ärajuhtimise või puhastamisega </w:t>
            </w:r>
          </w:p>
        </w:tc>
      </w:tr>
      <w:tr>
        <w:tc>
          <w:tcPr>
            <w:tcW w:w="2518" w:type="dxa"/>
            <w:vMerge w:val="restart"/>
            <w:tcBorders>
              <w:top w:val="single" w:sz="4" w:space="0" w:color="auto"/>
              <w:left w:val="nil"/>
              <w:bottom w:val="single" w:sz="4" w:space="0" w:color="auto"/>
              <w:right w:val="single" w:sz="4" w:space="0" w:color="auto"/>
            </w:tcBorders>
            <w:hideMark/>
          </w:tcPr>
          <w:p>
            <w:pPr>
              <w:jc w:val="both"/>
              <w:rPr>
                <w:rFonts w:cs="Times New Roman"/>
                <w:noProof/>
              </w:rPr>
            </w:pPr>
            <w:r>
              <w:rPr>
                <w:noProof/>
                <w:color w:val="000000" w:themeColor="text1"/>
              </w:rPr>
              <w:t>8. Digitaristu</w:t>
            </w:r>
          </w:p>
        </w:tc>
        <w:tc>
          <w:tcPr>
            <w:tcW w:w="2692" w:type="dxa"/>
            <w:vMerge w:val="restart"/>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r>
            <w:r>
              <w:rPr>
                <w:noProof/>
                <w:color w:val="000000" w:themeColor="text1"/>
              </w:rPr>
              <w:t>Interneti vahetuspunkti teenuse osutajad</w:t>
            </w:r>
          </w:p>
        </w:tc>
      </w:tr>
      <w:t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r>
            <w:r>
              <w:rPr>
                <w:noProof/>
                <w:color w:val="000000" w:themeColor="text1"/>
              </w:rPr>
              <w:t>Domeeninimede süsteemi teenuse osutajad</w:t>
            </w:r>
          </w:p>
        </w:tc>
      </w:tr>
      <w:t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r>
            <w:r>
              <w:rPr>
                <w:noProof/>
                <w:color w:val="000000" w:themeColor="text1"/>
              </w:rPr>
              <w:t>Tippdomeeninimede registrite pidajad</w:t>
            </w:r>
          </w:p>
        </w:tc>
      </w:tr>
      <w:t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pStyle w:val="ListParagraph"/>
              <w:numPr>
                <w:ilvl w:val="0"/>
                <w:numId w:val="10"/>
              </w:numPr>
              <w:spacing w:before="0" w:after="0"/>
              <w:ind w:left="323" w:hanging="323"/>
              <w:rPr>
                <w:noProof/>
              </w:rPr>
            </w:pPr>
            <w:r>
              <w:rPr>
                <w:noProof/>
              </w:rPr>
              <w:t>Pilvandmetöötlusteenuse osutajad</w:t>
            </w:r>
          </w:p>
        </w:tc>
      </w:tr>
      <w:t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 Andmekeskusteenuse osutajad</w:t>
            </w:r>
          </w:p>
        </w:tc>
      </w:tr>
      <w:t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pStyle w:val="ListBullet"/>
              <w:ind w:left="325" w:hanging="325"/>
              <w:rPr>
                <w:bCs/>
                <w:noProof/>
              </w:rPr>
            </w:pPr>
            <w:r>
              <w:rPr>
                <w:noProof/>
              </w:rPr>
              <w:t>Sisulevivõrguteenuse osutajad</w:t>
            </w:r>
          </w:p>
        </w:tc>
      </w:tr>
      <w:t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5" w:hanging="325"/>
              <w:jc w:val="both"/>
              <w:rPr>
                <w:rFonts w:cs="Times New Roman"/>
                <w:noProof/>
              </w:rPr>
            </w:pPr>
            <w:r>
              <w:rPr>
                <w:noProof/>
              </w:rPr>
              <w:t>–</w:t>
            </w:r>
            <w:r>
              <w:rPr>
                <w:noProof/>
              </w:rPr>
              <w:tab/>
            </w:r>
            <w:r>
              <w:rPr>
                <w:noProof/>
                <w:color w:val="000000" w:themeColor="text1"/>
              </w:rPr>
              <w:t>Määruse (EL) nr 910/2014</w:t>
            </w:r>
            <w:r>
              <w:rPr>
                <w:bCs/>
                <w:noProof/>
                <w:color w:val="000000" w:themeColor="text1"/>
              </w:rPr>
              <w:t>(</w:t>
            </w:r>
            <w:r>
              <w:rPr>
                <w:rStyle w:val="FootnoteReference"/>
                <w:rFonts w:eastAsiaTheme="minorEastAsia" w:cs="Times New Roman"/>
                <w:noProof/>
                <w:color w:val="000000" w:themeColor="text1"/>
                <w:kern w:val="24"/>
              </w:rPr>
              <w:footnoteReference w:id="26"/>
            </w:r>
            <w:r>
              <w:rPr>
                <w:noProof/>
                <w:color w:val="000000" w:themeColor="text1"/>
              </w:rPr>
              <w:t>) artikli 3 punktis 19 osutatud usaldusteenuse osutajad</w:t>
            </w:r>
          </w:p>
        </w:tc>
      </w:tr>
      <w:tr>
        <w:trPr>
          <w:trHeight w:val="733"/>
        </w:trPr>
        <w:tc>
          <w:tcPr>
            <w:tcW w:w="0" w:type="auto"/>
            <w:vMerge/>
            <w:tcBorders>
              <w:top w:val="single" w:sz="4" w:space="0" w:color="auto"/>
              <w:left w:val="nil"/>
              <w:bottom w:val="single" w:sz="4" w:space="0" w:color="auto"/>
              <w:right w:val="single" w:sz="4" w:space="0" w:color="auto"/>
            </w:tcBorders>
            <w:vAlign w:val="center"/>
            <w:hideMark/>
          </w:tcPr>
          <w:p>
            <w:pPr>
              <w:jc w:val="both"/>
              <w:rPr>
                <w:rFonts w:cs="Times New Roman"/>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1" w:hanging="321"/>
              <w:jc w:val="both"/>
              <w:rPr>
                <w:rFonts w:cs="Times New Roman"/>
                <w:noProof/>
              </w:rPr>
            </w:pPr>
            <w:r>
              <w:rPr>
                <w:noProof/>
              </w:rPr>
              <w:t>–</w:t>
            </w:r>
            <w:r>
              <w:rPr>
                <w:noProof/>
              </w:rPr>
              <w:tab/>
              <w:t>Direktiivi (EL) 2018/1972(</w:t>
            </w:r>
            <w:r>
              <w:rPr>
                <w:rStyle w:val="FootnoteReference"/>
                <w:rFonts w:cs="Times New Roman"/>
                <w:noProof/>
              </w:rPr>
              <w:footnoteReference w:id="27"/>
            </w:r>
            <w:r>
              <w:rPr>
                <w:noProof/>
              </w:rPr>
              <w:t>) artikli 2 punktis 8 osutatud üldkasutatavate elektroonilise side võrkude pakkujad või direktiivi (EL) 2018/1972 artikli 2 punktis 4 osutatud elektroonilise side teenuste osutajad, kui nende teenused on üldkasutatavad</w:t>
            </w:r>
          </w:p>
        </w:tc>
      </w:tr>
      <w:tr>
        <w:tc>
          <w:tcPr>
            <w:tcW w:w="2518" w:type="dxa"/>
            <w:vMerge w:val="restart"/>
            <w:tcBorders>
              <w:top w:val="single" w:sz="4" w:space="0" w:color="auto"/>
              <w:left w:val="nil"/>
              <w:right w:val="single" w:sz="4" w:space="0" w:color="auto"/>
            </w:tcBorders>
            <w:hideMark/>
          </w:tcPr>
          <w:p>
            <w:pPr>
              <w:jc w:val="both"/>
              <w:rPr>
                <w:rFonts w:eastAsiaTheme="minorEastAsia" w:cs="Times New Roman"/>
                <w:noProof/>
                <w:color w:val="000000" w:themeColor="text1"/>
                <w:kern w:val="24"/>
              </w:rPr>
            </w:pPr>
            <w:r>
              <w:rPr>
                <w:noProof/>
                <w:color w:val="000000" w:themeColor="text1"/>
              </w:rPr>
              <w:t xml:space="preserve">9. Avalik haldus </w:t>
            </w:r>
          </w:p>
        </w:tc>
        <w:tc>
          <w:tcPr>
            <w:tcW w:w="2692" w:type="dxa"/>
            <w:vMerge w:val="restart"/>
            <w:tcBorders>
              <w:top w:val="single" w:sz="4" w:space="0" w:color="auto"/>
              <w:left w:val="single" w:sz="4" w:space="0" w:color="auto"/>
              <w:right w:val="single" w:sz="4" w:space="0" w:color="auto"/>
            </w:tcBorders>
          </w:tcPr>
          <w:p>
            <w:pPr>
              <w:jc w:val="both"/>
              <w:rPr>
                <w:rFonts w:eastAsiaTheme="minorEastAsia" w:cs="Times New Roman"/>
                <w:noProof/>
                <w:color w:val="000000" w:themeColor="text1"/>
                <w:kern w:val="24"/>
                <w:szCs w:val="24"/>
              </w:rPr>
            </w:pPr>
          </w:p>
        </w:tc>
        <w:tc>
          <w:tcPr>
            <w:tcW w:w="4077" w:type="dxa"/>
            <w:tcBorders>
              <w:top w:val="single" w:sz="4" w:space="0" w:color="auto"/>
              <w:left w:val="single" w:sz="4" w:space="0" w:color="auto"/>
              <w:bottom w:val="single" w:sz="4" w:space="0" w:color="auto"/>
              <w:right w:val="nil"/>
            </w:tcBorders>
          </w:tcPr>
          <w:p>
            <w:pPr>
              <w:pStyle w:val="ListBullet"/>
              <w:ind w:left="320" w:hanging="320"/>
              <w:jc w:val="both"/>
              <w:rPr>
                <w:rFonts w:cs="Times New Roman"/>
                <w:noProof/>
              </w:rPr>
            </w:pPr>
            <w:r>
              <w:rPr>
                <w:noProof/>
              </w:rPr>
              <w:t xml:space="preserve">Keskvalitsuste avaliku halduse asutused </w:t>
            </w:r>
          </w:p>
        </w:tc>
      </w:tr>
      <w:tr>
        <w:tc>
          <w:tcPr>
            <w:tcW w:w="2518" w:type="dxa"/>
            <w:vMerge/>
            <w:tcBorders>
              <w:left w:val="nil"/>
              <w:right w:val="single" w:sz="4" w:space="0" w:color="auto"/>
            </w:tcBorders>
          </w:tcPr>
          <w:p>
            <w:pPr>
              <w:jc w:val="both"/>
              <w:rPr>
                <w:rFonts w:eastAsiaTheme="minorEastAsia" w:cs="Times New Roman"/>
                <w:noProof/>
                <w:color w:val="000000" w:themeColor="text1"/>
                <w:kern w:val="24"/>
                <w:szCs w:val="24"/>
              </w:rPr>
            </w:pPr>
          </w:p>
        </w:tc>
        <w:tc>
          <w:tcPr>
            <w:tcW w:w="2692" w:type="dxa"/>
            <w:vMerge/>
            <w:tcBorders>
              <w:left w:val="single" w:sz="4" w:space="0" w:color="auto"/>
              <w:right w:val="single" w:sz="4" w:space="0" w:color="auto"/>
            </w:tcBorders>
          </w:tcPr>
          <w:p>
            <w:pPr>
              <w:jc w:val="both"/>
              <w:rPr>
                <w:rFonts w:eastAsiaTheme="minorEastAsia" w:cs="Times New Roman"/>
                <w:noProof/>
                <w:color w:val="000000" w:themeColor="text1"/>
                <w:kern w:val="24"/>
                <w:szCs w:val="24"/>
              </w:rPr>
            </w:pPr>
          </w:p>
        </w:tc>
        <w:tc>
          <w:tcPr>
            <w:tcW w:w="4077" w:type="dxa"/>
            <w:tcBorders>
              <w:top w:val="single" w:sz="4" w:space="0" w:color="auto"/>
              <w:left w:val="single" w:sz="4" w:space="0" w:color="auto"/>
              <w:bottom w:val="single" w:sz="4" w:space="0" w:color="auto"/>
              <w:right w:val="nil"/>
            </w:tcBorders>
          </w:tcPr>
          <w:p>
            <w:pPr>
              <w:pStyle w:val="ListBullet"/>
              <w:ind w:left="320" w:hanging="320"/>
              <w:jc w:val="both"/>
              <w:rPr>
                <w:rFonts w:cs="Times New Roman"/>
                <w:bCs/>
                <w:noProof/>
              </w:rPr>
            </w:pPr>
            <w:r>
              <w:rPr>
                <w:noProof/>
              </w:rPr>
              <w:t>Määruse (EÜ) nr 1059/2003(</w:t>
            </w:r>
            <w:r>
              <w:rPr>
                <w:rStyle w:val="FootnoteReference"/>
                <w:noProof/>
              </w:rPr>
              <w:footnoteReference w:id="28"/>
            </w:r>
            <w:r>
              <w:rPr>
                <w:noProof/>
              </w:rPr>
              <w:t>) I lisas loetletud NUTSi 1. tasandi piirkondade avaliku halduse asutused</w:t>
            </w:r>
          </w:p>
        </w:tc>
      </w:tr>
      <w:tr>
        <w:tc>
          <w:tcPr>
            <w:tcW w:w="2518" w:type="dxa"/>
            <w:vMerge/>
            <w:tcBorders>
              <w:left w:val="nil"/>
              <w:bottom w:val="single" w:sz="4" w:space="0" w:color="auto"/>
              <w:right w:val="single" w:sz="4" w:space="0" w:color="auto"/>
            </w:tcBorders>
          </w:tcPr>
          <w:p>
            <w:pPr>
              <w:jc w:val="both"/>
              <w:rPr>
                <w:rFonts w:eastAsiaTheme="minorEastAsia" w:cs="Times New Roman"/>
                <w:noProof/>
                <w:color w:val="000000" w:themeColor="text1"/>
                <w:kern w:val="24"/>
                <w:szCs w:val="24"/>
              </w:rPr>
            </w:pPr>
          </w:p>
        </w:tc>
        <w:tc>
          <w:tcPr>
            <w:tcW w:w="2692" w:type="dxa"/>
            <w:vMerge/>
            <w:tcBorders>
              <w:left w:val="single" w:sz="4" w:space="0" w:color="auto"/>
              <w:bottom w:val="single" w:sz="4" w:space="0" w:color="auto"/>
              <w:right w:val="single" w:sz="4" w:space="0" w:color="auto"/>
            </w:tcBorders>
          </w:tcPr>
          <w:p>
            <w:pPr>
              <w:jc w:val="both"/>
              <w:rPr>
                <w:rFonts w:eastAsiaTheme="minorEastAsia" w:cs="Times New Roman"/>
                <w:noProof/>
                <w:color w:val="000000" w:themeColor="text1"/>
                <w:kern w:val="24"/>
                <w:szCs w:val="24"/>
              </w:rPr>
            </w:pPr>
          </w:p>
        </w:tc>
        <w:tc>
          <w:tcPr>
            <w:tcW w:w="4077" w:type="dxa"/>
            <w:tcBorders>
              <w:top w:val="single" w:sz="4" w:space="0" w:color="auto"/>
              <w:left w:val="single" w:sz="4" w:space="0" w:color="auto"/>
              <w:bottom w:val="single" w:sz="4" w:space="0" w:color="auto"/>
              <w:right w:val="nil"/>
            </w:tcBorders>
          </w:tcPr>
          <w:p>
            <w:pPr>
              <w:pStyle w:val="ListBullet"/>
              <w:ind w:left="320" w:hanging="320"/>
              <w:jc w:val="both"/>
              <w:rPr>
                <w:rFonts w:cs="Times New Roman"/>
                <w:bCs/>
                <w:noProof/>
              </w:rPr>
            </w:pPr>
            <w:r>
              <w:rPr>
                <w:noProof/>
              </w:rPr>
              <w:t>Määruse (EÜ) nr 1059/2003 I lisas loetletud NUTSi 2. tasandi piirkondade avaliku halduse asutused</w:t>
            </w:r>
          </w:p>
        </w:tc>
      </w:tr>
      <w:tr>
        <w:tc>
          <w:tcPr>
            <w:tcW w:w="2518" w:type="dxa"/>
            <w:tcBorders>
              <w:top w:val="single" w:sz="4" w:space="0" w:color="auto"/>
              <w:left w:val="nil"/>
              <w:bottom w:val="single" w:sz="4" w:space="0" w:color="auto"/>
              <w:right w:val="single" w:sz="4" w:space="0" w:color="auto"/>
            </w:tcBorders>
          </w:tcPr>
          <w:p>
            <w:pPr>
              <w:jc w:val="both"/>
              <w:rPr>
                <w:rFonts w:eastAsiaTheme="minorEastAsia" w:cs="Times New Roman"/>
                <w:noProof/>
                <w:color w:val="000000" w:themeColor="text1"/>
                <w:kern w:val="24"/>
              </w:rPr>
            </w:pPr>
            <w:r>
              <w:rPr>
                <w:noProof/>
                <w:color w:val="000000" w:themeColor="text1"/>
              </w:rPr>
              <w:t xml:space="preserve">10. Kosmos </w:t>
            </w:r>
          </w:p>
        </w:tc>
        <w:tc>
          <w:tcPr>
            <w:tcW w:w="2692" w:type="dxa"/>
            <w:tcBorders>
              <w:top w:val="single" w:sz="4" w:space="0" w:color="auto"/>
              <w:left w:val="single" w:sz="4" w:space="0" w:color="auto"/>
              <w:bottom w:val="single" w:sz="4" w:space="0" w:color="auto"/>
              <w:right w:val="single" w:sz="4" w:space="0" w:color="auto"/>
            </w:tcBorders>
          </w:tcPr>
          <w:p>
            <w:pPr>
              <w:jc w:val="both"/>
              <w:rPr>
                <w:rFonts w:eastAsiaTheme="minorEastAsia" w:cs="Times New Roman"/>
                <w:noProof/>
                <w:color w:val="000000" w:themeColor="text1"/>
                <w:kern w:val="24"/>
                <w:szCs w:val="24"/>
              </w:rPr>
            </w:pPr>
          </w:p>
        </w:tc>
        <w:tc>
          <w:tcPr>
            <w:tcW w:w="4077" w:type="dxa"/>
            <w:tcBorders>
              <w:top w:val="single" w:sz="4" w:space="0" w:color="auto"/>
              <w:left w:val="single" w:sz="4" w:space="0" w:color="auto"/>
              <w:bottom w:val="single" w:sz="4" w:space="0" w:color="auto"/>
              <w:right w:val="nil"/>
            </w:tcBorders>
          </w:tcPr>
          <w:p>
            <w:pPr>
              <w:ind w:left="41"/>
              <w:jc w:val="both"/>
              <w:rPr>
                <w:noProof/>
              </w:rPr>
            </w:pPr>
            <w:r>
              <w:rPr>
                <w:noProof/>
              </w:rPr>
              <w:t>Liikmesriigi või eraõiguslike isikute omandis olevate, hallatavate või käitatavate maapealsete taristute operaatorid, kes toetavad kosmosepõhiste teenuste osutamist, välja arvatud direktiivi (EL) 2018/1972 artikli 2 punktis 8 osutatud elektroonilise side võrkude pakkujad</w:t>
            </w:r>
          </w:p>
        </w:tc>
      </w:tr>
    </w:tbl>
    <w:p>
      <w:pPr>
        <w:spacing w:after="200"/>
        <w:jc w:val="center"/>
        <w:rPr>
          <w:rFonts w:cs="Times New Roman"/>
          <w:i/>
          <w:iCs/>
          <w:noProof/>
        </w:rPr>
      </w:pPr>
      <w:r>
        <w:rPr>
          <w:i/>
          <w:noProof/>
        </w:rPr>
        <w:br w:type="page"/>
        <w:t>II LISA</w:t>
      </w:r>
    </w:p>
    <w:p>
      <w:pPr>
        <w:spacing w:after="200" w:line="276" w:lineRule="auto"/>
        <w:jc w:val="center"/>
        <w:rPr>
          <w:rFonts w:cs="Times New Roman"/>
          <w:b/>
          <w:bCs/>
          <w:i/>
          <w:iCs/>
          <w:caps/>
          <w:noProof/>
        </w:rPr>
      </w:pPr>
      <w:r>
        <w:rPr>
          <w:b/>
          <w:i/>
          <w:caps/>
          <w:noProof/>
        </w:rPr>
        <w:t>OLULISED ÜKSUSED:</w:t>
      </w:r>
    </w:p>
    <w:p>
      <w:pPr>
        <w:spacing w:after="200" w:line="276" w:lineRule="auto"/>
        <w:jc w:val="center"/>
        <w:rPr>
          <w:rFonts w:cs="Times New Roman"/>
          <w:i/>
          <w:iCs/>
          <w:caps/>
          <w:noProof/>
        </w:rPr>
      </w:pPr>
      <w:r>
        <w:rPr>
          <w:b/>
          <w:i/>
          <w:caps/>
          <w:noProof/>
        </w:rPr>
        <w:t>sektorid, allsektorid ja üksuste liigid</w:t>
      </w:r>
    </w:p>
    <w:p>
      <w:pPr>
        <w:spacing w:after="200" w:line="276" w:lineRule="auto"/>
        <w:jc w:val="both"/>
        <w:rPr>
          <w:rFonts w:cs="Times New Roman"/>
          <w:b/>
          <w:noProof/>
          <w:szCs w:val="24"/>
        </w:rPr>
      </w:pPr>
    </w:p>
    <w:tbl>
      <w:tblPr>
        <w:tblStyle w:val="TableGrid"/>
        <w:tblW w:w="0" w:type="auto"/>
        <w:tblBorders>
          <w:left w:val="none" w:sz="0" w:space="0" w:color="auto"/>
          <w:right w:val="none" w:sz="0" w:space="0" w:color="auto"/>
        </w:tblBorders>
        <w:tblCellMar>
          <w:top w:w="108" w:type="dxa"/>
          <w:bottom w:w="108" w:type="dxa"/>
        </w:tblCellMar>
        <w:tblLook w:val="04A0" w:firstRow="1" w:lastRow="0" w:firstColumn="1" w:lastColumn="0" w:noHBand="0" w:noVBand="1"/>
      </w:tblPr>
      <w:tblGrid>
        <w:gridCol w:w="2283"/>
        <w:gridCol w:w="3176"/>
        <w:gridCol w:w="3828"/>
      </w:tblGrid>
      <w:tr>
        <w:tc>
          <w:tcPr>
            <w:tcW w:w="2517" w:type="dxa"/>
            <w:tcBorders>
              <w:top w:val="single" w:sz="4" w:space="0" w:color="auto"/>
              <w:left w:val="nil"/>
              <w:bottom w:val="single" w:sz="4" w:space="0" w:color="auto"/>
              <w:right w:val="single" w:sz="4" w:space="0" w:color="auto"/>
            </w:tcBorders>
            <w:hideMark/>
          </w:tcPr>
          <w:p>
            <w:pPr>
              <w:jc w:val="both"/>
              <w:rPr>
                <w:rFonts w:cs="Times New Roman"/>
                <w:noProof/>
              </w:rPr>
            </w:pPr>
            <w:r>
              <w:rPr>
                <w:noProof/>
              </w:rPr>
              <w:t>Sektor</w:t>
            </w:r>
          </w:p>
        </w:tc>
        <w:tc>
          <w:tcPr>
            <w:tcW w:w="2693" w:type="dxa"/>
            <w:tcBorders>
              <w:top w:val="single" w:sz="4" w:space="0" w:color="auto"/>
              <w:left w:val="single" w:sz="4" w:space="0" w:color="auto"/>
              <w:bottom w:val="single" w:sz="4" w:space="0" w:color="auto"/>
              <w:right w:val="single" w:sz="4" w:space="0" w:color="auto"/>
            </w:tcBorders>
            <w:hideMark/>
          </w:tcPr>
          <w:p>
            <w:pPr>
              <w:jc w:val="both"/>
              <w:rPr>
                <w:rFonts w:cs="Times New Roman"/>
                <w:noProof/>
              </w:rPr>
            </w:pPr>
            <w:r>
              <w:rPr>
                <w:noProof/>
              </w:rPr>
              <w:t>Allsektor</w:t>
            </w:r>
          </w:p>
        </w:tc>
        <w:tc>
          <w:tcPr>
            <w:tcW w:w="4077" w:type="dxa"/>
            <w:tcBorders>
              <w:top w:val="single" w:sz="4" w:space="0" w:color="auto"/>
              <w:left w:val="single" w:sz="4" w:space="0" w:color="auto"/>
              <w:bottom w:val="single" w:sz="4" w:space="0" w:color="auto"/>
              <w:right w:val="nil"/>
            </w:tcBorders>
            <w:hideMark/>
          </w:tcPr>
          <w:p>
            <w:pPr>
              <w:jc w:val="both"/>
              <w:rPr>
                <w:rFonts w:cs="Times New Roman"/>
                <w:noProof/>
              </w:rPr>
            </w:pPr>
            <w:r>
              <w:rPr>
                <w:noProof/>
              </w:rPr>
              <w:t>Üksuse liik</w:t>
            </w:r>
          </w:p>
        </w:tc>
      </w:tr>
      <w:tr>
        <w:tc>
          <w:tcPr>
            <w:tcW w:w="2517" w:type="dxa"/>
            <w:tcBorders>
              <w:top w:val="single" w:sz="4" w:space="0" w:color="auto"/>
              <w:left w:val="nil"/>
              <w:bottom w:val="single" w:sz="4" w:space="0" w:color="auto"/>
              <w:right w:val="single" w:sz="4" w:space="0" w:color="auto"/>
            </w:tcBorders>
            <w:hideMark/>
          </w:tcPr>
          <w:p>
            <w:pPr>
              <w:jc w:val="both"/>
              <w:rPr>
                <w:rFonts w:cs="Times New Roman"/>
                <w:bCs/>
                <w:noProof/>
              </w:rPr>
            </w:pPr>
            <w:r>
              <w:rPr>
                <w:noProof/>
                <w:color w:val="000000" w:themeColor="text1"/>
              </w:rPr>
              <w:t>1. Posti- ja kulleriteenused</w:t>
            </w:r>
          </w:p>
        </w:tc>
        <w:tc>
          <w:tcPr>
            <w:tcW w:w="2693" w:type="dxa"/>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Direktiivi 97/67/EÜ(</w:t>
            </w:r>
            <w:r>
              <w:rPr>
                <w:rStyle w:val="FootnoteReference"/>
                <w:rFonts w:cs="Times New Roman"/>
                <w:noProof/>
              </w:rPr>
              <w:footnoteReference w:id="29"/>
            </w:r>
            <w:r>
              <w:rPr>
                <w:noProof/>
              </w:rPr>
              <w:t xml:space="preserve">) artikli 2 punktis 1 osutatud postiteenuste osutajad ja kulleriteenuste osutajad </w:t>
            </w:r>
          </w:p>
        </w:tc>
      </w:tr>
      <w:tr>
        <w:tc>
          <w:tcPr>
            <w:tcW w:w="2517" w:type="dxa"/>
            <w:tcBorders>
              <w:top w:val="single" w:sz="4" w:space="0" w:color="auto"/>
              <w:left w:val="nil"/>
              <w:bottom w:val="single" w:sz="4" w:space="0" w:color="auto"/>
              <w:right w:val="single" w:sz="4" w:space="0" w:color="auto"/>
            </w:tcBorders>
            <w:hideMark/>
          </w:tcPr>
          <w:p>
            <w:pPr>
              <w:jc w:val="both"/>
              <w:rPr>
                <w:rFonts w:cs="Times New Roman"/>
                <w:bCs/>
                <w:noProof/>
              </w:rPr>
            </w:pPr>
            <w:r>
              <w:rPr>
                <w:noProof/>
                <w:color w:val="000000" w:themeColor="text1"/>
              </w:rPr>
              <w:t>2. Jäätmekäitlus</w:t>
            </w:r>
          </w:p>
        </w:tc>
        <w:tc>
          <w:tcPr>
            <w:tcW w:w="2693" w:type="dxa"/>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Ettevõtjad, kes tegelevad direktiivi 2008/98/EÜ(</w:t>
            </w:r>
            <w:r>
              <w:rPr>
                <w:rStyle w:val="FootnoteReference"/>
                <w:rFonts w:cs="Times New Roman"/>
                <w:noProof/>
              </w:rPr>
              <w:footnoteReference w:id="30"/>
            </w:r>
            <w:r>
              <w:rPr>
                <w:noProof/>
              </w:rPr>
              <w:t>) artikli 3 punktis 9 osutatud jäätmekäitlusega, välja arvatud ettevõtjad, kelle põhitegevus ei ole jäätmekäitlus</w:t>
            </w:r>
          </w:p>
        </w:tc>
      </w:tr>
      <w:tr>
        <w:tc>
          <w:tcPr>
            <w:tcW w:w="2517" w:type="dxa"/>
            <w:tcBorders>
              <w:top w:val="single" w:sz="4" w:space="0" w:color="auto"/>
              <w:left w:val="nil"/>
              <w:bottom w:val="single" w:sz="4" w:space="0" w:color="auto"/>
              <w:right w:val="single" w:sz="4" w:space="0" w:color="auto"/>
            </w:tcBorders>
            <w:hideMark/>
          </w:tcPr>
          <w:p>
            <w:pPr>
              <w:jc w:val="both"/>
              <w:rPr>
                <w:rFonts w:cs="Times New Roman"/>
                <w:bCs/>
                <w:noProof/>
              </w:rPr>
            </w:pPr>
            <w:r>
              <w:rPr>
                <w:noProof/>
                <w:color w:val="000000" w:themeColor="text1"/>
              </w:rPr>
              <w:t>3. Kemikaalide valmistamine, tootmine ja levitamine</w:t>
            </w:r>
          </w:p>
        </w:tc>
        <w:tc>
          <w:tcPr>
            <w:tcW w:w="2693" w:type="dxa"/>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Ettevõtjad, kes on tegelevad määruse (EÜ) nr 1907/2006(</w:t>
            </w:r>
            <w:r>
              <w:rPr>
                <w:rStyle w:val="FootnoteReference"/>
                <w:rFonts w:cs="Times New Roman"/>
                <w:noProof/>
              </w:rPr>
              <w:footnoteReference w:id="31"/>
            </w:r>
            <w:r>
              <w:rPr>
                <w:noProof/>
              </w:rPr>
              <w:t xml:space="preserve">) artikli 3 punktides 4, 9 ja 14 osutatud ainete ja toodete valmistamise, tootmise ja levitamisega. </w:t>
            </w:r>
          </w:p>
        </w:tc>
      </w:tr>
      <w:tr>
        <w:tc>
          <w:tcPr>
            <w:tcW w:w="2517" w:type="dxa"/>
            <w:tcBorders>
              <w:top w:val="single" w:sz="4" w:space="0" w:color="auto"/>
              <w:left w:val="nil"/>
              <w:bottom w:val="single" w:sz="4" w:space="0" w:color="auto"/>
              <w:right w:val="single" w:sz="4" w:space="0" w:color="auto"/>
            </w:tcBorders>
            <w:hideMark/>
          </w:tcPr>
          <w:p>
            <w:pPr>
              <w:jc w:val="both"/>
              <w:rPr>
                <w:rFonts w:cs="Times New Roman"/>
                <w:bCs/>
                <w:noProof/>
              </w:rPr>
            </w:pPr>
            <w:r>
              <w:rPr>
                <w:noProof/>
                <w:color w:val="000000" w:themeColor="text1"/>
              </w:rPr>
              <w:t>4. Toiduainete tootmine, töötlemine ja turustamine</w:t>
            </w:r>
          </w:p>
        </w:tc>
        <w:tc>
          <w:tcPr>
            <w:tcW w:w="2693" w:type="dxa"/>
            <w:tcBorders>
              <w:top w:val="single" w:sz="4" w:space="0" w:color="auto"/>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Määruse (EÜ) nr 178/2002(</w:t>
            </w:r>
            <w:r>
              <w:rPr>
                <w:rStyle w:val="FootnoteReference"/>
                <w:rFonts w:cs="Times New Roman"/>
                <w:noProof/>
              </w:rPr>
              <w:footnoteReference w:id="32"/>
            </w:r>
            <w:r>
              <w:rPr>
                <w:noProof/>
              </w:rPr>
              <w:t xml:space="preserve">) artikli 3 punktis 2 osutatud toidukäitlemisettevõtjad </w:t>
            </w:r>
          </w:p>
        </w:tc>
      </w:tr>
      <w:tr>
        <w:tc>
          <w:tcPr>
            <w:tcW w:w="2517" w:type="dxa"/>
            <w:vMerge w:val="restart"/>
            <w:tcBorders>
              <w:top w:val="single" w:sz="4" w:space="0" w:color="auto"/>
              <w:left w:val="nil"/>
              <w:right w:val="single" w:sz="4" w:space="0" w:color="auto"/>
            </w:tcBorders>
            <w:hideMark/>
          </w:tcPr>
          <w:p>
            <w:pPr>
              <w:jc w:val="both"/>
              <w:rPr>
                <w:rFonts w:cs="Times New Roman"/>
                <w:bCs/>
                <w:noProof/>
              </w:rPr>
            </w:pPr>
            <w:r>
              <w:rPr>
                <w:noProof/>
                <w:color w:val="000000" w:themeColor="text1"/>
              </w:rPr>
              <w:t>5. Töötlev tööstus</w:t>
            </w:r>
          </w:p>
        </w:tc>
        <w:tc>
          <w:tcPr>
            <w:tcW w:w="2693" w:type="dxa"/>
            <w:tcBorders>
              <w:top w:val="single" w:sz="4" w:space="0" w:color="auto"/>
              <w:left w:val="single" w:sz="4" w:space="0" w:color="auto"/>
              <w:right w:val="single" w:sz="4" w:space="0" w:color="auto"/>
            </w:tcBorders>
          </w:tcPr>
          <w:p>
            <w:pPr>
              <w:jc w:val="both"/>
              <w:rPr>
                <w:rFonts w:cs="Times New Roman"/>
                <w:bCs/>
                <w:noProof/>
              </w:rPr>
            </w:pPr>
            <w:r>
              <w:rPr>
                <w:noProof/>
              </w:rPr>
              <w:t xml:space="preserve">a) Meditsiiniseadmete ja </w:t>
            </w:r>
            <w:r>
              <w:rPr>
                <w:i/>
                <w:noProof/>
              </w:rPr>
              <w:t>in vitro</w:t>
            </w:r>
            <w:r>
              <w:rPr>
                <w:noProof/>
              </w:rPr>
              <w:t xml:space="preserve"> diagnostikameditsiiniseadmete tootmine</w:t>
            </w:r>
          </w:p>
        </w:tc>
        <w:tc>
          <w:tcPr>
            <w:tcW w:w="4077" w:type="dxa"/>
            <w:tcBorders>
              <w:top w:val="single" w:sz="4" w:space="0" w:color="auto"/>
              <w:left w:val="single" w:sz="4" w:space="0" w:color="auto"/>
              <w:right w:val="nil"/>
            </w:tcBorders>
          </w:tcPr>
          <w:p>
            <w:pPr>
              <w:jc w:val="both"/>
              <w:rPr>
                <w:rFonts w:cs="Times New Roman"/>
                <w:bCs/>
                <w:noProof/>
              </w:rPr>
            </w:pPr>
            <w:r>
              <w:rPr>
                <w:noProof/>
              </w:rPr>
              <w:t>Määruse (EL) 2017/745(</w:t>
            </w:r>
            <w:r>
              <w:rPr>
                <w:rStyle w:val="FootnoteReference"/>
                <w:rFonts w:cs="Times New Roman"/>
                <w:noProof/>
              </w:rPr>
              <w:footnoteReference w:id="33"/>
            </w:r>
            <w:r>
              <w:rPr>
                <w:noProof/>
              </w:rPr>
              <w:t>) artikli 2 punktis 1 osutatud meditsiiniseadmeid tootvad üksused ning määruse (EL) 2017/746(</w:t>
            </w:r>
            <w:r>
              <w:rPr>
                <w:rStyle w:val="FootnoteReference"/>
                <w:rFonts w:cs="Times New Roman"/>
                <w:noProof/>
              </w:rPr>
              <w:footnoteReference w:id="34"/>
            </w:r>
            <w:r>
              <w:rPr>
                <w:noProof/>
              </w:rPr>
              <w:t xml:space="preserve">) artikli 2 punktis 2 osutatud </w:t>
            </w:r>
            <w:r>
              <w:rPr>
                <w:i/>
                <w:noProof/>
              </w:rPr>
              <w:t>in vitro</w:t>
            </w:r>
            <w:r>
              <w:rPr>
                <w:noProof/>
              </w:rPr>
              <w:t xml:space="preserve"> diagnostikameditsiiniseadmeid tootvad üksused, välja arvatud 1. lisa punktis 5 nimetatud meditsiiniseadmeid tootvad üksused.</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2693" w:type="dxa"/>
            <w:tcBorders>
              <w:top w:val="single" w:sz="4" w:space="0" w:color="auto"/>
              <w:left w:val="single" w:sz="4" w:space="0" w:color="auto"/>
              <w:bottom w:val="single" w:sz="4" w:space="0" w:color="auto"/>
              <w:right w:val="single" w:sz="4" w:space="0" w:color="auto"/>
            </w:tcBorders>
            <w:hideMark/>
          </w:tcPr>
          <w:p>
            <w:pPr>
              <w:jc w:val="both"/>
              <w:rPr>
                <w:rFonts w:cs="Times New Roman"/>
                <w:bCs/>
                <w:noProof/>
              </w:rPr>
            </w:pPr>
            <w:r>
              <w:rPr>
                <w:noProof/>
              </w:rPr>
              <w:t xml:space="preserve">b) Arvutite, elektroonika- ja optikaseadmete tootmine </w:t>
            </w: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Ettevõtjad, kes tegelevad NACE Rev. 2 C jao jaotises 26 osutatud majandustegevusega</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2693" w:type="dxa"/>
            <w:tcBorders>
              <w:top w:val="single" w:sz="4" w:space="0" w:color="auto"/>
              <w:left w:val="single" w:sz="4" w:space="0" w:color="auto"/>
              <w:bottom w:val="single" w:sz="4" w:space="0" w:color="auto"/>
              <w:right w:val="single" w:sz="4" w:space="0" w:color="auto"/>
            </w:tcBorders>
            <w:hideMark/>
          </w:tcPr>
          <w:p>
            <w:pPr>
              <w:jc w:val="both"/>
              <w:rPr>
                <w:rFonts w:cs="Times New Roman"/>
                <w:bCs/>
                <w:noProof/>
              </w:rPr>
            </w:pPr>
            <w:r>
              <w:rPr>
                <w:noProof/>
              </w:rPr>
              <w:t>c) Elektriseadmete tootmine</w:t>
            </w: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Ettevõtjad, kes tegelevad NACE Rev. 2 C jao jaotises 27 osutatud majandustegevusega</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2693" w:type="dxa"/>
            <w:tcBorders>
              <w:top w:val="single" w:sz="4" w:space="0" w:color="auto"/>
              <w:left w:val="single" w:sz="4" w:space="0" w:color="auto"/>
              <w:bottom w:val="single" w:sz="4" w:space="0" w:color="auto"/>
              <w:right w:val="single" w:sz="4" w:space="0" w:color="auto"/>
            </w:tcBorders>
            <w:hideMark/>
          </w:tcPr>
          <w:p>
            <w:pPr>
              <w:jc w:val="both"/>
              <w:rPr>
                <w:rFonts w:cs="Times New Roman"/>
                <w:bCs/>
                <w:noProof/>
              </w:rPr>
            </w:pPr>
            <w:r>
              <w:rPr>
                <w:noProof/>
              </w:rPr>
              <w:t>d) Mujal liigitamata masinate ja seadmete tootmine</w:t>
            </w: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Ettevõtjad, kes tegelevad NACE Rev. 2 C jao jaotises 28 osutatud majandustegevusega</w:t>
            </w:r>
          </w:p>
        </w:tc>
      </w:tr>
      <w:tr>
        <w:trPr>
          <w:trHeight w:val="38"/>
        </w:trPr>
        <w:tc>
          <w:tcPr>
            <w:tcW w:w="0" w:type="auto"/>
            <w:vMerge/>
            <w:tcBorders>
              <w:left w:val="nil"/>
              <w:right w:val="single" w:sz="4" w:space="0" w:color="auto"/>
            </w:tcBorders>
            <w:vAlign w:val="center"/>
            <w:hideMark/>
          </w:tcPr>
          <w:p>
            <w:pPr>
              <w:jc w:val="both"/>
              <w:rPr>
                <w:rFonts w:cs="Times New Roman"/>
                <w:noProof/>
                <w:szCs w:val="24"/>
              </w:rPr>
            </w:pPr>
          </w:p>
        </w:tc>
        <w:tc>
          <w:tcPr>
            <w:tcW w:w="2693" w:type="dxa"/>
            <w:tcBorders>
              <w:top w:val="single" w:sz="4" w:space="0" w:color="auto"/>
              <w:left w:val="single" w:sz="4" w:space="0" w:color="auto"/>
              <w:bottom w:val="single" w:sz="4" w:space="0" w:color="auto"/>
              <w:right w:val="single" w:sz="4" w:space="0" w:color="auto"/>
            </w:tcBorders>
            <w:hideMark/>
          </w:tcPr>
          <w:p>
            <w:pPr>
              <w:jc w:val="both"/>
              <w:rPr>
                <w:rFonts w:cs="Times New Roman"/>
                <w:bCs/>
                <w:noProof/>
              </w:rPr>
            </w:pPr>
            <w:r>
              <w:rPr>
                <w:noProof/>
              </w:rPr>
              <w:t>e) Mootorsõidukite, haagiste ja poolhaagiste tootmine</w:t>
            </w: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Ettevõtjad, kes tegelevad NACE Rev. 2 C jao jaotises 29 osutatud majandustegevusega</w:t>
            </w:r>
          </w:p>
        </w:tc>
      </w:tr>
      <w:tr>
        <w:trPr>
          <w:trHeight w:val="38"/>
        </w:trPr>
        <w:tc>
          <w:tcPr>
            <w:tcW w:w="0" w:type="auto"/>
            <w:vMerge/>
            <w:tcBorders>
              <w:left w:val="nil"/>
              <w:bottom w:val="single" w:sz="4" w:space="0" w:color="auto"/>
              <w:right w:val="single" w:sz="4" w:space="0" w:color="auto"/>
            </w:tcBorders>
            <w:vAlign w:val="center"/>
            <w:hideMark/>
          </w:tcPr>
          <w:p>
            <w:pPr>
              <w:jc w:val="both"/>
              <w:rPr>
                <w:rFonts w:cs="Times New Roman"/>
                <w:noProof/>
                <w:szCs w:val="24"/>
              </w:rPr>
            </w:pPr>
          </w:p>
        </w:tc>
        <w:tc>
          <w:tcPr>
            <w:tcW w:w="2693" w:type="dxa"/>
            <w:tcBorders>
              <w:top w:val="single" w:sz="4" w:space="0" w:color="auto"/>
              <w:left w:val="single" w:sz="4" w:space="0" w:color="auto"/>
              <w:bottom w:val="single" w:sz="4" w:space="0" w:color="auto"/>
              <w:right w:val="single" w:sz="4" w:space="0" w:color="auto"/>
            </w:tcBorders>
            <w:hideMark/>
          </w:tcPr>
          <w:p>
            <w:pPr>
              <w:jc w:val="both"/>
              <w:rPr>
                <w:rFonts w:cs="Times New Roman"/>
                <w:bCs/>
                <w:noProof/>
              </w:rPr>
            </w:pPr>
            <w:r>
              <w:rPr>
                <w:noProof/>
              </w:rPr>
              <w:t>f) Muude transpordivahendite tootmine</w:t>
            </w:r>
          </w:p>
        </w:tc>
        <w:tc>
          <w:tcPr>
            <w:tcW w:w="4077" w:type="dxa"/>
            <w:tcBorders>
              <w:top w:val="single" w:sz="4" w:space="0" w:color="auto"/>
              <w:left w:val="single" w:sz="4" w:space="0" w:color="auto"/>
              <w:bottom w:val="single" w:sz="4" w:space="0" w:color="auto"/>
              <w:right w:val="nil"/>
            </w:tcBorders>
            <w:hideMark/>
          </w:tcPr>
          <w:p>
            <w:pPr>
              <w:jc w:val="both"/>
              <w:rPr>
                <w:rFonts w:cs="Times New Roman"/>
                <w:bCs/>
                <w:noProof/>
              </w:rPr>
            </w:pPr>
            <w:r>
              <w:rPr>
                <w:noProof/>
              </w:rPr>
              <w:t>Ettevõtjad, kes tegelevad NACE Rev. 2 C jao jaotises 30 osutatud majandustegevusega</w:t>
            </w:r>
          </w:p>
        </w:tc>
      </w:tr>
      <w:tr>
        <w:tc>
          <w:tcPr>
            <w:tcW w:w="2517" w:type="dxa"/>
            <w:vMerge w:val="restart"/>
            <w:tcBorders>
              <w:top w:val="single" w:sz="4" w:space="0" w:color="auto"/>
              <w:left w:val="nil"/>
              <w:right w:val="single" w:sz="4" w:space="0" w:color="auto"/>
            </w:tcBorders>
            <w:hideMark/>
          </w:tcPr>
          <w:p>
            <w:pPr>
              <w:jc w:val="both"/>
              <w:rPr>
                <w:rFonts w:eastAsiaTheme="minorEastAsia" w:cs="Times New Roman"/>
                <w:noProof/>
                <w:color w:val="000000" w:themeColor="text1"/>
                <w:kern w:val="24"/>
              </w:rPr>
            </w:pPr>
            <w:r>
              <w:rPr>
                <w:noProof/>
                <w:color w:val="000000" w:themeColor="text1"/>
              </w:rPr>
              <w:t>6. Digiteenuste osutajad</w:t>
            </w:r>
          </w:p>
        </w:tc>
        <w:tc>
          <w:tcPr>
            <w:tcW w:w="2693" w:type="dxa"/>
            <w:vMerge w:val="restart"/>
            <w:tcBorders>
              <w:top w:val="single" w:sz="4" w:space="0" w:color="auto"/>
              <w:left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1" w:hanging="321"/>
              <w:jc w:val="both"/>
              <w:rPr>
                <w:rFonts w:cs="Times New Roman"/>
                <w:noProof/>
              </w:rPr>
            </w:pPr>
            <w:r>
              <w:rPr>
                <w:noProof/>
              </w:rPr>
              <w:t>–</w:t>
            </w:r>
            <w:r>
              <w:rPr>
                <w:noProof/>
              </w:rPr>
              <w:tab/>
              <w:t xml:space="preserve">Internetipõhise kauplemiskoha teenuse osutajad </w:t>
            </w:r>
          </w:p>
        </w:tc>
      </w:tr>
      <w:tr>
        <w:tc>
          <w:tcPr>
            <w:tcW w:w="2517" w:type="dxa"/>
            <w:vMerge/>
            <w:tcBorders>
              <w:left w:val="nil"/>
              <w:right w:val="single" w:sz="4" w:space="0" w:color="auto"/>
            </w:tcBorders>
          </w:tcPr>
          <w:p>
            <w:pPr>
              <w:jc w:val="both"/>
              <w:rPr>
                <w:rFonts w:eastAsiaTheme="minorEastAsia" w:cs="Times New Roman"/>
                <w:noProof/>
                <w:color w:val="000000" w:themeColor="text1"/>
                <w:kern w:val="24"/>
                <w:szCs w:val="24"/>
              </w:rPr>
            </w:pPr>
          </w:p>
        </w:tc>
        <w:tc>
          <w:tcPr>
            <w:tcW w:w="2693" w:type="dxa"/>
            <w:vMerge/>
            <w:tcBorders>
              <w:left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1" w:hanging="321"/>
              <w:jc w:val="both"/>
              <w:rPr>
                <w:rFonts w:cs="Times New Roman"/>
                <w:noProof/>
              </w:rPr>
            </w:pPr>
            <w:r>
              <w:rPr>
                <w:noProof/>
              </w:rPr>
              <w:t>–</w:t>
            </w:r>
            <w:r>
              <w:rPr>
                <w:noProof/>
              </w:rPr>
              <w:tab/>
              <w:t>Internetipõhise otsingumootori teenuse osutajad</w:t>
            </w:r>
          </w:p>
        </w:tc>
      </w:tr>
      <w:tr>
        <w:tc>
          <w:tcPr>
            <w:tcW w:w="2517" w:type="dxa"/>
            <w:vMerge/>
            <w:tcBorders>
              <w:left w:val="nil"/>
              <w:bottom w:val="single" w:sz="4" w:space="0" w:color="auto"/>
              <w:right w:val="single" w:sz="4" w:space="0" w:color="auto"/>
            </w:tcBorders>
          </w:tcPr>
          <w:p>
            <w:pPr>
              <w:jc w:val="both"/>
              <w:rPr>
                <w:rFonts w:eastAsiaTheme="minorEastAsia" w:cs="Times New Roman"/>
                <w:noProof/>
                <w:color w:val="000000" w:themeColor="text1"/>
                <w:kern w:val="24"/>
                <w:szCs w:val="24"/>
              </w:rPr>
            </w:pPr>
          </w:p>
        </w:tc>
        <w:tc>
          <w:tcPr>
            <w:tcW w:w="2693" w:type="dxa"/>
            <w:vMerge/>
            <w:tcBorders>
              <w:left w:val="single" w:sz="4" w:space="0" w:color="auto"/>
              <w:bottom w:val="single" w:sz="4" w:space="0" w:color="auto"/>
              <w:right w:val="single" w:sz="4" w:space="0" w:color="auto"/>
            </w:tcBorders>
          </w:tcPr>
          <w:p>
            <w:pPr>
              <w:jc w:val="both"/>
              <w:rPr>
                <w:rFonts w:cs="Times New Roman"/>
                <w:noProof/>
                <w:szCs w:val="24"/>
              </w:rPr>
            </w:pPr>
          </w:p>
        </w:tc>
        <w:tc>
          <w:tcPr>
            <w:tcW w:w="4077" w:type="dxa"/>
            <w:tcBorders>
              <w:top w:val="single" w:sz="4" w:space="0" w:color="auto"/>
              <w:left w:val="single" w:sz="4" w:space="0" w:color="auto"/>
              <w:bottom w:val="single" w:sz="4" w:space="0" w:color="auto"/>
              <w:right w:val="nil"/>
            </w:tcBorders>
            <w:hideMark/>
          </w:tcPr>
          <w:p>
            <w:pPr>
              <w:ind w:left="321" w:hanging="321"/>
              <w:jc w:val="both"/>
              <w:rPr>
                <w:rFonts w:eastAsiaTheme="minorEastAsia" w:cs="Times New Roman"/>
                <w:noProof/>
                <w:color w:val="000000" w:themeColor="text1"/>
                <w:kern w:val="24"/>
              </w:rPr>
            </w:pPr>
            <w:r>
              <w:rPr>
                <w:noProof/>
              </w:rPr>
              <w:t>–</w:t>
            </w:r>
            <w:r>
              <w:rPr>
                <w:noProof/>
              </w:rPr>
              <w:tab/>
              <w:t>Sotsiaalvõrguteenuse platvormi pakkujad</w:t>
            </w:r>
          </w:p>
        </w:tc>
      </w:tr>
    </w:tbl>
    <w:p>
      <w:pPr>
        <w:jc w:val="both"/>
        <w:rPr>
          <w:rFonts w:cs="Times New Roman"/>
          <w:noProof/>
          <w:szCs w:val="24"/>
        </w:rPr>
      </w:pPr>
      <w:bookmarkStart w:id="2" w:name="DQCErrorScope5EAE8832543E47F38B62801CAF3"/>
      <w:bookmarkEnd w:id="2"/>
    </w:p>
    <w:p>
      <w:pPr>
        <w:rPr>
          <w:rFonts w:cs="Times New Roman"/>
          <w:noProof/>
          <w:szCs w:val="24"/>
        </w:rPr>
      </w:pPr>
      <w:r>
        <w:rPr>
          <w:noProof/>
        </w:rPr>
        <w:br w:type="page"/>
      </w:r>
    </w:p>
    <w:p>
      <w:pPr>
        <w:spacing w:after="200"/>
        <w:jc w:val="center"/>
        <w:rPr>
          <w:rFonts w:cs="Times New Roman"/>
          <w:i/>
          <w:iCs/>
          <w:noProof/>
        </w:rPr>
      </w:pPr>
      <w:r>
        <w:rPr>
          <w:i/>
          <w:noProof/>
        </w:rPr>
        <w:t>III LISA</w:t>
      </w:r>
    </w:p>
    <w:p>
      <w:pPr>
        <w:spacing w:after="200" w:line="276" w:lineRule="auto"/>
        <w:jc w:val="center"/>
        <w:rPr>
          <w:rFonts w:cs="Times New Roman"/>
          <w:b/>
          <w:bCs/>
          <w:i/>
          <w:iCs/>
          <w:noProof/>
        </w:rPr>
      </w:pPr>
      <w:r>
        <w:rPr>
          <w:b/>
          <w:i/>
          <w:noProof/>
        </w:rPr>
        <w:t>VASTAVUSTABEL</w:t>
      </w:r>
    </w:p>
    <w:p>
      <w:pPr>
        <w:spacing w:after="200" w:line="276" w:lineRule="auto"/>
        <w:jc w:val="both"/>
        <w:rPr>
          <w:rFonts w:cs="Times New Roman"/>
          <w:b/>
          <w:i/>
          <w:noProof/>
          <w:szCs w:val="24"/>
          <w:lang w:val="en-GB"/>
        </w:rPr>
      </w:pPr>
    </w:p>
    <w:tbl>
      <w:tblPr>
        <w:tblStyle w:val="TableGrid"/>
        <w:tblW w:w="0" w:type="auto"/>
        <w:tblLook w:val="04A0" w:firstRow="1" w:lastRow="0" w:firstColumn="1" w:lastColumn="0" w:noHBand="0" w:noVBand="1"/>
      </w:tblPr>
      <w:tblGrid>
        <w:gridCol w:w="4643"/>
        <w:gridCol w:w="4644"/>
      </w:tblGrid>
      <w:tr>
        <w:tc>
          <w:tcPr>
            <w:tcW w:w="4644" w:type="dxa"/>
          </w:tcPr>
          <w:p>
            <w:pPr>
              <w:spacing w:after="200" w:line="276" w:lineRule="auto"/>
              <w:jc w:val="both"/>
              <w:rPr>
                <w:rFonts w:cs="Times New Roman"/>
                <w:b/>
                <w:bCs/>
                <w:noProof/>
              </w:rPr>
            </w:pPr>
            <w:r>
              <w:rPr>
                <w:b/>
                <w:noProof/>
              </w:rPr>
              <w:t>Direktiiv (EL) 2016/1148</w:t>
            </w:r>
          </w:p>
        </w:tc>
        <w:tc>
          <w:tcPr>
            <w:tcW w:w="4645" w:type="dxa"/>
          </w:tcPr>
          <w:p>
            <w:pPr>
              <w:spacing w:after="200" w:line="276" w:lineRule="auto"/>
              <w:jc w:val="both"/>
              <w:rPr>
                <w:rFonts w:cs="Times New Roman"/>
                <w:b/>
                <w:bCs/>
                <w:noProof/>
              </w:rPr>
            </w:pPr>
            <w:r>
              <w:rPr>
                <w:b/>
                <w:noProof/>
              </w:rPr>
              <w:t>Käesolev direktiiv</w:t>
            </w:r>
          </w:p>
        </w:tc>
      </w:tr>
      <w:tr>
        <w:tc>
          <w:tcPr>
            <w:tcW w:w="4644" w:type="dxa"/>
          </w:tcPr>
          <w:p>
            <w:pPr>
              <w:spacing w:after="200" w:line="276" w:lineRule="auto"/>
              <w:jc w:val="both"/>
              <w:rPr>
                <w:rFonts w:cs="Times New Roman"/>
                <w:noProof/>
              </w:rPr>
            </w:pPr>
            <w:r>
              <w:rPr>
                <w:noProof/>
              </w:rPr>
              <w:t>Artikli 1 lõige 1</w:t>
            </w:r>
          </w:p>
        </w:tc>
        <w:tc>
          <w:tcPr>
            <w:tcW w:w="4645" w:type="dxa"/>
          </w:tcPr>
          <w:p>
            <w:pPr>
              <w:spacing w:after="200" w:line="276" w:lineRule="auto"/>
              <w:jc w:val="both"/>
              <w:rPr>
                <w:rFonts w:cs="Times New Roman"/>
                <w:noProof/>
              </w:rPr>
            </w:pPr>
            <w:r>
              <w:rPr>
                <w:noProof/>
              </w:rPr>
              <w:t>Artikli 1 lõige 1</w:t>
            </w:r>
          </w:p>
        </w:tc>
      </w:tr>
      <w:tr>
        <w:tc>
          <w:tcPr>
            <w:tcW w:w="4644" w:type="dxa"/>
          </w:tcPr>
          <w:p>
            <w:pPr>
              <w:spacing w:after="200" w:line="276" w:lineRule="auto"/>
              <w:jc w:val="both"/>
              <w:rPr>
                <w:rFonts w:cs="Times New Roman"/>
                <w:noProof/>
              </w:rPr>
            </w:pPr>
            <w:r>
              <w:rPr>
                <w:noProof/>
              </w:rPr>
              <w:t>Artikli 1 lõige 2</w:t>
            </w:r>
          </w:p>
        </w:tc>
        <w:tc>
          <w:tcPr>
            <w:tcW w:w="4645" w:type="dxa"/>
          </w:tcPr>
          <w:p>
            <w:pPr>
              <w:spacing w:after="200" w:line="276" w:lineRule="auto"/>
              <w:jc w:val="both"/>
              <w:rPr>
                <w:rFonts w:cs="Times New Roman"/>
                <w:noProof/>
              </w:rPr>
            </w:pPr>
            <w:r>
              <w:rPr>
                <w:noProof/>
              </w:rPr>
              <w:t>Artikli 1 lõige 2</w:t>
            </w:r>
          </w:p>
        </w:tc>
      </w:tr>
      <w:tr>
        <w:tc>
          <w:tcPr>
            <w:tcW w:w="4644" w:type="dxa"/>
          </w:tcPr>
          <w:p>
            <w:pPr>
              <w:spacing w:after="200" w:line="276" w:lineRule="auto"/>
              <w:jc w:val="both"/>
              <w:rPr>
                <w:rFonts w:cs="Times New Roman"/>
                <w:noProof/>
              </w:rPr>
            </w:pPr>
            <w:r>
              <w:rPr>
                <w:noProof/>
              </w:rPr>
              <w:t>Artikli 1 lõige 3</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Artikli 1 lõige 4</w:t>
            </w:r>
          </w:p>
        </w:tc>
        <w:tc>
          <w:tcPr>
            <w:tcW w:w="4645" w:type="dxa"/>
          </w:tcPr>
          <w:p>
            <w:pPr>
              <w:spacing w:after="200" w:line="276" w:lineRule="auto"/>
              <w:jc w:val="both"/>
              <w:rPr>
                <w:rFonts w:cs="Times New Roman"/>
                <w:noProof/>
              </w:rPr>
            </w:pPr>
            <w:r>
              <w:rPr>
                <w:noProof/>
              </w:rPr>
              <w:t>Artikli 2 lõige 4</w:t>
            </w:r>
          </w:p>
        </w:tc>
      </w:tr>
      <w:tr>
        <w:tc>
          <w:tcPr>
            <w:tcW w:w="4644" w:type="dxa"/>
          </w:tcPr>
          <w:p>
            <w:pPr>
              <w:spacing w:after="200" w:line="276" w:lineRule="auto"/>
              <w:jc w:val="both"/>
              <w:rPr>
                <w:rFonts w:cs="Times New Roman"/>
                <w:noProof/>
              </w:rPr>
            </w:pPr>
            <w:r>
              <w:rPr>
                <w:noProof/>
              </w:rPr>
              <w:t>Artikli 1 lõige 5</w:t>
            </w:r>
          </w:p>
        </w:tc>
        <w:tc>
          <w:tcPr>
            <w:tcW w:w="4645" w:type="dxa"/>
          </w:tcPr>
          <w:p>
            <w:pPr>
              <w:spacing w:after="200" w:line="276" w:lineRule="auto"/>
              <w:jc w:val="both"/>
              <w:rPr>
                <w:rFonts w:cs="Times New Roman"/>
                <w:noProof/>
              </w:rPr>
            </w:pPr>
            <w:r>
              <w:rPr>
                <w:noProof/>
              </w:rPr>
              <w:t>Artikli 2 lõige 5</w:t>
            </w:r>
          </w:p>
        </w:tc>
      </w:tr>
      <w:tr>
        <w:tc>
          <w:tcPr>
            <w:tcW w:w="4644" w:type="dxa"/>
          </w:tcPr>
          <w:p>
            <w:pPr>
              <w:spacing w:after="200" w:line="276" w:lineRule="auto"/>
              <w:jc w:val="both"/>
              <w:rPr>
                <w:rFonts w:cs="Times New Roman"/>
                <w:noProof/>
              </w:rPr>
            </w:pPr>
            <w:r>
              <w:rPr>
                <w:noProof/>
              </w:rPr>
              <w:t>Artikli 1 lõige 6</w:t>
            </w:r>
          </w:p>
        </w:tc>
        <w:tc>
          <w:tcPr>
            <w:tcW w:w="4645" w:type="dxa"/>
          </w:tcPr>
          <w:p>
            <w:pPr>
              <w:spacing w:after="200" w:line="276" w:lineRule="auto"/>
              <w:jc w:val="both"/>
              <w:rPr>
                <w:rFonts w:cs="Times New Roman"/>
                <w:noProof/>
              </w:rPr>
            </w:pPr>
            <w:r>
              <w:rPr>
                <w:noProof/>
              </w:rPr>
              <w:t>Artikli 2 lõige 3</w:t>
            </w:r>
          </w:p>
        </w:tc>
      </w:tr>
      <w:tr>
        <w:tc>
          <w:tcPr>
            <w:tcW w:w="4644" w:type="dxa"/>
          </w:tcPr>
          <w:p>
            <w:pPr>
              <w:spacing w:after="200" w:line="276" w:lineRule="auto"/>
              <w:jc w:val="both"/>
              <w:rPr>
                <w:rFonts w:cs="Times New Roman"/>
                <w:noProof/>
              </w:rPr>
            </w:pPr>
            <w:r>
              <w:rPr>
                <w:noProof/>
              </w:rPr>
              <w:t>Artikli 1 lõige 7</w:t>
            </w:r>
          </w:p>
        </w:tc>
        <w:tc>
          <w:tcPr>
            <w:tcW w:w="4645" w:type="dxa"/>
          </w:tcPr>
          <w:p>
            <w:pPr>
              <w:spacing w:after="200" w:line="276" w:lineRule="auto"/>
              <w:jc w:val="both"/>
              <w:rPr>
                <w:rFonts w:cs="Times New Roman"/>
                <w:noProof/>
              </w:rPr>
            </w:pPr>
            <w:r>
              <w:rPr>
                <w:noProof/>
              </w:rPr>
              <w:t>Artikli 2 lõige 6</w:t>
            </w:r>
          </w:p>
        </w:tc>
      </w:tr>
      <w:tr>
        <w:tc>
          <w:tcPr>
            <w:tcW w:w="4644" w:type="dxa"/>
          </w:tcPr>
          <w:p>
            <w:pPr>
              <w:spacing w:after="200" w:line="276" w:lineRule="auto"/>
              <w:jc w:val="both"/>
              <w:rPr>
                <w:rFonts w:cs="Times New Roman"/>
                <w:noProof/>
              </w:rPr>
            </w:pPr>
            <w:r>
              <w:rPr>
                <w:noProof/>
              </w:rPr>
              <w:t>Artikkel 2</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Artikkel 3</w:t>
            </w:r>
          </w:p>
        </w:tc>
        <w:tc>
          <w:tcPr>
            <w:tcW w:w="4645" w:type="dxa"/>
          </w:tcPr>
          <w:p>
            <w:pPr>
              <w:spacing w:after="200" w:line="276" w:lineRule="auto"/>
              <w:jc w:val="both"/>
              <w:rPr>
                <w:rFonts w:cs="Times New Roman"/>
                <w:noProof/>
              </w:rPr>
            </w:pPr>
            <w:r>
              <w:rPr>
                <w:noProof/>
              </w:rPr>
              <w:t>Artikkel 3</w:t>
            </w:r>
          </w:p>
        </w:tc>
      </w:tr>
      <w:tr>
        <w:tc>
          <w:tcPr>
            <w:tcW w:w="4644" w:type="dxa"/>
          </w:tcPr>
          <w:p>
            <w:pPr>
              <w:spacing w:after="200" w:line="276" w:lineRule="auto"/>
              <w:jc w:val="both"/>
              <w:rPr>
                <w:rFonts w:cs="Times New Roman"/>
                <w:noProof/>
              </w:rPr>
            </w:pPr>
            <w:r>
              <w:rPr>
                <w:noProof/>
              </w:rPr>
              <w:t>Artikkel 4</w:t>
            </w:r>
          </w:p>
        </w:tc>
        <w:tc>
          <w:tcPr>
            <w:tcW w:w="4645" w:type="dxa"/>
          </w:tcPr>
          <w:p>
            <w:pPr>
              <w:spacing w:after="200" w:line="276" w:lineRule="auto"/>
              <w:jc w:val="both"/>
              <w:rPr>
                <w:rFonts w:cs="Times New Roman"/>
                <w:noProof/>
              </w:rPr>
            </w:pPr>
            <w:r>
              <w:rPr>
                <w:noProof/>
              </w:rPr>
              <w:t>Artikkel 4</w:t>
            </w:r>
          </w:p>
        </w:tc>
      </w:tr>
      <w:tr>
        <w:tc>
          <w:tcPr>
            <w:tcW w:w="4644" w:type="dxa"/>
          </w:tcPr>
          <w:p>
            <w:pPr>
              <w:spacing w:after="200" w:line="276" w:lineRule="auto"/>
              <w:jc w:val="both"/>
              <w:rPr>
                <w:rFonts w:cs="Times New Roman"/>
                <w:noProof/>
              </w:rPr>
            </w:pPr>
            <w:r>
              <w:rPr>
                <w:noProof/>
              </w:rPr>
              <w:t>Artikkel 5</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Artikkel 6</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Artikli 7 lõige 1</w:t>
            </w:r>
          </w:p>
        </w:tc>
        <w:tc>
          <w:tcPr>
            <w:tcW w:w="4645" w:type="dxa"/>
          </w:tcPr>
          <w:p>
            <w:pPr>
              <w:spacing w:after="200" w:line="276" w:lineRule="auto"/>
              <w:jc w:val="both"/>
              <w:rPr>
                <w:rFonts w:cs="Times New Roman"/>
                <w:noProof/>
              </w:rPr>
            </w:pPr>
            <w:r>
              <w:rPr>
                <w:noProof/>
              </w:rPr>
              <w:t>Artikli 5 lõige 1</w:t>
            </w:r>
          </w:p>
        </w:tc>
      </w:tr>
      <w:tr>
        <w:tc>
          <w:tcPr>
            <w:tcW w:w="4644" w:type="dxa"/>
          </w:tcPr>
          <w:p>
            <w:pPr>
              <w:spacing w:after="200" w:line="276" w:lineRule="auto"/>
              <w:jc w:val="both"/>
              <w:rPr>
                <w:rFonts w:cs="Times New Roman"/>
                <w:noProof/>
              </w:rPr>
            </w:pPr>
            <w:r>
              <w:rPr>
                <w:noProof/>
              </w:rPr>
              <w:t>Artikli 7 lõige 2</w:t>
            </w:r>
          </w:p>
        </w:tc>
        <w:tc>
          <w:tcPr>
            <w:tcW w:w="4645" w:type="dxa"/>
          </w:tcPr>
          <w:p>
            <w:pPr>
              <w:spacing w:after="200" w:line="276" w:lineRule="auto"/>
              <w:jc w:val="both"/>
              <w:rPr>
                <w:rFonts w:cs="Times New Roman"/>
                <w:noProof/>
              </w:rPr>
            </w:pPr>
            <w:r>
              <w:rPr>
                <w:noProof/>
              </w:rPr>
              <w:t>Artikli 5 lõige 4</w:t>
            </w:r>
          </w:p>
        </w:tc>
      </w:tr>
      <w:tr>
        <w:tc>
          <w:tcPr>
            <w:tcW w:w="4644" w:type="dxa"/>
          </w:tcPr>
          <w:p>
            <w:pPr>
              <w:spacing w:after="200" w:line="276" w:lineRule="auto"/>
              <w:jc w:val="both"/>
              <w:rPr>
                <w:rFonts w:cs="Times New Roman"/>
                <w:noProof/>
              </w:rPr>
            </w:pPr>
            <w:r>
              <w:rPr>
                <w:noProof/>
              </w:rPr>
              <w:t>Artikli 7 lõige 3</w:t>
            </w:r>
          </w:p>
        </w:tc>
        <w:tc>
          <w:tcPr>
            <w:tcW w:w="4645" w:type="dxa"/>
          </w:tcPr>
          <w:p>
            <w:pPr>
              <w:spacing w:after="200" w:line="276" w:lineRule="auto"/>
              <w:jc w:val="both"/>
              <w:rPr>
                <w:rFonts w:cs="Times New Roman"/>
                <w:noProof/>
              </w:rPr>
            </w:pPr>
            <w:r>
              <w:rPr>
                <w:noProof/>
              </w:rPr>
              <w:t>Artikli 5 lõige 3</w:t>
            </w:r>
          </w:p>
        </w:tc>
      </w:tr>
      <w:tr>
        <w:tc>
          <w:tcPr>
            <w:tcW w:w="4644" w:type="dxa"/>
          </w:tcPr>
          <w:p>
            <w:pPr>
              <w:spacing w:after="200" w:line="276" w:lineRule="auto"/>
              <w:jc w:val="both"/>
              <w:rPr>
                <w:rFonts w:cs="Times New Roman"/>
                <w:noProof/>
              </w:rPr>
            </w:pPr>
            <w:r>
              <w:rPr>
                <w:noProof/>
              </w:rPr>
              <w:t>Artikli 8 lõiked 1–5</w:t>
            </w:r>
          </w:p>
        </w:tc>
        <w:tc>
          <w:tcPr>
            <w:tcW w:w="4645" w:type="dxa"/>
          </w:tcPr>
          <w:p>
            <w:pPr>
              <w:spacing w:after="200" w:line="276" w:lineRule="auto"/>
              <w:jc w:val="both"/>
              <w:rPr>
                <w:rFonts w:cs="Times New Roman"/>
                <w:noProof/>
              </w:rPr>
            </w:pPr>
            <w:r>
              <w:rPr>
                <w:noProof/>
              </w:rPr>
              <w:t>Artikli 8 lõiked 1–5</w:t>
            </w:r>
          </w:p>
        </w:tc>
      </w:tr>
      <w:tr>
        <w:tc>
          <w:tcPr>
            <w:tcW w:w="4644" w:type="dxa"/>
          </w:tcPr>
          <w:p>
            <w:pPr>
              <w:spacing w:after="200" w:line="276" w:lineRule="auto"/>
              <w:jc w:val="both"/>
              <w:rPr>
                <w:rFonts w:cs="Times New Roman"/>
                <w:noProof/>
              </w:rPr>
            </w:pPr>
            <w:r>
              <w:rPr>
                <w:noProof/>
              </w:rPr>
              <w:t>Artikli 8 lõige 6</w:t>
            </w:r>
          </w:p>
        </w:tc>
        <w:tc>
          <w:tcPr>
            <w:tcW w:w="4645" w:type="dxa"/>
          </w:tcPr>
          <w:p>
            <w:pPr>
              <w:spacing w:after="200" w:line="276" w:lineRule="auto"/>
              <w:jc w:val="both"/>
              <w:rPr>
                <w:rFonts w:cs="Times New Roman"/>
                <w:noProof/>
              </w:rPr>
            </w:pPr>
            <w:r>
              <w:rPr>
                <w:noProof/>
              </w:rPr>
              <w:t>Artikli 11 lõige 4</w:t>
            </w:r>
          </w:p>
        </w:tc>
      </w:tr>
      <w:tr>
        <w:tc>
          <w:tcPr>
            <w:tcW w:w="4644" w:type="dxa"/>
          </w:tcPr>
          <w:p>
            <w:pPr>
              <w:spacing w:after="200" w:line="276" w:lineRule="auto"/>
              <w:jc w:val="both"/>
              <w:rPr>
                <w:rFonts w:cs="Times New Roman"/>
                <w:noProof/>
              </w:rPr>
            </w:pPr>
            <w:r>
              <w:rPr>
                <w:noProof/>
              </w:rPr>
              <w:t>Artikli 8 lõige 7</w:t>
            </w:r>
          </w:p>
        </w:tc>
        <w:tc>
          <w:tcPr>
            <w:tcW w:w="4645" w:type="dxa"/>
          </w:tcPr>
          <w:p>
            <w:pPr>
              <w:spacing w:after="200" w:line="276" w:lineRule="auto"/>
              <w:jc w:val="both"/>
              <w:rPr>
                <w:rFonts w:cs="Times New Roman"/>
                <w:noProof/>
              </w:rPr>
            </w:pPr>
            <w:r>
              <w:rPr>
                <w:noProof/>
              </w:rPr>
              <w:t>Artikli 8 lõige 6</w:t>
            </w:r>
          </w:p>
        </w:tc>
      </w:tr>
      <w:tr>
        <w:tc>
          <w:tcPr>
            <w:tcW w:w="4644" w:type="dxa"/>
          </w:tcPr>
          <w:p>
            <w:pPr>
              <w:spacing w:after="200" w:line="276" w:lineRule="auto"/>
              <w:jc w:val="both"/>
              <w:rPr>
                <w:rFonts w:cs="Times New Roman"/>
                <w:noProof/>
              </w:rPr>
            </w:pPr>
            <w:r>
              <w:rPr>
                <w:noProof/>
              </w:rPr>
              <w:t>Artikli 9 lõiked 1–3</w:t>
            </w:r>
          </w:p>
        </w:tc>
        <w:tc>
          <w:tcPr>
            <w:tcW w:w="4645" w:type="dxa"/>
          </w:tcPr>
          <w:p>
            <w:pPr>
              <w:spacing w:after="200" w:line="276" w:lineRule="auto"/>
              <w:jc w:val="both"/>
              <w:rPr>
                <w:rFonts w:cs="Times New Roman"/>
                <w:noProof/>
              </w:rPr>
            </w:pPr>
            <w:r>
              <w:rPr>
                <w:noProof/>
              </w:rPr>
              <w:t>Artikli 9 lõiked 1–3</w:t>
            </w:r>
          </w:p>
        </w:tc>
      </w:tr>
      <w:tr>
        <w:tc>
          <w:tcPr>
            <w:tcW w:w="4644" w:type="dxa"/>
          </w:tcPr>
          <w:p>
            <w:pPr>
              <w:spacing w:after="200" w:line="276" w:lineRule="auto"/>
              <w:jc w:val="both"/>
              <w:rPr>
                <w:rFonts w:cs="Times New Roman"/>
                <w:noProof/>
              </w:rPr>
            </w:pPr>
            <w:r>
              <w:rPr>
                <w:noProof/>
              </w:rPr>
              <w:t>Artikli 9 lõige 4</w:t>
            </w:r>
          </w:p>
        </w:tc>
        <w:tc>
          <w:tcPr>
            <w:tcW w:w="4645" w:type="dxa"/>
          </w:tcPr>
          <w:p>
            <w:pPr>
              <w:spacing w:after="200" w:line="276" w:lineRule="auto"/>
              <w:jc w:val="both"/>
              <w:rPr>
                <w:rFonts w:cs="Times New Roman"/>
                <w:noProof/>
              </w:rPr>
            </w:pPr>
            <w:r>
              <w:rPr>
                <w:noProof/>
              </w:rPr>
              <w:t>Artikli 9 lõige 7</w:t>
            </w:r>
          </w:p>
        </w:tc>
      </w:tr>
      <w:tr>
        <w:tc>
          <w:tcPr>
            <w:tcW w:w="4644" w:type="dxa"/>
          </w:tcPr>
          <w:p>
            <w:pPr>
              <w:spacing w:after="200" w:line="276" w:lineRule="auto"/>
              <w:jc w:val="both"/>
              <w:rPr>
                <w:rFonts w:cs="Times New Roman"/>
                <w:noProof/>
              </w:rPr>
            </w:pPr>
            <w:r>
              <w:rPr>
                <w:noProof/>
              </w:rPr>
              <w:t>Artikli 9 lõige 5</w:t>
            </w:r>
          </w:p>
        </w:tc>
        <w:tc>
          <w:tcPr>
            <w:tcW w:w="4645" w:type="dxa"/>
          </w:tcPr>
          <w:p>
            <w:pPr>
              <w:spacing w:after="200" w:line="276" w:lineRule="auto"/>
              <w:jc w:val="both"/>
              <w:rPr>
                <w:rFonts w:cs="Times New Roman"/>
                <w:noProof/>
              </w:rPr>
            </w:pPr>
            <w:r>
              <w:rPr>
                <w:noProof/>
              </w:rPr>
              <w:t>Artikli 9 lõige 8</w:t>
            </w:r>
          </w:p>
        </w:tc>
      </w:tr>
      <w:tr>
        <w:tc>
          <w:tcPr>
            <w:tcW w:w="4644" w:type="dxa"/>
          </w:tcPr>
          <w:p>
            <w:pPr>
              <w:spacing w:after="200" w:line="276" w:lineRule="auto"/>
              <w:jc w:val="both"/>
              <w:rPr>
                <w:rFonts w:cs="Times New Roman"/>
                <w:noProof/>
              </w:rPr>
            </w:pPr>
            <w:r>
              <w:rPr>
                <w:noProof/>
              </w:rPr>
              <w:t>Artikli 10 lõiked 1–3</w:t>
            </w:r>
          </w:p>
        </w:tc>
        <w:tc>
          <w:tcPr>
            <w:tcW w:w="4645" w:type="dxa"/>
          </w:tcPr>
          <w:p>
            <w:pPr>
              <w:spacing w:after="200" w:line="276" w:lineRule="auto"/>
              <w:jc w:val="both"/>
              <w:rPr>
                <w:rFonts w:cs="Times New Roman"/>
                <w:noProof/>
              </w:rPr>
            </w:pPr>
            <w:r>
              <w:rPr>
                <w:noProof/>
              </w:rPr>
              <w:t>Artikli 11 lõiked 1–3</w:t>
            </w:r>
          </w:p>
        </w:tc>
      </w:tr>
      <w:tr>
        <w:tc>
          <w:tcPr>
            <w:tcW w:w="4644" w:type="dxa"/>
          </w:tcPr>
          <w:p>
            <w:pPr>
              <w:spacing w:after="200" w:line="276" w:lineRule="auto"/>
              <w:jc w:val="both"/>
              <w:rPr>
                <w:rFonts w:cs="Times New Roman"/>
                <w:noProof/>
              </w:rPr>
            </w:pPr>
            <w:r>
              <w:rPr>
                <w:noProof/>
              </w:rPr>
              <w:t>Artikli 11 lõige 1</w:t>
            </w:r>
          </w:p>
        </w:tc>
        <w:tc>
          <w:tcPr>
            <w:tcW w:w="4645" w:type="dxa"/>
          </w:tcPr>
          <w:p>
            <w:pPr>
              <w:spacing w:after="200" w:line="276" w:lineRule="auto"/>
              <w:jc w:val="both"/>
              <w:rPr>
                <w:rFonts w:cs="Times New Roman"/>
                <w:noProof/>
              </w:rPr>
            </w:pPr>
            <w:r>
              <w:rPr>
                <w:noProof/>
              </w:rPr>
              <w:t>Artikli 12 lõiked 1–2</w:t>
            </w:r>
          </w:p>
        </w:tc>
      </w:tr>
      <w:tr>
        <w:tc>
          <w:tcPr>
            <w:tcW w:w="4644" w:type="dxa"/>
          </w:tcPr>
          <w:p>
            <w:pPr>
              <w:spacing w:after="200" w:line="276" w:lineRule="auto"/>
              <w:jc w:val="both"/>
              <w:rPr>
                <w:rFonts w:cs="Times New Roman"/>
                <w:noProof/>
              </w:rPr>
            </w:pPr>
            <w:r>
              <w:rPr>
                <w:noProof/>
              </w:rPr>
              <w:t>Artikli 11 lõige 2</w:t>
            </w:r>
          </w:p>
        </w:tc>
        <w:tc>
          <w:tcPr>
            <w:tcW w:w="4645" w:type="dxa"/>
          </w:tcPr>
          <w:p>
            <w:pPr>
              <w:spacing w:after="200" w:line="276" w:lineRule="auto"/>
              <w:jc w:val="both"/>
              <w:rPr>
                <w:rFonts w:cs="Times New Roman"/>
                <w:noProof/>
              </w:rPr>
            </w:pPr>
            <w:r>
              <w:rPr>
                <w:noProof/>
              </w:rPr>
              <w:t>Artikli 12 lõige 3</w:t>
            </w:r>
          </w:p>
        </w:tc>
      </w:tr>
      <w:tr>
        <w:tc>
          <w:tcPr>
            <w:tcW w:w="4644" w:type="dxa"/>
          </w:tcPr>
          <w:p>
            <w:pPr>
              <w:spacing w:after="200" w:line="276" w:lineRule="auto"/>
              <w:jc w:val="both"/>
              <w:rPr>
                <w:rFonts w:cs="Times New Roman"/>
                <w:noProof/>
              </w:rPr>
            </w:pPr>
            <w:r>
              <w:rPr>
                <w:noProof/>
              </w:rPr>
              <w:t>Artikli 11 lõige 3</w:t>
            </w:r>
          </w:p>
        </w:tc>
        <w:tc>
          <w:tcPr>
            <w:tcW w:w="4645" w:type="dxa"/>
          </w:tcPr>
          <w:p>
            <w:pPr>
              <w:spacing w:after="200" w:line="276" w:lineRule="auto"/>
              <w:jc w:val="both"/>
              <w:rPr>
                <w:rFonts w:cs="Times New Roman"/>
                <w:noProof/>
              </w:rPr>
            </w:pPr>
            <w:r>
              <w:rPr>
                <w:noProof/>
              </w:rPr>
              <w:t>Artikli 12 lõiked 4 ja 6</w:t>
            </w:r>
          </w:p>
        </w:tc>
      </w:tr>
      <w:tr>
        <w:tc>
          <w:tcPr>
            <w:tcW w:w="4644" w:type="dxa"/>
          </w:tcPr>
          <w:p>
            <w:pPr>
              <w:spacing w:after="200" w:line="276" w:lineRule="auto"/>
              <w:jc w:val="both"/>
              <w:rPr>
                <w:rFonts w:cs="Times New Roman"/>
                <w:noProof/>
              </w:rPr>
            </w:pPr>
            <w:r>
              <w:rPr>
                <w:noProof/>
              </w:rPr>
              <w:t>Artikli 11 lõige 4</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Artikli 11 lõige 5</w:t>
            </w:r>
          </w:p>
        </w:tc>
        <w:tc>
          <w:tcPr>
            <w:tcW w:w="4645" w:type="dxa"/>
          </w:tcPr>
          <w:p>
            <w:pPr>
              <w:spacing w:after="200" w:line="276" w:lineRule="auto"/>
              <w:jc w:val="both"/>
              <w:rPr>
                <w:rFonts w:cs="Times New Roman"/>
                <w:noProof/>
              </w:rPr>
            </w:pPr>
            <w:r>
              <w:rPr>
                <w:noProof/>
              </w:rPr>
              <w:t>Artikli 12 lõige 7</w:t>
            </w:r>
          </w:p>
        </w:tc>
      </w:tr>
      <w:tr>
        <w:tc>
          <w:tcPr>
            <w:tcW w:w="4644" w:type="dxa"/>
          </w:tcPr>
          <w:p>
            <w:pPr>
              <w:spacing w:after="200" w:line="276" w:lineRule="auto"/>
              <w:jc w:val="both"/>
              <w:rPr>
                <w:rFonts w:cs="Times New Roman"/>
                <w:noProof/>
              </w:rPr>
            </w:pPr>
            <w:r>
              <w:rPr>
                <w:noProof/>
              </w:rPr>
              <w:t>Artikli 12 lõiked 1–5</w:t>
            </w:r>
          </w:p>
        </w:tc>
        <w:tc>
          <w:tcPr>
            <w:tcW w:w="4645" w:type="dxa"/>
          </w:tcPr>
          <w:p>
            <w:pPr>
              <w:spacing w:after="200" w:line="276" w:lineRule="auto"/>
              <w:jc w:val="both"/>
              <w:rPr>
                <w:rFonts w:cs="Times New Roman"/>
                <w:noProof/>
              </w:rPr>
            </w:pPr>
            <w:r>
              <w:rPr>
                <w:noProof/>
              </w:rPr>
              <w:t>Artikli 13 lõiked 1–5</w:t>
            </w:r>
          </w:p>
        </w:tc>
      </w:tr>
      <w:tr>
        <w:tc>
          <w:tcPr>
            <w:tcW w:w="4644" w:type="dxa"/>
          </w:tcPr>
          <w:p>
            <w:pPr>
              <w:spacing w:after="200" w:line="276" w:lineRule="auto"/>
              <w:jc w:val="both"/>
              <w:rPr>
                <w:rFonts w:cs="Times New Roman"/>
                <w:noProof/>
              </w:rPr>
            </w:pPr>
            <w:r>
              <w:rPr>
                <w:noProof/>
              </w:rPr>
              <w:t>Artikkel 13</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 xml:space="preserve">Artikli 14 lõige 1 </w:t>
            </w:r>
          </w:p>
        </w:tc>
        <w:tc>
          <w:tcPr>
            <w:tcW w:w="4645" w:type="dxa"/>
          </w:tcPr>
          <w:p>
            <w:pPr>
              <w:spacing w:after="200" w:line="276" w:lineRule="auto"/>
              <w:jc w:val="both"/>
              <w:rPr>
                <w:rFonts w:cs="Times New Roman"/>
                <w:noProof/>
              </w:rPr>
            </w:pPr>
            <w:r>
              <w:rPr>
                <w:noProof/>
              </w:rPr>
              <w:t>Artikli 18 lõige 1</w:t>
            </w:r>
          </w:p>
        </w:tc>
      </w:tr>
      <w:tr>
        <w:tc>
          <w:tcPr>
            <w:tcW w:w="4644" w:type="dxa"/>
          </w:tcPr>
          <w:p>
            <w:pPr>
              <w:spacing w:after="200" w:line="276" w:lineRule="auto"/>
              <w:jc w:val="both"/>
              <w:rPr>
                <w:rFonts w:cs="Times New Roman"/>
                <w:noProof/>
              </w:rPr>
            </w:pPr>
            <w:r>
              <w:rPr>
                <w:noProof/>
              </w:rPr>
              <w:t>Artikli 14 lõige 2</w:t>
            </w:r>
          </w:p>
        </w:tc>
        <w:tc>
          <w:tcPr>
            <w:tcW w:w="4645" w:type="dxa"/>
          </w:tcPr>
          <w:p>
            <w:pPr>
              <w:spacing w:after="200" w:line="276" w:lineRule="auto"/>
              <w:jc w:val="both"/>
              <w:rPr>
                <w:rFonts w:cs="Times New Roman"/>
                <w:noProof/>
              </w:rPr>
            </w:pPr>
            <w:r>
              <w:rPr>
                <w:noProof/>
              </w:rPr>
              <w:t>Artikli 18 lõiked 2–4</w:t>
            </w:r>
          </w:p>
        </w:tc>
      </w:tr>
      <w:tr>
        <w:tc>
          <w:tcPr>
            <w:tcW w:w="4644" w:type="dxa"/>
          </w:tcPr>
          <w:p>
            <w:pPr>
              <w:spacing w:after="200" w:line="276" w:lineRule="auto"/>
              <w:jc w:val="both"/>
              <w:rPr>
                <w:rFonts w:cs="Times New Roman"/>
                <w:noProof/>
              </w:rPr>
            </w:pPr>
            <w:r>
              <w:rPr>
                <w:noProof/>
              </w:rPr>
              <w:t>Artikli 14 lõige 3</w:t>
            </w:r>
          </w:p>
        </w:tc>
        <w:tc>
          <w:tcPr>
            <w:tcW w:w="4645" w:type="dxa"/>
          </w:tcPr>
          <w:p>
            <w:pPr>
              <w:spacing w:after="200" w:line="276" w:lineRule="auto"/>
              <w:jc w:val="both"/>
              <w:rPr>
                <w:rFonts w:cs="Times New Roman"/>
                <w:noProof/>
              </w:rPr>
            </w:pPr>
            <w:r>
              <w:rPr>
                <w:noProof/>
              </w:rPr>
              <w:t>Artikli 20 lõige 1</w:t>
            </w:r>
          </w:p>
        </w:tc>
      </w:tr>
      <w:tr>
        <w:tc>
          <w:tcPr>
            <w:tcW w:w="4644" w:type="dxa"/>
          </w:tcPr>
          <w:p>
            <w:pPr>
              <w:spacing w:after="200" w:line="276" w:lineRule="auto"/>
              <w:jc w:val="both"/>
              <w:rPr>
                <w:rFonts w:cs="Times New Roman"/>
                <w:noProof/>
              </w:rPr>
            </w:pPr>
            <w:r>
              <w:rPr>
                <w:noProof/>
              </w:rPr>
              <w:t>Artikli 14 lõige 4</w:t>
            </w:r>
          </w:p>
        </w:tc>
        <w:tc>
          <w:tcPr>
            <w:tcW w:w="4645" w:type="dxa"/>
          </w:tcPr>
          <w:p>
            <w:pPr>
              <w:spacing w:after="200" w:line="276" w:lineRule="auto"/>
              <w:jc w:val="both"/>
              <w:rPr>
                <w:rFonts w:cs="Times New Roman"/>
                <w:noProof/>
              </w:rPr>
            </w:pPr>
            <w:r>
              <w:rPr>
                <w:noProof/>
              </w:rPr>
              <w:t>Artikli 20 lõige 3</w:t>
            </w:r>
          </w:p>
        </w:tc>
      </w:tr>
      <w:tr>
        <w:tc>
          <w:tcPr>
            <w:tcW w:w="4644" w:type="dxa"/>
          </w:tcPr>
          <w:p>
            <w:pPr>
              <w:spacing w:after="200" w:line="276" w:lineRule="auto"/>
              <w:jc w:val="both"/>
              <w:rPr>
                <w:rFonts w:cs="Times New Roman"/>
                <w:noProof/>
              </w:rPr>
            </w:pPr>
            <w:r>
              <w:rPr>
                <w:noProof/>
              </w:rPr>
              <w:t>Artikli 14 lõige 5</w:t>
            </w:r>
          </w:p>
        </w:tc>
        <w:tc>
          <w:tcPr>
            <w:tcW w:w="4645" w:type="dxa"/>
          </w:tcPr>
          <w:p>
            <w:pPr>
              <w:spacing w:after="200" w:line="276" w:lineRule="auto"/>
              <w:jc w:val="both"/>
              <w:rPr>
                <w:rFonts w:cs="Times New Roman"/>
                <w:noProof/>
              </w:rPr>
            </w:pPr>
            <w:r>
              <w:rPr>
                <w:noProof/>
              </w:rPr>
              <w:t>Artikli 20 lõiked 5, 6 ja 8</w:t>
            </w:r>
          </w:p>
        </w:tc>
      </w:tr>
      <w:tr>
        <w:tc>
          <w:tcPr>
            <w:tcW w:w="4644" w:type="dxa"/>
          </w:tcPr>
          <w:p>
            <w:pPr>
              <w:spacing w:after="200" w:line="276" w:lineRule="auto"/>
              <w:jc w:val="both"/>
              <w:rPr>
                <w:rFonts w:cs="Times New Roman"/>
                <w:noProof/>
              </w:rPr>
            </w:pPr>
            <w:r>
              <w:rPr>
                <w:noProof/>
              </w:rPr>
              <w:t>Artikli 14 lõige 6</w:t>
            </w:r>
          </w:p>
        </w:tc>
        <w:tc>
          <w:tcPr>
            <w:tcW w:w="4645" w:type="dxa"/>
          </w:tcPr>
          <w:p>
            <w:pPr>
              <w:spacing w:after="200" w:line="276" w:lineRule="auto"/>
              <w:jc w:val="both"/>
              <w:rPr>
                <w:rFonts w:cs="Times New Roman"/>
                <w:noProof/>
              </w:rPr>
            </w:pPr>
            <w:r>
              <w:rPr>
                <w:noProof/>
              </w:rPr>
              <w:t>Artikli 20 lõige 7</w:t>
            </w:r>
          </w:p>
        </w:tc>
      </w:tr>
      <w:tr>
        <w:tc>
          <w:tcPr>
            <w:tcW w:w="4644" w:type="dxa"/>
          </w:tcPr>
          <w:p>
            <w:pPr>
              <w:spacing w:after="200" w:line="276" w:lineRule="auto"/>
              <w:jc w:val="both"/>
              <w:rPr>
                <w:rFonts w:cs="Times New Roman"/>
                <w:noProof/>
              </w:rPr>
            </w:pPr>
            <w:r>
              <w:rPr>
                <w:noProof/>
              </w:rPr>
              <w:t>Artikli 14 lõige 7</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Artikli 15 lõige 1</w:t>
            </w:r>
          </w:p>
        </w:tc>
        <w:tc>
          <w:tcPr>
            <w:tcW w:w="4645" w:type="dxa"/>
          </w:tcPr>
          <w:p>
            <w:pPr>
              <w:spacing w:after="200" w:line="276" w:lineRule="auto"/>
              <w:jc w:val="both"/>
              <w:rPr>
                <w:rFonts w:cs="Times New Roman"/>
                <w:noProof/>
              </w:rPr>
            </w:pPr>
            <w:r>
              <w:rPr>
                <w:noProof/>
              </w:rPr>
              <w:t>Artikli 29 lõige 2</w:t>
            </w:r>
          </w:p>
        </w:tc>
      </w:tr>
      <w:tr>
        <w:tc>
          <w:tcPr>
            <w:tcW w:w="4644" w:type="dxa"/>
          </w:tcPr>
          <w:p>
            <w:pPr>
              <w:spacing w:after="200" w:line="276" w:lineRule="auto"/>
              <w:jc w:val="both"/>
              <w:rPr>
                <w:rFonts w:cs="Times New Roman"/>
                <w:noProof/>
              </w:rPr>
            </w:pPr>
            <w:r>
              <w:rPr>
                <w:noProof/>
              </w:rPr>
              <w:t>Artikli 15 lõike 2 punkt a</w:t>
            </w:r>
          </w:p>
        </w:tc>
        <w:tc>
          <w:tcPr>
            <w:tcW w:w="4645" w:type="dxa"/>
          </w:tcPr>
          <w:p>
            <w:pPr>
              <w:spacing w:after="200" w:line="276" w:lineRule="auto"/>
              <w:jc w:val="both"/>
              <w:rPr>
                <w:rFonts w:cs="Times New Roman"/>
                <w:noProof/>
              </w:rPr>
            </w:pPr>
            <w:r>
              <w:rPr>
                <w:noProof/>
              </w:rPr>
              <w:t>Artikli 29 lõike 2 punkt e</w:t>
            </w:r>
          </w:p>
        </w:tc>
      </w:tr>
      <w:tr>
        <w:tc>
          <w:tcPr>
            <w:tcW w:w="4644" w:type="dxa"/>
          </w:tcPr>
          <w:p>
            <w:pPr>
              <w:spacing w:after="200" w:line="276" w:lineRule="auto"/>
              <w:jc w:val="both"/>
              <w:rPr>
                <w:rFonts w:cs="Times New Roman"/>
                <w:noProof/>
              </w:rPr>
            </w:pPr>
            <w:r>
              <w:rPr>
                <w:noProof/>
              </w:rPr>
              <w:t>Artikli 15 lõike 2 punkt b</w:t>
            </w:r>
          </w:p>
        </w:tc>
        <w:tc>
          <w:tcPr>
            <w:tcW w:w="4645" w:type="dxa"/>
          </w:tcPr>
          <w:p>
            <w:pPr>
              <w:spacing w:after="200" w:line="276" w:lineRule="auto"/>
              <w:jc w:val="both"/>
              <w:rPr>
                <w:rFonts w:cs="Times New Roman"/>
                <w:noProof/>
              </w:rPr>
            </w:pPr>
            <w:r>
              <w:rPr>
                <w:noProof/>
              </w:rPr>
              <w:t>Artikli 29 lõike 2 punkt g</w:t>
            </w:r>
          </w:p>
        </w:tc>
      </w:tr>
      <w:tr>
        <w:tc>
          <w:tcPr>
            <w:tcW w:w="4644" w:type="dxa"/>
          </w:tcPr>
          <w:p>
            <w:pPr>
              <w:spacing w:after="200" w:line="276" w:lineRule="auto"/>
              <w:jc w:val="both"/>
              <w:rPr>
                <w:rFonts w:cs="Times New Roman"/>
                <w:noProof/>
              </w:rPr>
            </w:pPr>
            <w:r>
              <w:rPr>
                <w:noProof/>
              </w:rPr>
              <w:t>Artikli 15 lõike 2 teine taane</w:t>
            </w:r>
          </w:p>
        </w:tc>
        <w:tc>
          <w:tcPr>
            <w:tcW w:w="4645" w:type="dxa"/>
          </w:tcPr>
          <w:p>
            <w:pPr>
              <w:spacing w:after="200" w:line="276" w:lineRule="auto"/>
              <w:jc w:val="both"/>
              <w:rPr>
                <w:rFonts w:cs="Times New Roman"/>
                <w:noProof/>
              </w:rPr>
            </w:pPr>
            <w:r>
              <w:rPr>
                <w:noProof/>
              </w:rPr>
              <w:t>Artikli 29 lõige 3</w:t>
            </w:r>
          </w:p>
        </w:tc>
      </w:tr>
      <w:tr>
        <w:tc>
          <w:tcPr>
            <w:tcW w:w="4644" w:type="dxa"/>
          </w:tcPr>
          <w:p>
            <w:pPr>
              <w:spacing w:after="200" w:line="276" w:lineRule="auto"/>
              <w:jc w:val="both"/>
              <w:rPr>
                <w:rFonts w:cs="Times New Roman"/>
                <w:noProof/>
              </w:rPr>
            </w:pPr>
            <w:r>
              <w:rPr>
                <w:noProof/>
              </w:rPr>
              <w:t>Artikli 15 lõige 3</w:t>
            </w:r>
          </w:p>
        </w:tc>
        <w:tc>
          <w:tcPr>
            <w:tcW w:w="4645" w:type="dxa"/>
          </w:tcPr>
          <w:p>
            <w:pPr>
              <w:spacing w:after="200" w:line="276" w:lineRule="auto"/>
              <w:jc w:val="both"/>
              <w:rPr>
                <w:rFonts w:cs="Times New Roman"/>
                <w:noProof/>
              </w:rPr>
            </w:pPr>
            <w:r>
              <w:rPr>
                <w:noProof/>
              </w:rPr>
              <w:t>Artikli 29 lõike 4 punkt b</w:t>
            </w:r>
          </w:p>
        </w:tc>
      </w:tr>
      <w:tr>
        <w:tc>
          <w:tcPr>
            <w:tcW w:w="4644" w:type="dxa"/>
          </w:tcPr>
          <w:p>
            <w:pPr>
              <w:spacing w:after="200" w:line="276" w:lineRule="auto"/>
              <w:jc w:val="both"/>
              <w:rPr>
                <w:rFonts w:cs="Times New Roman"/>
                <w:noProof/>
              </w:rPr>
            </w:pPr>
            <w:r>
              <w:rPr>
                <w:noProof/>
              </w:rPr>
              <w:t>Artikli 15 lõige 4</w:t>
            </w:r>
          </w:p>
        </w:tc>
        <w:tc>
          <w:tcPr>
            <w:tcW w:w="4645" w:type="dxa"/>
          </w:tcPr>
          <w:p>
            <w:pPr>
              <w:spacing w:after="200" w:line="276" w:lineRule="auto"/>
              <w:jc w:val="both"/>
              <w:rPr>
                <w:rFonts w:cs="Times New Roman"/>
                <w:noProof/>
              </w:rPr>
            </w:pPr>
            <w:r>
              <w:rPr>
                <w:noProof/>
              </w:rPr>
              <w:t>Artikli 28 lõige 2</w:t>
            </w:r>
          </w:p>
        </w:tc>
      </w:tr>
      <w:tr>
        <w:tc>
          <w:tcPr>
            <w:tcW w:w="4644" w:type="dxa"/>
          </w:tcPr>
          <w:p>
            <w:pPr>
              <w:spacing w:after="200" w:line="276" w:lineRule="auto"/>
              <w:jc w:val="both"/>
              <w:rPr>
                <w:rFonts w:cs="Times New Roman"/>
                <w:noProof/>
              </w:rPr>
            </w:pPr>
            <w:r>
              <w:rPr>
                <w:noProof/>
              </w:rPr>
              <w:t>Artikli 16 lõige 1</w:t>
            </w:r>
          </w:p>
        </w:tc>
        <w:tc>
          <w:tcPr>
            <w:tcW w:w="4645" w:type="dxa"/>
          </w:tcPr>
          <w:p>
            <w:pPr>
              <w:spacing w:after="200" w:line="276" w:lineRule="auto"/>
              <w:jc w:val="both"/>
              <w:rPr>
                <w:rFonts w:cs="Times New Roman"/>
                <w:noProof/>
              </w:rPr>
            </w:pPr>
            <w:r>
              <w:rPr>
                <w:noProof/>
              </w:rPr>
              <w:t>Artikli 18 lõiked 1 ja 2</w:t>
            </w:r>
          </w:p>
        </w:tc>
      </w:tr>
      <w:tr>
        <w:tc>
          <w:tcPr>
            <w:tcW w:w="4644" w:type="dxa"/>
          </w:tcPr>
          <w:p>
            <w:pPr>
              <w:tabs>
                <w:tab w:val="left" w:pos="1080"/>
              </w:tabs>
              <w:spacing w:after="200" w:line="276" w:lineRule="auto"/>
              <w:jc w:val="both"/>
              <w:rPr>
                <w:rFonts w:cs="Times New Roman"/>
                <w:noProof/>
              </w:rPr>
            </w:pPr>
            <w:r>
              <w:rPr>
                <w:noProof/>
              </w:rPr>
              <w:t>Artikli 16 lõige 2</w:t>
            </w:r>
          </w:p>
        </w:tc>
        <w:tc>
          <w:tcPr>
            <w:tcW w:w="4645" w:type="dxa"/>
          </w:tcPr>
          <w:p>
            <w:pPr>
              <w:spacing w:after="200" w:line="276" w:lineRule="auto"/>
              <w:jc w:val="both"/>
              <w:rPr>
                <w:rFonts w:cs="Times New Roman"/>
                <w:noProof/>
              </w:rPr>
            </w:pPr>
            <w:r>
              <w:rPr>
                <w:noProof/>
              </w:rPr>
              <w:t>Artikli 18 lõiked 2–4</w:t>
            </w:r>
          </w:p>
        </w:tc>
      </w:tr>
      <w:tr>
        <w:tc>
          <w:tcPr>
            <w:tcW w:w="4644" w:type="dxa"/>
          </w:tcPr>
          <w:p>
            <w:pPr>
              <w:spacing w:after="200" w:line="276" w:lineRule="auto"/>
              <w:jc w:val="both"/>
              <w:rPr>
                <w:rFonts w:cs="Times New Roman"/>
                <w:noProof/>
              </w:rPr>
            </w:pPr>
            <w:r>
              <w:rPr>
                <w:noProof/>
              </w:rPr>
              <w:t>Artikli 16 lõige 3</w:t>
            </w:r>
          </w:p>
        </w:tc>
        <w:tc>
          <w:tcPr>
            <w:tcW w:w="4645" w:type="dxa"/>
          </w:tcPr>
          <w:p>
            <w:pPr>
              <w:spacing w:after="200" w:line="276" w:lineRule="auto"/>
              <w:jc w:val="both"/>
              <w:rPr>
                <w:rFonts w:cs="Times New Roman"/>
                <w:noProof/>
              </w:rPr>
            </w:pPr>
            <w:r>
              <w:rPr>
                <w:noProof/>
              </w:rPr>
              <w:t>Artikli 20 lõige 1</w:t>
            </w:r>
          </w:p>
        </w:tc>
      </w:tr>
      <w:tr>
        <w:tc>
          <w:tcPr>
            <w:tcW w:w="4644" w:type="dxa"/>
          </w:tcPr>
          <w:p>
            <w:pPr>
              <w:spacing w:after="200" w:line="276" w:lineRule="auto"/>
              <w:jc w:val="both"/>
              <w:rPr>
                <w:rFonts w:cs="Times New Roman"/>
                <w:noProof/>
              </w:rPr>
            </w:pPr>
            <w:r>
              <w:rPr>
                <w:noProof/>
              </w:rPr>
              <w:t>Artikli 16 lõige 4</w:t>
            </w:r>
          </w:p>
        </w:tc>
        <w:tc>
          <w:tcPr>
            <w:tcW w:w="4645" w:type="dxa"/>
          </w:tcPr>
          <w:p>
            <w:pPr>
              <w:spacing w:after="200" w:line="276" w:lineRule="auto"/>
              <w:jc w:val="both"/>
              <w:rPr>
                <w:rFonts w:cs="Times New Roman"/>
                <w:noProof/>
              </w:rPr>
            </w:pPr>
            <w:r>
              <w:rPr>
                <w:noProof/>
              </w:rPr>
              <w:t>Artikli 20 lõige 3</w:t>
            </w:r>
          </w:p>
        </w:tc>
      </w:tr>
      <w:tr>
        <w:tc>
          <w:tcPr>
            <w:tcW w:w="4644" w:type="dxa"/>
          </w:tcPr>
          <w:p>
            <w:pPr>
              <w:spacing w:after="200" w:line="276" w:lineRule="auto"/>
              <w:jc w:val="both"/>
              <w:rPr>
                <w:rFonts w:cs="Times New Roman"/>
                <w:noProof/>
              </w:rPr>
            </w:pPr>
            <w:r>
              <w:rPr>
                <w:noProof/>
              </w:rPr>
              <w:t>Artikli 16 lõige 5</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Artikli 16 lõige 6</w:t>
            </w:r>
          </w:p>
        </w:tc>
        <w:tc>
          <w:tcPr>
            <w:tcW w:w="4645" w:type="dxa"/>
          </w:tcPr>
          <w:p>
            <w:pPr>
              <w:spacing w:after="200" w:line="276" w:lineRule="auto"/>
              <w:jc w:val="both"/>
              <w:rPr>
                <w:rFonts w:cs="Times New Roman"/>
                <w:noProof/>
              </w:rPr>
            </w:pPr>
            <w:r>
              <w:rPr>
                <w:noProof/>
              </w:rPr>
              <w:t>Artikli 20 lõige 6</w:t>
            </w:r>
          </w:p>
        </w:tc>
      </w:tr>
      <w:tr>
        <w:tc>
          <w:tcPr>
            <w:tcW w:w="4644" w:type="dxa"/>
          </w:tcPr>
          <w:p>
            <w:pPr>
              <w:spacing w:after="200" w:line="276" w:lineRule="auto"/>
              <w:jc w:val="both"/>
              <w:rPr>
                <w:rFonts w:cs="Times New Roman"/>
                <w:noProof/>
              </w:rPr>
            </w:pPr>
            <w:r>
              <w:rPr>
                <w:noProof/>
              </w:rPr>
              <w:t>Artikli 16 lõige 7</w:t>
            </w:r>
          </w:p>
        </w:tc>
        <w:tc>
          <w:tcPr>
            <w:tcW w:w="4645" w:type="dxa"/>
          </w:tcPr>
          <w:p>
            <w:pPr>
              <w:spacing w:after="200" w:line="276" w:lineRule="auto"/>
              <w:jc w:val="both"/>
              <w:rPr>
                <w:rFonts w:cs="Times New Roman"/>
                <w:noProof/>
              </w:rPr>
            </w:pPr>
            <w:r>
              <w:rPr>
                <w:noProof/>
              </w:rPr>
              <w:t>Artikli 20 lõige 7</w:t>
            </w:r>
          </w:p>
        </w:tc>
      </w:tr>
      <w:tr>
        <w:tc>
          <w:tcPr>
            <w:tcW w:w="4644" w:type="dxa"/>
          </w:tcPr>
          <w:p>
            <w:pPr>
              <w:tabs>
                <w:tab w:val="left" w:pos="1272"/>
              </w:tabs>
              <w:spacing w:after="200" w:line="276" w:lineRule="auto"/>
              <w:jc w:val="both"/>
              <w:rPr>
                <w:rFonts w:cs="Times New Roman"/>
                <w:noProof/>
              </w:rPr>
            </w:pPr>
            <w:r>
              <w:rPr>
                <w:noProof/>
              </w:rPr>
              <w:t>Artikli 16 lõiked 8 ja 9</w:t>
            </w:r>
          </w:p>
        </w:tc>
        <w:tc>
          <w:tcPr>
            <w:tcW w:w="4645" w:type="dxa"/>
          </w:tcPr>
          <w:p>
            <w:pPr>
              <w:spacing w:after="200" w:line="276" w:lineRule="auto"/>
              <w:jc w:val="both"/>
              <w:rPr>
                <w:rFonts w:cs="Times New Roman"/>
                <w:noProof/>
              </w:rPr>
            </w:pPr>
            <w:r>
              <w:rPr>
                <w:noProof/>
              </w:rPr>
              <w:t>Artikli 20 lõige 11</w:t>
            </w:r>
          </w:p>
        </w:tc>
      </w:tr>
      <w:tr>
        <w:tc>
          <w:tcPr>
            <w:tcW w:w="4644" w:type="dxa"/>
          </w:tcPr>
          <w:p>
            <w:pPr>
              <w:spacing w:after="200" w:line="276" w:lineRule="auto"/>
              <w:jc w:val="both"/>
              <w:rPr>
                <w:rFonts w:cs="Times New Roman"/>
                <w:noProof/>
              </w:rPr>
            </w:pPr>
            <w:r>
              <w:rPr>
                <w:noProof/>
              </w:rPr>
              <w:t>Artikli 16 lõige 10</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Artikli 16 lõige 11</w:t>
            </w:r>
          </w:p>
        </w:tc>
        <w:tc>
          <w:tcPr>
            <w:tcW w:w="4645" w:type="dxa"/>
          </w:tcPr>
          <w:p>
            <w:pPr>
              <w:spacing w:after="200" w:line="276" w:lineRule="auto"/>
              <w:jc w:val="both"/>
              <w:rPr>
                <w:rFonts w:cs="Times New Roman"/>
                <w:noProof/>
              </w:rPr>
            </w:pPr>
            <w:r>
              <w:rPr>
                <w:noProof/>
              </w:rPr>
              <w:t>Artikli 2 lõige 1</w:t>
            </w:r>
          </w:p>
        </w:tc>
      </w:tr>
      <w:tr>
        <w:tc>
          <w:tcPr>
            <w:tcW w:w="4644" w:type="dxa"/>
          </w:tcPr>
          <w:p>
            <w:pPr>
              <w:spacing w:after="200" w:line="276" w:lineRule="auto"/>
              <w:jc w:val="both"/>
              <w:rPr>
                <w:rFonts w:cs="Times New Roman"/>
                <w:noProof/>
              </w:rPr>
            </w:pPr>
            <w:r>
              <w:rPr>
                <w:noProof/>
              </w:rPr>
              <w:t>Artikli 17 lõige 1</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Artikli 17 lõike 2 punkt a</w:t>
            </w:r>
          </w:p>
        </w:tc>
        <w:tc>
          <w:tcPr>
            <w:tcW w:w="4645" w:type="dxa"/>
          </w:tcPr>
          <w:p>
            <w:pPr>
              <w:spacing w:after="200" w:line="276" w:lineRule="auto"/>
              <w:jc w:val="both"/>
              <w:rPr>
                <w:rFonts w:cs="Times New Roman"/>
                <w:noProof/>
              </w:rPr>
            </w:pPr>
            <w:r>
              <w:rPr>
                <w:noProof/>
              </w:rPr>
              <w:t>Artikli 29 lõike 2 punkt e</w:t>
            </w:r>
          </w:p>
        </w:tc>
      </w:tr>
      <w:tr>
        <w:tc>
          <w:tcPr>
            <w:tcW w:w="4644" w:type="dxa"/>
          </w:tcPr>
          <w:p>
            <w:pPr>
              <w:spacing w:after="200" w:line="276" w:lineRule="auto"/>
              <w:jc w:val="both"/>
              <w:rPr>
                <w:rFonts w:cs="Times New Roman"/>
                <w:noProof/>
              </w:rPr>
            </w:pPr>
            <w:r>
              <w:rPr>
                <w:noProof/>
              </w:rPr>
              <w:t>Artikli 17 lõike 2 punkt b</w:t>
            </w:r>
          </w:p>
        </w:tc>
        <w:tc>
          <w:tcPr>
            <w:tcW w:w="4645" w:type="dxa"/>
          </w:tcPr>
          <w:p>
            <w:pPr>
              <w:spacing w:after="200" w:line="276" w:lineRule="auto"/>
              <w:jc w:val="both"/>
              <w:rPr>
                <w:rFonts w:cs="Times New Roman"/>
                <w:noProof/>
              </w:rPr>
            </w:pPr>
            <w:r>
              <w:rPr>
                <w:noProof/>
              </w:rPr>
              <w:t>Artikli 29 lõike 4 punkt b</w:t>
            </w:r>
          </w:p>
        </w:tc>
      </w:tr>
      <w:tr>
        <w:tc>
          <w:tcPr>
            <w:tcW w:w="4644" w:type="dxa"/>
          </w:tcPr>
          <w:p>
            <w:pPr>
              <w:spacing w:after="200" w:line="276" w:lineRule="auto"/>
              <w:jc w:val="both"/>
              <w:rPr>
                <w:rFonts w:cs="Times New Roman"/>
                <w:noProof/>
              </w:rPr>
            </w:pPr>
            <w:r>
              <w:rPr>
                <w:noProof/>
              </w:rPr>
              <w:t>Artikli 17 lõige 3</w:t>
            </w:r>
          </w:p>
        </w:tc>
        <w:tc>
          <w:tcPr>
            <w:tcW w:w="4645" w:type="dxa"/>
          </w:tcPr>
          <w:p>
            <w:pPr>
              <w:spacing w:after="200" w:line="276" w:lineRule="auto"/>
              <w:jc w:val="both"/>
              <w:rPr>
                <w:rFonts w:cs="Times New Roman"/>
                <w:noProof/>
              </w:rPr>
            </w:pPr>
            <w:r>
              <w:rPr>
                <w:noProof/>
              </w:rPr>
              <w:t>Artikli 34 lõike 1 punktid a ja b</w:t>
            </w:r>
          </w:p>
        </w:tc>
      </w:tr>
      <w:tr>
        <w:tc>
          <w:tcPr>
            <w:tcW w:w="4644" w:type="dxa"/>
          </w:tcPr>
          <w:p>
            <w:pPr>
              <w:spacing w:after="200" w:line="276" w:lineRule="auto"/>
              <w:jc w:val="both"/>
              <w:rPr>
                <w:rFonts w:cs="Times New Roman"/>
                <w:noProof/>
              </w:rPr>
            </w:pPr>
            <w:r>
              <w:rPr>
                <w:noProof/>
              </w:rPr>
              <w:t>Artikli 18 lõige 1</w:t>
            </w:r>
          </w:p>
        </w:tc>
        <w:tc>
          <w:tcPr>
            <w:tcW w:w="4645" w:type="dxa"/>
          </w:tcPr>
          <w:p>
            <w:pPr>
              <w:spacing w:after="200" w:line="276" w:lineRule="auto"/>
              <w:jc w:val="both"/>
              <w:rPr>
                <w:rFonts w:cs="Times New Roman"/>
                <w:noProof/>
              </w:rPr>
            </w:pPr>
            <w:r>
              <w:rPr>
                <w:noProof/>
              </w:rPr>
              <w:t>Artikli 24 lõiked 1–2</w:t>
            </w:r>
          </w:p>
        </w:tc>
      </w:tr>
      <w:tr>
        <w:tc>
          <w:tcPr>
            <w:tcW w:w="4644" w:type="dxa"/>
          </w:tcPr>
          <w:p>
            <w:pPr>
              <w:spacing w:after="200" w:line="276" w:lineRule="auto"/>
              <w:jc w:val="both"/>
              <w:rPr>
                <w:rFonts w:cs="Times New Roman"/>
                <w:noProof/>
              </w:rPr>
            </w:pPr>
            <w:r>
              <w:rPr>
                <w:noProof/>
              </w:rPr>
              <w:t>Artikli 18 lõige 2</w:t>
            </w:r>
          </w:p>
        </w:tc>
        <w:tc>
          <w:tcPr>
            <w:tcW w:w="4645" w:type="dxa"/>
          </w:tcPr>
          <w:p>
            <w:pPr>
              <w:spacing w:after="200" w:line="276" w:lineRule="auto"/>
              <w:jc w:val="both"/>
              <w:rPr>
                <w:rFonts w:cs="Times New Roman"/>
                <w:noProof/>
              </w:rPr>
            </w:pPr>
            <w:r>
              <w:rPr>
                <w:noProof/>
              </w:rPr>
              <w:t>Artikli 24 lõige 3</w:t>
            </w:r>
          </w:p>
        </w:tc>
      </w:tr>
      <w:tr>
        <w:tc>
          <w:tcPr>
            <w:tcW w:w="4644" w:type="dxa"/>
          </w:tcPr>
          <w:p>
            <w:pPr>
              <w:spacing w:after="200" w:line="276" w:lineRule="auto"/>
              <w:jc w:val="both"/>
              <w:rPr>
                <w:rFonts w:cs="Times New Roman"/>
                <w:noProof/>
              </w:rPr>
            </w:pPr>
            <w:r>
              <w:rPr>
                <w:noProof/>
              </w:rPr>
              <w:t>Artikli 18 lõige 3</w:t>
            </w:r>
          </w:p>
        </w:tc>
        <w:tc>
          <w:tcPr>
            <w:tcW w:w="4645" w:type="dxa"/>
          </w:tcPr>
          <w:p>
            <w:pPr>
              <w:spacing w:after="200" w:line="276" w:lineRule="auto"/>
              <w:jc w:val="both"/>
              <w:rPr>
                <w:rFonts w:cs="Times New Roman"/>
                <w:noProof/>
              </w:rPr>
            </w:pPr>
            <w:r>
              <w:rPr>
                <w:noProof/>
              </w:rPr>
              <w:t>Artikli 24 lõige 4</w:t>
            </w:r>
          </w:p>
        </w:tc>
      </w:tr>
      <w:tr>
        <w:tc>
          <w:tcPr>
            <w:tcW w:w="4644" w:type="dxa"/>
          </w:tcPr>
          <w:p>
            <w:pPr>
              <w:spacing w:after="200" w:line="276" w:lineRule="auto"/>
              <w:jc w:val="both"/>
              <w:rPr>
                <w:rFonts w:cs="Times New Roman"/>
                <w:noProof/>
              </w:rPr>
            </w:pPr>
            <w:r>
              <w:rPr>
                <w:noProof/>
              </w:rPr>
              <w:t>Artikkel 19</w:t>
            </w:r>
          </w:p>
        </w:tc>
        <w:tc>
          <w:tcPr>
            <w:tcW w:w="4645" w:type="dxa"/>
          </w:tcPr>
          <w:p>
            <w:pPr>
              <w:spacing w:after="200" w:line="276" w:lineRule="auto"/>
              <w:jc w:val="both"/>
              <w:rPr>
                <w:rFonts w:cs="Times New Roman"/>
                <w:noProof/>
              </w:rPr>
            </w:pPr>
            <w:r>
              <w:rPr>
                <w:noProof/>
              </w:rPr>
              <w:t>Artikkel 22</w:t>
            </w:r>
          </w:p>
        </w:tc>
      </w:tr>
      <w:tr>
        <w:tc>
          <w:tcPr>
            <w:tcW w:w="4644" w:type="dxa"/>
          </w:tcPr>
          <w:p>
            <w:pPr>
              <w:spacing w:after="200" w:line="276" w:lineRule="auto"/>
              <w:jc w:val="both"/>
              <w:rPr>
                <w:rFonts w:cs="Times New Roman"/>
                <w:noProof/>
              </w:rPr>
            </w:pPr>
            <w:r>
              <w:rPr>
                <w:noProof/>
              </w:rPr>
              <w:t>Artikkel 20</w:t>
            </w:r>
          </w:p>
        </w:tc>
        <w:tc>
          <w:tcPr>
            <w:tcW w:w="4645" w:type="dxa"/>
          </w:tcPr>
          <w:p>
            <w:pPr>
              <w:spacing w:after="200" w:line="276" w:lineRule="auto"/>
              <w:jc w:val="both"/>
              <w:rPr>
                <w:rFonts w:cs="Times New Roman"/>
                <w:noProof/>
              </w:rPr>
            </w:pPr>
            <w:r>
              <w:rPr>
                <w:noProof/>
              </w:rPr>
              <w:t>Artikkel 27</w:t>
            </w:r>
          </w:p>
        </w:tc>
      </w:tr>
      <w:tr>
        <w:tc>
          <w:tcPr>
            <w:tcW w:w="4644" w:type="dxa"/>
          </w:tcPr>
          <w:p>
            <w:pPr>
              <w:spacing w:after="200" w:line="276" w:lineRule="auto"/>
              <w:jc w:val="both"/>
              <w:rPr>
                <w:rFonts w:cs="Times New Roman"/>
                <w:noProof/>
              </w:rPr>
            </w:pPr>
            <w:r>
              <w:rPr>
                <w:noProof/>
              </w:rPr>
              <w:t>Artikkel 21</w:t>
            </w:r>
          </w:p>
        </w:tc>
        <w:tc>
          <w:tcPr>
            <w:tcW w:w="4645" w:type="dxa"/>
          </w:tcPr>
          <w:p>
            <w:pPr>
              <w:spacing w:after="200" w:line="276" w:lineRule="auto"/>
              <w:jc w:val="both"/>
              <w:rPr>
                <w:rFonts w:cs="Times New Roman"/>
                <w:noProof/>
              </w:rPr>
            </w:pPr>
            <w:r>
              <w:rPr>
                <w:noProof/>
              </w:rPr>
              <w:t>Artikkel 33</w:t>
            </w:r>
          </w:p>
        </w:tc>
      </w:tr>
      <w:tr>
        <w:tc>
          <w:tcPr>
            <w:tcW w:w="4644" w:type="dxa"/>
          </w:tcPr>
          <w:p>
            <w:pPr>
              <w:spacing w:after="200" w:line="276" w:lineRule="auto"/>
              <w:jc w:val="both"/>
              <w:rPr>
                <w:rFonts w:cs="Times New Roman"/>
                <w:noProof/>
              </w:rPr>
            </w:pPr>
            <w:r>
              <w:rPr>
                <w:noProof/>
              </w:rPr>
              <w:t>Artikli 22 lõiked 1–2</w:t>
            </w:r>
          </w:p>
        </w:tc>
        <w:tc>
          <w:tcPr>
            <w:tcW w:w="4645" w:type="dxa"/>
          </w:tcPr>
          <w:p>
            <w:pPr>
              <w:spacing w:after="200" w:line="276" w:lineRule="auto"/>
              <w:jc w:val="both"/>
              <w:rPr>
                <w:rFonts w:cs="Times New Roman"/>
                <w:noProof/>
              </w:rPr>
            </w:pPr>
            <w:r>
              <w:rPr>
                <w:noProof/>
              </w:rPr>
              <w:t>Artikli 37 lõiked 1–2</w:t>
            </w:r>
          </w:p>
        </w:tc>
      </w:tr>
      <w:tr>
        <w:tc>
          <w:tcPr>
            <w:tcW w:w="4644" w:type="dxa"/>
          </w:tcPr>
          <w:p>
            <w:pPr>
              <w:spacing w:after="200" w:line="276" w:lineRule="auto"/>
              <w:jc w:val="both"/>
              <w:rPr>
                <w:rFonts w:cs="Times New Roman"/>
                <w:noProof/>
              </w:rPr>
            </w:pPr>
            <w:r>
              <w:rPr>
                <w:noProof/>
              </w:rPr>
              <w:t>Artikkel 23</w:t>
            </w:r>
          </w:p>
        </w:tc>
        <w:tc>
          <w:tcPr>
            <w:tcW w:w="4645" w:type="dxa"/>
          </w:tcPr>
          <w:p>
            <w:pPr>
              <w:spacing w:after="200" w:line="276" w:lineRule="auto"/>
              <w:jc w:val="both"/>
              <w:rPr>
                <w:rFonts w:cs="Times New Roman"/>
                <w:noProof/>
              </w:rPr>
            </w:pPr>
            <w:r>
              <w:rPr>
                <w:noProof/>
              </w:rPr>
              <w:t>Artikkel 35</w:t>
            </w:r>
          </w:p>
        </w:tc>
      </w:tr>
      <w:tr>
        <w:tc>
          <w:tcPr>
            <w:tcW w:w="4644" w:type="dxa"/>
          </w:tcPr>
          <w:p>
            <w:pPr>
              <w:spacing w:after="200" w:line="276" w:lineRule="auto"/>
              <w:jc w:val="both"/>
              <w:rPr>
                <w:rFonts w:cs="Times New Roman"/>
                <w:noProof/>
              </w:rPr>
            </w:pPr>
            <w:r>
              <w:rPr>
                <w:noProof/>
              </w:rPr>
              <w:t>Artikkel 24</w:t>
            </w:r>
          </w:p>
        </w:tc>
        <w:tc>
          <w:tcPr>
            <w:tcW w:w="4645" w:type="dxa"/>
          </w:tcPr>
          <w:p>
            <w:pPr>
              <w:spacing w:after="200" w:line="276" w:lineRule="auto"/>
              <w:jc w:val="both"/>
              <w:rPr>
                <w:rFonts w:cs="Times New Roman"/>
                <w:noProof/>
              </w:rPr>
            </w:pPr>
            <w:r>
              <w:rPr>
                <w:noProof/>
              </w:rPr>
              <w:t>–</w:t>
            </w:r>
          </w:p>
        </w:tc>
      </w:tr>
      <w:tr>
        <w:tc>
          <w:tcPr>
            <w:tcW w:w="4644" w:type="dxa"/>
          </w:tcPr>
          <w:p>
            <w:pPr>
              <w:spacing w:after="200" w:line="276" w:lineRule="auto"/>
              <w:jc w:val="both"/>
              <w:rPr>
                <w:rFonts w:cs="Times New Roman"/>
                <w:noProof/>
              </w:rPr>
            </w:pPr>
            <w:r>
              <w:rPr>
                <w:noProof/>
              </w:rPr>
              <w:t>Artikkel 25</w:t>
            </w:r>
          </w:p>
        </w:tc>
        <w:tc>
          <w:tcPr>
            <w:tcW w:w="4645" w:type="dxa"/>
          </w:tcPr>
          <w:p>
            <w:pPr>
              <w:spacing w:after="200" w:line="276" w:lineRule="auto"/>
              <w:jc w:val="both"/>
              <w:rPr>
                <w:rFonts w:cs="Times New Roman"/>
                <w:noProof/>
              </w:rPr>
            </w:pPr>
            <w:r>
              <w:rPr>
                <w:noProof/>
              </w:rPr>
              <w:t>Artikkel 38</w:t>
            </w:r>
          </w:p>
        </w:tc>
      </w:tr>
      <w:tr>
        <w:tc>
          <w:tcPr>
            <w:tcW w:w="4644" w:type="dxa"/>
          </w:tcPr>
          <w:p>
            <w:pPr>
              <w:spacing w:after="200" w:line="276" w:lineRule="auto"/>
              <w:jc w:val="both"/>
              <w:rPr>
                <w:rFonts w:cs="Times New Roman"/>
                <w:noProof/>
              </w:rPr>
            </w:pPr>
            <w:r>
              <w:rPr>
                <w:noProof/>
              </w:rPr>
              <w:t>Artikkel 26</w:t>
            </w:r>
          </w:p>
        </w:tc>
        <w:tc>
          <w:tcPr>
            <w:tcW w:w="4645" w:type="dxa"/>
          </w:tcPr>
          <w:p>
            <w:pPr>
              <w:spacing w:after="200" w:line="276" w:lineRule="auto"/>
              <w:jc w:val="both"/>
              <w:rPr>
                <w:rFonts w:cs="Times New Roman"/>
                <w:noProof/>
              </w:rPr>
            </w:pPr>
            <w:r>
              <w:rPr>
                <w:noProof/>
              </w:rPr>
              <w:t>Artikkel 42</w:t>
            </w:r>
          </w:p>
        </w:tc>
      </w:tr>
      <w:tr>
        <w:tc>
          <w:tcPr>
            <w:tcW w:w="4644" w:type="dxa"/>
          </w:tcPr>
          <w:p>
            <w:pPr>
              <w:spacing w:after="200" w:line="276" w:lineRule="auto"/>
              <w:jc w:val="both"/>
              <w:rPr>
                <w:rFonts w:cs="Times New Roman"/>
                <w:noProof/>
              </w:rPr>
            </w:pPr>
            <w:r>
              <w:rPr>
                <w:noProof/>
              </w:rPr>
              <w:t>Artikkel 27</w:t>
            </w:r>
          </w:p>
        </w:tc>
        <w:tc>
          <w:tcPr>
            <w:tcW w:w="4645" w:type="dxa"/>
          </w:tcPr>
          <w:p>
            <w:pPr>
              <w:spacing w:after="200" w:line="276" w:lineRule="auto"/>
              <w:jc w:val="both"/>
              <w:rPr>
                <w:rFonts w:cs="Times New Roman"/>
                <w:noProof/>
              </w:rPr>
            </w:pPr>
            <w:r>
              <w:rPr>
                <w:noProof/>
              </w:rPr>
              <w:t>Artikkel 43</w:t>
            </w:r>
          </w:p>
        </w:tc>
      </w:tr>
      <w:tr>
        <w:tc>
          <w:tcPr>
            <w:tcW w:w="4644" w:type="dxa"/>
          </w:tcPr>
          <w:p>
            <w:pPr>
              <w:spacing w:after="200" w:line="276" w:lineRule="auto"/>
              <w:jc w:val="both"/>
              <w:rPr>
                <w:rFonts w:cs="Times New Roman"/>
                <w:noProof/>
              </w:rPr>
            </w:pPr>
            <w:r>
              <w:rPr>
                <w:noProof/>
              </w:rPr>
              <w:t>I lisa punkt 1</w:t>
            </w:r>
          </w:p>
        </w:tc>
        <w:tc>
          <w:tcPr>
            <w:tcW w:w="4645" w:type="dxa"/>
          </w:tcPr>
          <w:p>
            <w:pPr>
              <w:spacing w:after="200" w:line="276" w:lineRule="auto"/>
              <w:jc w:val="both"/>
              <w:rPr>
                <w:rFonts w:cs="Times New Roman"/>
                <w:noProof/>
              </w:rPr>
            </w:pPr>
            <w:r>
              <w:rPr>
                <w:noProof/>
              </w:rPr>
              <w:t>Artikli 10 lõige 1</w:t>
            </w:r>
          </w:p>
        </w:tc>
      </w:tr>
      <w:tr>
        <w:tc>
          <w:tcPr>
            <w:tcW w:w="4644" w:type="dxa"/>
          </w:tcPr>
          <w:p>
            <w:pPr>
              <w:spacing w:after="200" w:line="276" w:lineRule="auto"/>
              <w:jc w:val="both"/>
              <w:rPr>
                <w:rFonts w:cs="Times New Roman"/>
                <w:noProof/>
              </w:rPr>
            </w:pPr>
            <w:r>
              <w:rPr>
                <w:noProof/>
              </w:rPr>
              <w:t>I lisa punkti 2 alapunkti a alapunktid i–iv</w:t>
            </w:r>
          </w:p>
        </w:tc>
        <w:tc>
          <w:tcPr>
            <w:tcW w:w="4645" w:type="dxa"/>
          </w:tcPr>
          <w:p>
            <w:pPr>
              <w:spacing w:after="200" w:line="276" w:lineRule="auto"/>
              <w:jc w:val="both"/>
              <w:rPr>
                <w:rFonts w:cs="Times New Roman"/>
                <w:noProof/>
              </w:rPr>
            </w:pPr>
            <w:r>
              <w:rPr>
                <w:noProof/>
              </w:rPr>
              <w:t>Artikli 10 lõike 2 punktid a–d</w:t>
            </w:r>
          </w:p>
        </w:tc>
      </w:tr>
      <w:tr>
        <w:tc>
          <w:tcPr>
            <w:tcW w:w="4644" w:type="dxa"/>
          </w:tcPr>
          <w:p>
            <w:pPr>
              <w:spacing w:after="200" w:line="276" w:lineRule="auto"/>
              <w:jc w:val="both"/>
              <w:rPr>
                <w:rFonts w:cs="Times New Roman"/>
                <w:noProof/>
              </w:rPr>
            </w:pPr>
            <w:r>
              <w:rPr>
                <w:noProof/>
              </w:rPr>
              <w:t>I lisa punkti 2 alapunkti a alapunkt v</w:t>
            </w:r>
          </w:p>
        </w:tc>
        <w:tc>
          <w:tcPr>
            <w:tcW w:w="4645" w:type="dxa"/>
          </w:tcPr>
          <w:p>
            <w:pPr>
              <w:spacing w:after="200" w:line="276" w:lineRule="auto"/>
              <w:jc w:val="both"/>
              <w:rPr>
                <w:rFonts w:cs="Times New Roman"/>
                <w:noProof/>
              </w:rPr>
            </w:pPr>
            <w:r>
              <w:rPr>
                <w:noProof/>
              </w:rPr>
              <w:t>Artikli 10 lõike 2 punkt f</w:t>
            </w:r>
          </w:p>
        </w:tc>
      </w:tr>
      <w:tr>
        <w:tc>
          <w:tcPr>
            <w:tcW w:w="4644" w:type="dxa"/>
          </w:tcPr>
          <w:p>
            <w:pPr>
              <w:spacing w:after="200" w:line="276" w:lineRule="auto"/>
              <w:jc w:val="both"/>
              <w:rPr>
                <w:rFonts w:cs="Times New Roman"/>
                <w:noProof/>
              </w:rPr>
            </w:pPr>
            <w:r>
              <w:rPr>
                <w:noProof/>
              </w:rPr>
              <w:t>I lisa punkti 2 alapunkt b</w:t>
            </w:r>
          </w:p>
        </w:tc>
        <w:tc>
          <w:tcPr>
            <w:tcW w:w="4645" w:type="dxa"/>
          </w:tcPr>
          <w:p>
            <w:pPr>
              <w:spacing w:after="200" w:line="276" w:lineRule="auto"/>
              <w:jc w:val="both"/>
              <w:rPr>
                <w:rFonts w:cs="Times New Roman"/>
                <w:noProof/>
              </w:rPr>
            </w:pPr>
            <w:r>
              <w:rPr>
                <w:noProof/>
              </w:rPr>
              <w:t>Artikli 10 lõige 3</w:t>
            </w:r>
          </w:p>
        </w:tc>
      </w:tr>
      <w:tr>
        <w:tc>
          <w:tcPr>
            <w:tcW w:w="4644" w:type="dxa"/>
          </w:tcPr>
          <w:p>
            <w:pPr>
              <w:spacing w:after="200" w:line="276" w:lineRule="auto"/>
              <w:jc w:val="both"/>
              <w:rPr>
                <w:rFonts w:cs="Times New Roman"/>
                <w:noProof/>
              </w:rPr>
            </w:pPr>
            <w:r>
              <w:rPr>
                <w:noProof/>
              </w:rPr>
              <w:t>I lisa punkti 2 alapunkti c alapunktid i ja ii</w:t>
            </w:r>
          </w:p>
        </w:tc>
        <w:tc>
          <w:tcPr>
            <w:tcW w:w="4645" w:type="dxa"/>
          </w:tcPr>
          <w:p>
            <w:pPr>
              <w:spacing w:after="200" w:line="276" w:lineRule="auto"/>
              <w:jc w:val="both"/>
              <w:rPr>
                <w:rFonts w:cs="Times New Roman"/>
                <w:noProof/>
              </w:rPr>
            </w:pPr>
            <w:r>
              <w:rPr>
                <w:noProof/>
              </w:rPr>
              <w:t>Artikli 10 lõike 4 punkt a</w:t>
            </w:r>
          </w:p>
        </w:tc>
      </w:tr>
      <w:tr>
        <w:tc>
          <w:tcPr>
            <w:tcW w:w="4644" w:type="dxa"/>
          </w:tcPr>
          <w:p>
            <w:pPr>
              <w:spacing w:after="200" w:line="276" w:lineRule="auto"/>
              <w:jc w:val="both"/>
              <w:rPr>
                <w:rFonts w:cs="Times New Roman"/>
                <w:noProof/>
              </w:rPr>
            </w:pPr>
            <w:r>
              <w:rPr>
                <w:noProof/>
              </w:rPr>
              <w:t>II lisa</w:t>
            </w:r>
          </w:p>
        </w:tc>
        <w:tc>
          <w:tcPr>
            <w:tcW w:w="4645" w:type="dxa"/>
          </w:tcPr>
          <w:p>
            <w:pPr>
              <w:spacing w:after="200" w:line="276" w:lineRule="auto"/>
              <w:jc w:val="both"/>
              <w:rPr>
                <w:rFonts w:cs="Times New Roman"/>
                <w:noProof/>
              </w:rPr>
            </w:pPr>
            <w:r>
              <w:rPr>
                <w:noProof/>
              </w:rPr>
              <w:t>I lisa</w:t>
            </w:r>
          </w:p>
        </w:tc>
      </w:tr>
      <w:tr>
        <w:tc>
          <w:tcPr>
            <w:tcW w:w="4644" w:type="dxa"/>
          </w:tcPr>
          <w:p>
            <w:pPr>
              <w:spacing w:after="200" w:line="276" w:lineRule="auto"/>
              <w:jc w:val="both"/>
              <w:rPr>
                <w:rFonts w:cs="Times New Roman"/>
                <w:noProof/>
              </w:rPr>
            </w:pPr>
            <w:r>
              <w:rPr>
                <w:noProof/>
              </w:rPr>
              <w:t>III lisa punktid 1 ja 2</w:t>
            </w:r>
          </w:p>
        </w:tc>
        <w:tc>
          <w:tcPr>
            <w:tcW w:w="4645" w:type="dxa"/>
          </w:tcPr>
          <w:p>
            <w:pPr>
              <w:spacing w:after="200" w:line="276" w:lineRule="auto"/>
              <w:jc w:val="both"/>
              <w:rPr>
                <w:rFonts w:cs="Times New Roman"/>
                <w:noProof/>
              </w:rPr>
            </w:pPr>
            <w:r>
              <w:rPr>
                <w:noProof/>
              </w:rPr>
              <w:t>II lisa punkt 6</w:t>
            </w:r>
          </w:p>
        </w:tc>
      </w:tr>
      <w:tr>
        <w:tc>
          <w:tcPr>
            <w:tcW w:w="4644" w:type="dxa"/>
          </w:tcPr>
          <w:p>
            <w:pPr>
              <w:spacing w:after="200" w:line="276" w:lineRule="auto"/>
              <w:jc w:val="both"/>
              <w:rPr>
                <w:rFonts w:cs="Times New Roman"/>
                <w:noProof/>
              </w:rPr>
            </w:pPr>
            <w:r>
              <w:rPr>
                <w:noProof/>
              </w:rPr>
              <w:t>III lisa punkt 3</w:t>
            </w:r>
          </w:p>
        </w:tc>
        <w:tc>
          <w:tcPr>
            <w:tcW w:w="4645" w:type="dxa"/>
          </w:tcPr>
          <w:p>
            <w:pPr>
              <w:spacing w:after="200" w:line="276" w:lineRule="auto"/>
              <w:jc w:val="both"/>
              <w:rPr>
                <w:rFonts w:cs="Times New Roman"/>
                <w:noProof/>
              </w:rPr>
            </w:pPr>
            <w:r>
              <w:rPr>
                <w:noProof/>
              </w:rPr>
              <w:t>I lisa punkt 8</w:t>
            </w:r>
          </w:p>
        </w:tc>
      </w:tr>
    </w:tbl>
    <w:p>
      <w:pPr>
        <w:spacing w:after="200" w:line="276" w:lineRule="auto"/>
        <w:jc w:val="both"/>
        <w:rPr>
          <w:rFonts w:cs="Times New Roman"/>
          <w:noProof/>
          <w:szCs w:val="24"/>
          <w:lang w:val="en-GB"/>
        </w:rPr>
      </w:pPr>
    </w:p>
    <w:sectPr>
      <w:headerReference w:type="even" r:id="rId20"/>
      <w:headerReference w:type="default" r:id="rId21"/>
      <w:footerReference w:type="even" r:id="rId22"/>
      <w:footerReference w:type="default" r:id="rId23"/>
      <w:headerReference w:type="first" r:id="rId24"/>
      <w:footerReference w:type="first" r:id="rId25"/>
      <w:pgSz w:w="11907" w:h="16839"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5261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pPr>
      <w:r>
        <w:rPr>
          <w:rStyle w:val="FootnoteReference"/>
        </w:rPr>
        <w:footnoteRef/>
      </w:r>
      <w:r>
        <w:t xml:space="preserve"> Euroopa Parlamendi ja nõukogu 5. juuni 2019. aasta direktiiv (EL) 2019/944 elektrienergia siseturu ühiste normide kohta ja millega muudetakse direktiivi 2012/27/EL (ELT L 158, 14.6.2019, lk 125).</w:t>
      </w:r>
    </w:p>
  </w:footnote>
  <w:footnote w:id="3">
    <w:p>
      <w:pPr>
        <w:pStyle w:val="FootnoteText"/>
        <w:ind w:left="284" w:hanging="284"/>
        <w:jc w:val="both"/>
      </w:pPr>
      <w:r>
        <w:rPr>
          <w:rStyle w:val="FootnoteReference"/>
        </w:rPr>
        <w:footnoteRef/>
      </w:r>
      <w:r>
        <w:t xml:space="preserve"> Euroopa Parlamendi ja nõukogu määrus (EL) 2019/943, milles käsitletakse elektrienergia siseturgu (ELT L 158, 14.6.2019, lk 54).</w:t>
      </w:r>
    </w:p>
  </w:footnote>
  <w:footnote w:id="4">
    <w:p>
      <w:pPr>
        <w:pStyle w:val="FootnoteText"/>
        <w:ind w:left="284" w:hanging="284"/>
        <w:jc w:val="both"/>
      </w:pPr>
      <w:r>
        <w:rPr>
          <w:rStyle w:val="FootnoteReference"/>
        </w:rPr>
        <w:footnoteRef/>
      </w:r>
      <w:r>
        <w:t xml:space="preserve"> Euroopa Parlamendi ja nõukogu 11. detsembri 2018. aasta direktiiv (EL) 2018/2001 taastuvatest energiaallikatest toodetud energia kasutamise edendamise kohta (ELT L 328, 21.12.2018, lk 82). </w:t>
      </w:r>
    </w:p>
  </w:footnote>
  <w:footnote w:id="5">
    <w:p>
      <w:pPr>
        <w:pStyle w:val="FootnoteText"/>
        <w:ind w:left="284" w:hanging="284"/>
        <w:jc w:val="both"/>
      </w:pPr>
      <w:r>
        <w:rPr>
          <w:rStyle w:val="FootnoteReference"/>
        </w:rPr>
        <w:footnoteRef/>
      </w:r>
      <w:r>
        <w:t xml:space="preserve"> Nõukogu 14. septembri 2009. aasta direktiiv 2009/119/EÜ, millega kohustatakse liikmesriike säilitama toornafta ja/või naftatoodete miinimumvarusid (ELT L 265, 9.10.2009, lk 9). </w:t>
      </w:r>
    </w:p>
  </w:footnote>
  <w:footnote w:id="6">
    <w:p>
      <w:pPr>
        <w:pStyle w:val="FootnoteText"/>
        <w:ind w:left="284" w:hanging="284"/>
        <w:jc w:val="both"/>
      </w:pPr>
      <w:r>
        <w:rPr>
          <w:rStyle w:val="FootnoteReference"/>
        </w:rPr>
        <w:footnoteRef/>
      </w:r>
      <w:r>
        <w:t xml:space="preserve"> Euroopa Parlamendi ja nõukogu 13. juuli 2009. aasta direktiiv 2009/73/EÜ, mis käsitleb maagaasi siseturu ühiseeskirju ning millega tunnistatakse kehtetuks direktiiv 2003/55/EÜ (ELT L 211, 14.8.2009, lk 94).</w:t>
      </w:r>
    </w:p>
  </w:footnote>
  <w:footnote w:id="7">
    <w:p>
      <w:pPr>
        <w:pStyle w:val="FootnoteText"/>
        <w:ind w:left="284" w:hanging="284"/>
        <w:jc w:val="both"/>
      </w:pPr>
      <w:r>
        <w:rPr>
          <w:rStyle w:val="FootnoteReference"/>
        </w:rPr>
        <w:footnoteRef/>
      </w:r>
      <w:r>
        <w:t xml:space="preserve"> Euroopa Parlamendi ja nõukogu 11. märtsi 2008. aasta määrus (EÜ) nr 300/2008, mis käsitleb tsiviillennundusjulgestuse ühiseeskirju ja millega tunnistatakse kehtetuks määrus (EÜ) nr 2320/2002 (ELT L 97, 9.4.2008, lk 72).</w:t>
      </w:r>
    </w:p>
  </w:footnote>
  <w:footnote w:id="8">
    <w:p>
      <w:pPr>
        <w:pStyle w:val="FootnoteText"/>
        <w:ind w:left="284" w:hanging="284"/>
        <w:jc w:val="both"/>
      </w:pPr>
      <w:r>
        <w:rPr>
          <w:rStyle w:val="FootnoteReference"/>
        </w:rPr>
        <w:footnoteRef/>
      </w:r>
      <w:r>
        <w:t xml:space="preserve"> Euroopa Parlamendi ja nõukogu 11. märtsi 2009. aasta direktiiv 2009/12/EÜ lennujaamatasude kohta (ELT L 70, 14.3.2009, lk 11).</w:t>
      </w:r>
    </w:p>
  </w:footnote>
  <w:footnote w:id="9">
    <w:p>
      <w:pPr>
        <w:pStyle w:val="FootnoteText"/>
        <w:ind w:left="284" w:hanging="284"/>
        <w:jc w:val="both"/>
      </w:pPr>
      <w:r>
        <w:rPr>
          <w:rStyle w:val="FootnoteReference"/>
        </w:rPr>
        <w:footnoteRef/>
      </w:r>
      <w:r>
        <w:t xml:space="preserve"> Euroopa Parlamendi ja nõukogu 11. detsembri 2013. aasta määrus (EL) nr 1315/2013 üleeuroopalise transpordivõrgu arendamist käsitlevate liidu suuniste kohta ja millega tunnistatakse kehtetuks otsus nr 661/2010/EL (ELT L 348, 20.12.2013, lk 1). </w:t>
      </w:r>
    </w:p>
  </w:footnote>
  <w:footnote w:id="10">
    <w:p>
      <w:pPr>
        <w:pStyle w:val="FootnoteText"/>
        <w:ind w:left="284" w:hanging="284"/>
        <w:jc w:val="both"/>
      </w:pPr>
      <w:r>
        <w:rPr>
          <w:rStyle w:val="FootnoteReference"/>
        </w:rPr>
        <w:footnoteRef/>
      </w:r>
      <w:r>
        <w:t xml:space="preserve"> Euroopa Parlamendi ja nõukogu 10. märtsi 2004. aasta määrus (EÜ) nr 549/2004, millega sätestatakse raamistik ühtse Euroopa taeva loomiseks (raammäärus) (ELT L 96, 31.3.2004, lk 1).</w:t>
      </w:r>
    </w:p>
  </w:footnote>
  <w:footnote w:id="11">
    <w:p>
      <w:pPr>
        <w:pStyle w:val="FootnoteText"/>
        <w:ind w:left="284" w:hanging="284"/>
        <w:jc w:val="both"/>
      </w:pPr>
      <w:r>
        <w:rPr>
          <w:rStyle w:val="FootnoteReference"/>
        </w:rPr>
        <w:footnoteRef/>
      </w:r>
      <w:r>
        <w:t xml:space="preserve"> Euroopa Parlamendi ja nõukogu 21. novembri 2012. aasta direktiiv 2012/34/EL, millega luuakse ühtne Euroopa raudteepiirkond (ELT L 343, 14.12.2012, lk 32). </w:t>
      </w:r>
    </w:p>
  </w:footnote>
  <w:footnote w:id="12">
    <w:p>
      <w:pPr>
        <w:pStyle w:val="FootnoteText"/>
        <w:ind w:left="284" w:hanging="284"/>
        <w:jc w:val="both"/>
      </w:pPr>
      <w:r>
        <w:rPr>
          <w:rStyle w:val="FootnoteReference"/>
        </w:rPr>
        <w:footnoteRef/>
      </w:r>
      <w:r>
        <w:t xml:space="preserve"> Euroopa Parlamendi ja nõukogu 31. märtsi 2004. aasta määrus (EÜ) nr 725/2004 laevade ja sadamarajatiste turvalisuse tugevdamise kohta (ELT L 129, 29.4.2004, lk 6). </w:t>
      </w:r>
    </w:p>
  </w:footnote>
  <w:footnote w:id="13">
    <w:p>
      <w:pPr>
        <w:pStyle w:val="FootnoteText"/>
        <w:ind w:left="284" w:hanging="284"/>
        <w:jc w:val="both"/>
      </w:pPr>
      <w:r>
        <w:rPr>
          <w:rStyle w:val="FootnoteReference"/>
        </w:rPr>
        <w:footnoteRef/>
      </w:r>
      <w:r>
        <w:t xml:space="preserve"> Euroopa Parlamendi ja nõukogu 26. oktoobri 2005. aasta direktiiv 2005/65/EÜ sadamate turvalisuse tugevdamise kohta (ELT L 310, 25.11.2005, lk 28).</w:t>
      </w:r>
    </w:p>
  </w:footnote>
  <w:footnote w:id="14">
    <w:p>
      <w:pPr>
        <w:pStyle w:val="FootnoteText"/>
        <w:ind w:left="284" w:hanging="284"/>
        <w:jc w:val="both"/>
      </w:pPr>
      <w:r>
        <w:rPr>
          <w:rStyle w:val="FootnoteReference"/>
        </w:rPr>
        <w:footnoteRef/>
      </w:r>
      <w:r>
        <w:t xml:space="preserve"> Euroopa Parlamendi ja nõukogu 27. juuni 2002. aasta direktiiv 2002/59/EÜ, millega luuakse ühenduse laevaliikluse seire- ja teabesüsteem ning tunnistatakse kehtetuks nõukogu direktiiv 93/75/EMÜ (EÜT L 208, 5.8.2002, lk 10). </w:t>
      </w:r>
    </w:p>
  </w:footnote>
  <w:footnote w:id="15">
    <w:p>
      <w:pPr>
        <w:pStyle w:val="FootnoteText"/>
        <w:ind w:left="284" w:hanging="284"/>
        <w:jc w:val="both"/>
      </w:pPr>
      <w:r>
        <w:rPr>
          <w:rStyle w:val="FootnoteReference"/>
        </w:rPr>
        <w:footnoteRef/>
      </w:r>
      <w:r>
        <w:t xml:space="preserve"> Komisjoni 18. detsembri 2014. aasta delegeeritud määrus (EL) 2015/962, millega täiendatakse Euroopa Parlamendi ja nõukogu direktiivi 2010/40/EL kogu ELis reaalajas saadava liiklusteabe teenuste pakkumise osas (ELT L 157, 23.6.2015, lk 21).</w:t>
      </w:r>
    </w:p>
  </w:footnote>
  <w:footnote w:id="16">
    <w:p>
      <w:pPr>
        <w:pStyle w:val="FootnoteText"/>
        <w:ind w:left="284" w:hanging="284"/>
        <w:jc w:val="both"/>
      </w:pPr>
      <w:r>
        <w:rPr>
          <w:rStyle w:val="FootnoteReference"/>
        </w:rPr>
        <w:footnoteRef/>
      </w:r>
      <w:r>
        <w:t>Euroopa Parlamendi ja nõukogu 7. juuli 2010. aasta direktiiv 2010/40/EL, mis käsitleb raamistikku intelligentsete transpordisüsteemide kasutuselevõtmiseks maanteetranspordis ja liideste jaoks teiste transpordiliikidega (ELT L 207, 6.8.2010, lk 1).</w:t>
      </w:r>
    </w:p>
  </w:footnote>
  <w:footnote w:id="17">
    <w:p>
      <w:pPr>
        <w:pStyle w:val="FootnoteText"/>
        <w:ind w:left="284" w:hanging="284"/>
        <w:jc w:val="both"/>
      </w:pPr>
      <w:r>
        <w:rPr>
          <w:rStyle w:val="FootnoteReference"/>
        </w:rPr>
        <w:footnoteRef/>
      </w:r>
      <w:r>
        <w:t xml:space="preserve"> Euroopa Parlamendi ja nõukogu 26. juuni 2013. aasta määrus (EL) nr 575/2013 krediidiasutuste ja investeerimisühingute suhtes kohaldatavate usaldatavusnõuete kohta ja määruse (EL) nr 648/2012 muutmise kohta (ELT L 176, 27.6.2013, lk 1).</w:t>
      </w:r>
    </w:p>
  </w:footnote>
  <w:footnote w:id="18">
    <w:p>
      <w:pPr>
        <w:pStyle w:val="FootnoteText"/>
        <w:ind w:left="284" w:hanging="284"/>
        <w:jc w:val="both"/>
      </w:pPr>
      <w:r>
        <w:rPr>
          <w:rStyle w:val="FootnoteReference"/>
        </w:rPr>
        <w:footnoteRef/>
      </w:r>
      <w:r>
        <w:t xml:space="preserve"> Euroopa Parlamendi ja nõukogu 15. mai 2014. aasta direktiiv 2014/65/EL finantsinstrumentide turgude kohta ning millega muudetakse direktiive 2002/92/EÜ ja 2011/61/EL (ELT L 173, 12.6.2014, lk 349).</w:t>
      </w:r>
    </w:p>
  </w:footnote>
  <w:footnote w:id="19">
    <w:p>
      <w:pPr>
        <w:pStyle w:val="FootnoteText"/>
        <w:ind w:left="284" w:hanging="284"/>
        <w:jc w:val="both"/>
      </w:pPr>
      <w:r>
        <w:rPr>
          <w:rStyle w:val="FootnoteReference"/>
        </w:rPr>
        <w:footnoteRef/>
      </w:r>
      <w:r>
        <w:t xml:space="preserve"> Euroopa Parlamendi ja nõukogu 4. juuli 2012. aasta määrus (EL) nr 648/2012 börsiväliste tuletisinstrumentide, kesksete vastaspoolte ja kauplemisteabehoidlate kohta (ELT L 201, 27.7.2012, lk 1).</w:t>
      </w:r>
    </w:p>
  </w:footnote>
  <w:footnote w:id="20">
    <w:p>
      <w:pPr>
        <w:pStyle w:val="FootnoteText"/>
        <w:ind w:left="284" w:hanging="284"/>
        <w:jc w:val="both"/>
      </w:pPr>
      <w:r>
        <w:rPr>
          <w:rStyle w:val="FootnoteReference"/>
        </w:rPr>
        <w:footnoteRef/>
      </w:r>
      <w:r>
        <w:t xml:space="preserve"> Euroopa Parlamendi ja nõukogu 9. märtsi 2011. aasta direktiiv 2011/24/EL patsiendiõiguste kohaldamise kohta piiriüleses tervishoius (ELT L 88, 4.4.2011, lk 45).</w:t>
      </w:r>
    </w:p>
  </w:footnote>
  <w:footnote w:id="21">
    <w:p>
      <w:pPr>
        <w:pStyle w:val="FootnoteText"/>
        <w:ind w:left="284" w:hanging="284"/>
        <w:jc w:val="both"/>
      </w:pPr>
      <w:r>
        <w:rPr>
          <w:rStyle w:val="FootnoteReference"/>
        </w:rPr>
        <w:footnoteRef/>
      </w:r>
      <w:r>
        <w:t xml:space="preserve"> [Euroopa Parlamendi ja nõukogu määrus, milles käsitletakse tõsiseid piiriüleseid terviseohte ja millega tunnistatakse kehtetuks otsus nr 1082/2013/EL; viide ajakohastatakse pärast ettepaneku COM (2020)727 final vastuvõtmist]</w:t>
      </w:r>
    </w:p>
  </w:footnote>
  <w:footnote w:id="22">
    <w:p>
      <w:pPr>
        <w:pStyle w:val="FootnoteText"/>
        <w:ind w:left="284" w:hanging="284"/>
        <w:jc w:val="both"/>
      </w:pPr>
      <w:r>
        <w:rPr>
          <w:rStyle w:val="FootnoteReference"/>
        </w:rPr>
        <w:footnoteRef/>
      </w:r>
      <w:r>
        <w:t xml:space="preserve"> Euroopa Parlamendi ja nõukogu 6. novembri 2001. aasta direktiiv 2001/83/EÜ inimtervishoius kasutatavaid ravimeid käsitlevate ühenduse eeskirjade kohta (EÜT L 311, 28.11.2001, lk 67). </w:t>
      </w:r>
    </w:p>
  </w:footnote>
  <w:footnote w:id="23">
    <w:p>
      <w:pPr>
        <w:pStyle w:val="FootnoteText"/>
        <w:ind w:left="284" w:hanging="284"/>
        <w:jc w:val="both"/>
      </w:pPr>
      <w:r>
        <w:rPr>
          <w:rStyle w:val="FootnoteReference"/>
        </w:rPr>
        <w:footnoteRef/>
      </w:r>
      <w:r>
        <w:t xml:space="preserve"> [Euroopa Parlamendi ja nõukogu määrus, milles käsitletakse Euroopa Ravimiameti suuremat rolli kriisiks valmisolekus ja kriisiohjamises ravimite ja meditsiiniseadmete valdkonnas; viide ajakohastatakse pärast ettepaneku COM(2020)725 final vastuvõtmist]</w:t>
      </w:r>
    </w:p>
  </w:footnote>
  <w:footnote w:id="24">
    <w:p>
      <w:pPr>
        <w:pStyle w:val="FootnoteText"/>
        <w:ind w:left="284" w:hanging="284"/>
        <w:jc w:val="both"/>
      </w:pPr>
      <w:r>
        <w:rPr>
          <w:rStyle w:val="FootnoteReference"/>
        </w:rPr>
        <w:footnoteRef/>
      </w:r>
      <w:r>
        <w:t xml:space="preserve"> Nõukogu 3. novembri 1998. aasta direktiiv 98/83/EÜ olmevee kvaliteedi kohta (EÜT L 330, 5.12.1998, lk 32).</w:t>
      </w:r>
    </w:p>
  </w:footnote>
  <w:footnote w:id="25">
    <w:p>
      <w:pPr>
        <w:pStyle w:val="FootnoteText"/>
        <w:ind w:left="284" w:hanging="284"/>
        <w:jc w:val="both"/>
      </w:pPr>
      <w:r>
        <w:rPr>
          <w:rStyle w:val="FootnoteReference"/>
        </w:rPr>
        <w:footnoteRef/>
      </w:r>
      <w:r>
        <w:t xml:space="preserve"> Nõukogu 21. mai 1991. aasta direktiiv 91/271/EMÜ asulareovee puhastamise kohta (EÜT L 135, 30.5.1991, lk 40). </w:t>
      </w:r>
    </w:p>
  </w:footnote>
  <w:footnote w:id="26">
    <w:p>
      <w:pPr>
        <w:pStyle w:val="FootnoteText"/>
        <w:ind w:left="284" w:hanging="284"/>
        <w:jc w:val="both"/>
      </w:pPr>
      <w:r>
        <w:rPr>
          <w:rStyle w:val="FootnoteReference"/>
        </w:rPr>
        <w:footnoteRef/>
      </w:r>
      <w:r>
        <w:t xml:space="preserve"> Euroopa Parlamendi ja nõukogu 23. juuli 2014. aasta määrus (EL) nr 910/2014 e-identimise ja e-tehingute jaoks vajalike usaldusteenuste kohta siseturul ja millega tunnistatakse kehtetuks direktiiv 1999/93/EÜ (ELT L 257, 28.8.2014, lk 73). </w:t>
      </w:r>
    </w:p>
  </w:footnote>
  <w:footnote w:id="27">
    <w:p>
      <w:pPr>
        <w:pStyle w:val="FootnoteText"/>
        <w:ind w:left="284" w:hanging="284"/>
        <w:jc w:val="both"/>
      </w:pPr>
      <w:r>
        <w:rPr>
          <w:rStyle w:val="FootnoteReference"/>
        </w:rPr>
        <w:footnoteRef/>
      </w:r>
      <w:r>
        <w:t xml:space="preserve"> Euroopa Parlamendi ja nõukogu 11. detsembri 2018. aasta direktiiv (EL) 2018/1972, millega kehtestatakse Euroopa elektroonilise side seadustik (ELT L 321, 17.12.2018, lk 36). </w:t>
      </w:r>
    </w:p>
  </w:footnote>
  <w:footnote w:id="28">
    <w:p>
      <w:pPr>
        <w:pStyle w:val="FootnoteText"/>
        <w:ind w:left="284" w:hanging="284"/>
        <w:jc w:val="both"/>
      </w:pPr>
      <w:r>
        <w:rPr>
          <w:rStyle w:val="FootnoteReference"/>
        </w:rPr>
        <w:footnoteRef/>
      </w:r>
      <w:r>
        <w:t xml:space="preserve"> Euroopa Parlamendi ja nõukogu 26. mai 2003. aasta määrus (EÜ) nr 1059/2003, millega kehtestatakse ühine statistiliste territoriaalüksuste liigitus (NUTS) (ELT L 154, 21.6.2003, lk 1).</w:t>
      </w:r>
    </w:p>
  </w:footnote>
  <w:footnote w:id="29">
    <w:p>
      <w:pPr>
        <w:pStyle w:val="FootnoteText"/>
        <w:ind w:left="284" w:hanging="284"/>
        <w:jc w:val="both"/>
      </w:pPr>
      <w:r>
        <w:rPr>
          <w:rStyle w:val="FootnoteReference"/>
        </w:rPr>
        <w:footnoteRef/>
      </w:r>
      <w:r>
        <w:t xml:space="preserve"> Euroopa Parlamendi ja nõukogu 15. detsembri 1997. aasta direktiiv 97/67/EÜ ühenduse postiteenuste siseturu arengut ja teenuse kvaliteedi parandamist käsitlevate ühiseeskirjade kohta (EÜT L 15, 21.1.1998, lk 14). </w:t>
      </w:r>
    </w:p>
  </w:footnote>
  <w:footnote w:id="30">
    <w:p>
      <w:pPr>
        <w:pStyle w:val="FootnoteText"/>
        <w:ind w:left="284" w:hanging="284"/>
        <w:jc w:val="both"/>
      </w:pPr>
      <w:r>
        <w:rPr>
          <w:rStyle w:val="FootnoteReference"/>
        </w:rPr>
        <w:footnoteRef/>
      </w:r>
      <w:r>
        <w:t xml:space="preserve"> Euroopa Parlamendi ja nõukogu 19. novembri 2008. aasta direktiiv 2008/98/EÜ, mis käsitleb jäätmeid ja millega tunnistatakse kehtetuks teatud direktiivid (ELT L 312, 22.11.2008, lk 3).</w:t>
      </w:r>
    </w:p>
  </w:footnote>
  <w:footnote w:id="31">
    <w:p>
      <w:pPr>
        <w:pStyle w:val="FootnoteText"/>
        <w:ind w:left="284" w:hanging="284"/>
        <w:jc w:val="both"/>
      </w:pPr>
      <w:r>
        <w:rPr>
          <w:rStyle w:val="FootnoteReference"/>
        </w:rPr>
        <w:footnoteRef/>
      </w:r>
      <w:r>
        <w:t xml:space="preserve"> Euroopa Parlamendi ja nõukogu 18. detsembri 2006. aasta määrus (EÜ) nr 1907/2006, mis käsitleb kemikaalide registreerimist, hindamist, autoriseerimist ja piiramist (REACH) ja millega asutatakse Euroopa Kemikaalide Agentuur ning muudetakse direktiivi 1999/45/EÜ ja tunnistatakse kehtetuks nõukogu määrus (EMÜ) nr 793/93, komisjoni määrus (EÜ) nr 1488/94 ning samuti nõukogu direktiiv 76/769/EMÜ ja komisjoni direktiivid 91/155/EMÜ, 93/67/EMÜ, 93/105/EÜ ja 2000/21/EÜ (ELT L 396, 30.12.2006, lk 1). </w:t>
      </w:r>
    </w:p>
  </w:footnote>
  <w:footnote w:id="32">
    <w:p>
      <w:pPr>
        <w:pStyle w:val="FootnoteText"/>
        <w:ind w:left="284" w:hanging="284"/>
        <w:jc w:val="both"/>
      </w:pPr>
      <w:r>
        <w:rPr>
          <w:rStyle w:val="FootnoteReference"/>
        </w:rPr>
        <w:footnoteRef/>
      </w:r>
      <w:r>
        <w:t xml:space="preserve"> Euroopa Parlamendi ja nõukogu 28. jaanuari 2002. aasta määrus (EÜ) nr 178/2002, millega sätestatakse toidualaste õigusnormide üldised põhimõtted ja nõuded, asutatakse Euroopa Toiduohutusamet ja kehtestatakse toidu ohutusega seotud menetlused (EÜT L 31, 1.2.2002, lk 1). </w:t>
      </w:r>
    </w:p>
  </w:footnote>
  <w:footnote w:id="33">
    <w:p>
      <w:pPr>
        <w:pStyle w:val="FootnoteText"/>
        <w:ind w:left="284" w:hanging="284"/>
        <w:jc w:val="both"/>
      </w:pPr>
      <w:r>
        <w:rPr>
          <w:rStyle w:val="FootnoteReference"/>
        </w:rPr>
        <w:footnoteRef/>
      </w:r>
      <w:r>
        <w:t xml:space="preserve"> Euroopa Parlamendi ja nõukogu 5. aprilli 2017. aasta määrus (EL) 2017/745, milles käsitletakse meditsiiniseadmeid, millega muudetakse direktiivi 2001/83/EÜ, määrust (EÜ) nr 178/2002 ja määrust (EÜ) nr 1223/2009 ning millega tunnistatakse kehtetuks nõukogu direktiivid 90/385/EMÜ ja 93/42/EMÜ (ELT L 117, 5.5.2017, lk 1).</w:t>
      </w:r>
    </w:p>
  </w:footnote>
  <w:footnote w:id="34">
    <w:p>
      <w:pPr>
        <w:pStyle w:val="FootnoteText"/>
        <w:ind w:left="284" w:hanging="284"/>
        <w:jc w:val="both"/>
      </w:pPr>
      <w:r>
        <w:rPr>
          <w:rStyle w:val="FootnoteReference"/>
        </w:rPr>
        <w:footnoteRef/>
      </w:r>
      <w:r>
        <w:t xml:space="preserve"> Euroopa Parlamendi ja nõukogu 5. aprilli 2017. aasta määrus (EL) 2017/746 </w:t>
      </w:r>
      <w:r>
        <w:rPr>
          <w:i/>
        </w:rPr>
        <w:t xml:space="preserve">in vitro </w:t>
      </w:r>
      <w:r>
        <w:t>diagnostikameditsiiniseadmete kohta ning millega tunnistatakse kehtetuks direktiiv 98/79/EÜ ja komisjoni otsus 2010/227/EL (ELT L 117, 5.5.2017, lk 176).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2EE3FD8"/>
    <w:lvl w:ilvl="0">
      <w:start w:val="1"/>
      <w:numFmt w:val="bullet"/>
      <w:lvlText w:val=""/>
      <w:lvlJc w:val="left"/>
      <w:pPr>
        <w:tabs>
          <w:tab w:val="num" w:pos="1701"/>
        </w:tabs>
        <w:ind w:left="1701" w:hanging="360"/>
      </w:pPr>
      <w:rPr>
        <w:rFonts w:ascii="Symbol" w:hAnsi="Symbol" w:hint="default"/>
      </w:rPr>
    </w:lvl>
  </w:abstractNum>
  <w:abstractNum w:abstractNumId="1">
    <w:nsid w:val="0417108B"/>
    <w:multiLevelType w:val="hybridMultilevel"/>
    <w:tmpl w:val="939EA432"/>
    <w:lvl w:ilvl="0" w:tplc="00CAB9C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6C3DD3"/>
    <w:multiLevelType w:val="hybridMultilevel"/>
    <w:tmpl w:val="3790E87A"/>
    <w:lvl w:ilvl="0" w:tplc="00CAB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C366A"/>
    <w:multiLevelType w:val="hybridMultilevel"/>
    <w:tmpl w:val="53622E72"/>
    <w:lvl w:ilvl="0" w:tplc="097C4B04">
      <w:start w:val="6"/>
      <w:numFmt w:val="bullet"/>
      <w:lvlText w:val="-"/>
      <w:lvlJc w:val="left"/>
      <w:pPr>
        <w:ind w:left="420" w:hanging="360"/>
      </w:pPr>
      <w:rPr>
        <w:rFonts w:ascii="Times New Roman" w:eastAsiaTheme="minorEastAsia" w:hAnsi="Times New Roman" w:cs="Times New Roman" w:hint="default"/>
        <w:b/>
      </w:r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4">
    <w:nsid w:val="11D4372E"/>
    <w:multiLevelType w:val="hybridMultilevel"/>
    <w:tmpl w:val="029A3C9A"/>
    <w:lvl w:ilvl="0" w:tplc="77EE55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026CB"/>
    <w:multiLevelType w:val="hybridMultilevel"/>
    <w:tmpl w:val="E45425F8"/>
    <w:lvl w:ilvl="0" w:tplc="00CAB9C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32417"/>
    <w:multiLevelType w:val="hybridMultilevel"/>
    <w:tmpl w:val="4AFAD7D6"/>
    <w:lvl w:ilvl="0" w:tplc="00CAB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32C5D"/>
    <w:multiLevelType w:val="hybridMultilevel"/>
    <w:tmpl w:val="D7FC6C78"/>
    <w:lvl w:ilvl="0" w:tplc="E340C9CA">
      <w:start w:val="9"/>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8150806"/>
    <w:multiLevelType w:val="hybridMultilevel"/>
    <w:tmpl w:val="D0B412F8"/>
    <w:lvl w:ilvl="0" w:tplc="00CAB9C6">
      <w:start w:val="1"/>
      <w:numFmt w:val="bullet"/>
      <w:lvlText w:val=""/>
      <w:lvlJc w:val="left"/>
      <w:pPr>
        <w:ind w:left="420" w:hanging="360"/>
      </w:pPr>
      <w:rPr>
        <w:rFonts w:ascii="Symbol" w:hAnsi="Symbol" w:hint="default"/>
        <w:b/>
      </w:r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9">
    <w:nsid w:val="4F5F4745"/>
    <w:multiLevelType w:val="hybridMultilevel"/>
    <w:tmpl w:val="D14E4FF6"/>
    <w:lvl w:ilvl="0" w:tplc="00CAB9C6">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380135A"/>
    <w:multiLevelType w:val="hybridMultilevel"/>
    <w:tmpl w:val="753AB2F6"/>
    <w:lvl w:ilvl="0" w:tplc="00CAB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20466"/>
    <w:multiLevelType w:val="hybridMultilevel"/>
    <w:tmpl w:val="F41C9766"/>
    <w:lvl w:ilvl="0" w:tplc="00CAB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B16C8"/>
    <w:multiLevelType w:val="hybridMultilevel"/>
    <w:tmpl w:val="72D487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2"/>
  </w:num>
  <w:num w:numId="5">
    <w:abstractNumId w:val="0"/>
  </w:num>
  <w:num w:numId="6">
    <w:abstractNumId w:val="2"/>
  </w:num>
  <w:num w:numId="7">
    <w:abstractNumId w:val="9"/>
    <w:lvlOverride w:ilvl="0">
      <w:startOverride w:val="10"/>
    </w:lvlOverride>
  </w:num>
  <w:num w:numId="8">
    <w:abstractNumId w:val="6"/>
  </w:num>
  <w:num w:numId="9">
    <w:abstractNumId w:val="8"/>
  </w:num>
  <w:num w:numId="10">
    <w:abstractNumId w:val="4"/>
  </w:num>
  <w:num w:numId="11">
    <w:abstractNumId w:val="1"/>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revisionView w:markup="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järgmise dokumendi juurde:"/>
    <w:docVar w:name="LW_ANNEX_NBR_FIRST" w:val="1"/>
    <w:docVar w:name="LW_ANNEX_NBR_LAST" w:val="3"/>
    <w:docVar w:name="LW_ANNEX_UNIQUE" w:val="0"/>
    <w:docVar w:name="LW_CORRIGENDUM" w:val="&lt;UNUSED&gt;"/>
    <w:docVar w:name="LW_COVERPAGE_EXISTS" w:val="True"/>
    <w:docVar w:name="LW_COVERPAGE_GUID" w:val="5D066287-932A-4A90-B72C-8D69912E4774"/>
    <w:docVar w:name="LW_COVERPAGE_TYPE" w:val="1"/>
    <w:docVar w:name="LW_CROSSREFERENCE" w:val="{SEC(2020) 430 final} - {SWD(2020) 344 final} - {SWD(2020) 345 final}"/>
    <w:docVar w:name="LW_DocType" w:val="NORMAL"/>
    <w:docVar w:name="LW_EMISSION" w:val="16.12.2020"/>
    <w:docVar w:name="LW_EMISSION_ISODATE" w:val="2020-12-16"/>
    <w:docVar w:name="LW_EMISSION_LOCATION" w:val="BRX"/>
    <w:docVar w:name="LW_EMISSION_PREFIX" w:val="Brüssel,"/>
    <w:docVar w:name="LW_EMISSION_SUFFIX" w:val=" "/>
    <w:docVar w:name="LW_ID_DOCTYPE_NONLW" w:val="CP-036"/>
    <w:docVar w:name="LW_LANGUE" w:val="ET"/>
    <w:docVar w:name="LW_LEVEL_OF_SENSITIVITY" w:val="Standard treatment"/>
    <w:docVar w:name="LW_NOM.INST" w:val="EUROOPA KOMISJON"/>
    <w:docVar w:name="LW_NOM.INST_JOINTDOC" w:val="&lt;EMPTY&gt;"/>
    <w:docVar w:name="LW_OBJETACTEPRINCIPAL.CP" w:val="EUROOPA PARLAMENDI JA NÕUKOGU DIREKTIIV,_x000d__x000d__x000d__x000d__x000d__x000d__x000d__x000d__x000d__x000d__x000d__x000d__x000b_mis käsitleb meetmeid, millega tagada küberturvalisuse ühtlaselt kõrge tase kogu liidus, ja millega tunnistatakse kehtetuks direktiiv 2016/1148"/>
    <w:docVar w:name="LW_PART_NBR" w:val="&lt;UNUSED&gt;"/>
    <w:docVar w:name="LW_PART_NBR_TOTAL" w:val="&lt;UNUSED&gt;"/>
    <w:docVar w:name="LW_REF.INST.NEW" w:val="COM"/>
    <w:docVar w:name="LW_REF.INST.NEW_ADOPTED" w:val="final"/>
    <w:docVar w:name="LW_REF.INST.NEW_TEXT" w:val="(2020) 8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LISAD_x000b_"/>
    <w:docVar w:name="LW_TYPEACTEPRINCIPAL.CP" w:val="Ettepanek:"/>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styleId="Hyperlink">
    <w:name w:val="Hyperlink"/>
    <w:uiPriority w:val="99"/>
    <w:rPr>
      <w:color w:val="0000FF"/>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120" w:after="120" w:line="240" w:lineRule="auto"/>
      <w:jc w:val="both"/>
    </w:pPr>
    <w:rPr>
      <w:rFonts w:cs="Times New Roman"/>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
    <w:basedOn w:val="DefaultParagraphFont"/>
    <w:link w:val="ListParagraph"/>
    <w:uiPriority w:val="34"/>
    <w:locked/>
    <w:rPr>
      <w:rFonts w:ascii="Times New Roman" w:hAnsi="Times New Roman" w:cs="Times New Roman"/>
      <w:sz w:val="24"/>
      <w:lang w:val="et-EE"/>
    </w:rPr>
  </w:style>
  <w:style w:type="paragraph" w:styleId="ListParagraph">
    <w:name w:val="List Paragraph"/>
    <w:aliases w:val="Llista Nivell1,Lista de nivel 1,Lettre d'introduction,Table of contents numbered,Paragraphe de liste PBLH,BULLET 1,List Bulletized,List Paragraph Char Char"/>
    <w:basedOn w:val="Normal"/>
    <w:link w:val="ListParagraphChar"/>
    <w:uiPriority w:val="34"/>
    <w:qFormat/>
    <w:pPr>
      <w:spacing w:before="120" w:after="120" w:line="240" w:lineRule="auto"/>
      <w:ind w:left="720"/>
      <w:contextualSpacing/>
      <w:jc w:val="both"/>
    </w:pPr>
    <w:rPr>
      <w:rFonts w:cs="Times New Roman"/>
    </w:rPr>
  </w:style>
  <w:style w:type="table" w:styleId="TableGrid">
    <w:name w:val="Table Grid"/>
    <w:aliases w:val="Document Table,CV1,Table Format 1,HTG"/>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cs="Times New Roman"/>
      <w:szCs w:val="24"/>
    </w:rPr>
  </w:style>
  <w:style w:type="paragraph" w:styleId="CommentSubject">
    <w:name w:val="annotation subject"/>
    <w:basedOn w:val="CommentText"/>
    <w:next w:val="CommentText"/>
    <w:link w:val="CommentSubjectChar"/>
    <w:uiPriority w:val="99"/>
    <w:semiHidden/>
    <w:unhideWhenUsed/>
    <w:pPr>
      <w:spacing w:before="0" w:after="160"/>
      <w:jc w:val="left"/>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ListBullet">
    <w:name w:val="List Bullet"/>
    <w:basedOn w:val="Normal"/>
    <w:uiPriority w:val="99"/>
    <w:unhideWhenUsed/>
    <w:pPr>
      <w:numPr>
        <w:numId w:val="14"/>
      </w:numPr>
      <w:contextualSpacing/>
    </w:pPr>
  </w:style>
  <w:style w:type="paragraph" w:styleId="Revision">
    <w:name w:val="Revision"/>
    <w:hidden/>
    <w:uiPriority w:val="99"/>
    <w:semiHidden/>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title-doc-first">
    <w:name w:val="title-doc-first"/>
    <w:basedOn w:val="Normal"/>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doc-ti">
    <w:name w:val="doc-ti"/>
    <w:basedOn w:val="Normal"/>
    <w:pPr>
      <w:spacing w:before="100" w:beforeAutospacing="1" w:after="100" w:afterAutospacing="1" w:line="240" w:lineRule="auto"/>
    </w:pPr>
    <w:rPr>
      <w:rFonts w:eastAsia="Times New Roman" w:cs="Times New Roman"/>
      <w:szCs w:val="24"/>
    </w:rPr>
  </w:style>
  <w:style w:type="character" w:customStyle="1" w:styleId="italic">
    <w:name w:val="italic"/>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styleId="Hyperlink">
    <w:name w:val="Hyperlink"/>
    <w:uiPriority w:val="99"/>
    <w:rPr>
      <w:color w:val="0000FF"/>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120" w:after="120" w:line="240" w:lineRule="auto"/>
      <w:jc w:val="both"/>
    </w:pPr>
    <w:rPr>
      <w:rFonts w:cs="Times New Roman"/>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
    <w:basedOn w:val="DefaultParagraphFont"/>
    <w:link w:val="ListParagraph"/>
    <w:uiPriority w:val="34"/>
    <w:locked/>
    <w:rPr>
      <w:rFonts w:ascii="Times New Roman" w:hAnsi="Times New Roman" w:cs="Times New Roman"/>
      <w:sz w:val="24"/>
      <w:lang w:val="et-EE"/>
    </w:rPr>
  </w:style>
  <w:style w:type="paragraph" w:styleId="ListParagraph">
    <w:name w:val="List Paragraph"/>
    <w:aliases w:val="Llista Nivell1,Lista de nivel 1,Lettre d'introduction,Table of contents numbered,Paragraphe de liste PBLH,BULLET 1,List Bulletized,List Paragraph Char Char"/>
    <w:basedOn w:val="Normal"/>
    <w:link w:val="ListParagraphChar"/>
    <w:uiPriority w:val="34"/>
    <w:qFormat/>
    <w:pPr>
      <w:spacing w:before="120" w:after="120" w:line="240" w:lineRule="auto"/>
      <w:ind w:left="720"/>
      <w:contextualSpacing/>
      <w:jc w:val="both"/>
    </w:pPr>
    <w:rPr>
      <w:rFonts w:cs="Times New Roman"/>
    </w:rPr>
  </w:style>
  <w:style w:type="table" w:styleId="TableGrid">
    <w:name w:val="Table Grid"/>
    <w:aliases w:val="Document Table,CV1,Table Format 1,HTG"/>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cs="Times New Roman"/>
      <w:szCs w:val="24"/>
    </w:rPr>
  </w:style>
  <w:style w:type="paragraph" w:styleId="CommentSubject">
    <w:name w:val="annotation subject"/>
    <w:basedOn w:val="CommentText"/>
    <w:next w:val="CommentText"/>
    <w:link w:val="CommentSubjectChar"/>
    <w:uiPriority w:val="99"/>
    <w:semiHidden/>
    <w:unhideWhenUsed/>
    <w:pPr>
      <w:spacing w:before="0" w:after="160"/>
      <w:jc w:val="left"/>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ListBullet">
    <w:name w:val="List Bullet"/>
    <w:basedOn w:val="Normal"/>
    <w:uiPriority w:val="99"/>
    <w:unhideWhenUsed/>
    <w:pPr>
      <w:numPr>
        <w:numId w:val="14"/>
      </w:numPr>
      <w:contextualSpacing/>
    </w:pPr>
  </w:style>
  <w:style w:type="paragraph" w:styleId="Revision">
    <w:name w:val="Revision"/>
    <w:hidden/>
    <w:uiPriority w:val="99"/>
    <w:semiHidden/>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title-doc-first">
    <w:name w:val="title-doc-first"/>
    <w:basedOn w:val="Normal"/>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doc-ti">
    <w:name w:val="doc-ti"/>
    <w:basedOn w:val="Normal"/>
    <w:pPr>
      <w:spacing w:before="100" w:beforeAutospacing="1" w:after="100" w:afterAutospacing="1" w:line="240" w:lineRule="auto"/>
    </w:pPr>
    <w:rPr>
      <w:rFonts w:eastAsia="Times New Roman" w:cs="Times New Roman"/>
      <w:szCs w:val="24"/>
    </w:rPr>
  </w:style>
  <w:style w:type="character" w:customStyle="1" w:styleId="italic">
    <w:name w:val="itali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1082">
      <w:bodyDiv w:val="1"/>
      <w:marLeft w:val="0"/>
      <w:marRight w:val="0"/>
      <w:marTop w:val="0"/>
      <w:marBottom w:val="0"/>
      <w:divBdr>
        <w:top w:val="none" w:sz="0" w:space="0" w:color="auto"/>
        <w:left w:val="none" w:sz="0" w:space="0" w:color="auto"/>
        <w:bottom w:val="none" w:sz="0" w:space="0" w:color="auto"/>
        <w:right w:val="none" w:sz="0" w:space="0" w:color="auto"/>
      </w:divBdr>
    </w:div>
    <w:div w:id="975141603">
      <w:bodyDiv w:val="1"/>
      <w:marLeft w:val="0"/>
      <w:marRight w:val="0"/>
      <w:marTop w:val="0"/>
      <w:marBottom w:val="0"/>
      <w:divBdr>
        <w:top w:val="none" w:sz="0" w:space="0" w:color="auto"/>
        <w:left w:val="none" w:sz="0" w:space="0" w:color="auto"/>
        <w:bottom w:val="none" w:sz="0" w:space="0" w:color="auto"/>
        <w:right w:val="none" w:sz="0" w:space="0" w:color="auto"/>
      </w:divBdr>
    </w:div>
    <w:div w:id="1432697366">
      <w:bodyDiv w:val="1"/>
      <w:marLeft w:val="0"/>
      <w:marRight w:val="0"/>
      <w:marTop w:val="0"/>
      <w:marBottom w:val="0"/>
      <w:divBdr>
        <w:top w:val="none" w:sz="0" w:space="0" w:color="auto"/>
        <w:left w:val="none" w:sz="0" w:space="0" w:color="auto"/>
        <w:bottom w:val="none" w:sz="0" w:space="0" w:color="auto"/>
        <w:right w:val="none" w:sz="0" w:space="0" w:color="auto"/>
      </w:divBdr>
    </w:div>
    <w:div w:id="1446729277">
      <w:bodyDiv w:val="1"/>
      <w:marLeft w:val="0"/>
      <w:marRight w:val="0"/>
      <w:marTop w:val="0"/>
      <w:marBottom w:val="0"/>
      <w:divBdr>
        <w:top w:val="none" w:sz="0" w:space="0" w:color="auto"/>
        <w:left w:val="none" w:sz="0" w:space="0" w:color="auto"/>
        <w:bottom w:val="none" w:sz="0" w:space="0" w:color="auto"/>
        <w:right w:val="none" w:sz="0" w:space="0" w:color="auto"/>
      </w:divBdr>
    </w:div>
    <w:div w:id="1579515343">
      <w:bodyDiv w:val="1"/>
      <w:marLeft w:val="0"/>
      <w:marRight w:val="0"/>
      <w:marTop w:val="0"/>
      <w:marBottom w:val="0"/>
      <w:divBdr>
        <w:top w:val="none" w:sz="0" w:space="0" w:color="auto"/>
        <w:left w:val="none" w:sz="0" w:space="0" w:color="auto"/>
        <w:bottom w:val="none" w:sz="0" w:space="0" w:color="auto"/>
        <w:right w:val="none" w:sz="0" w:space="0" w:color="auto"/>
      </w:divBdr>
    </w:div>
    <w:div w:id="1598950682">
      <w:bodyDiv w:val="1"/>
      <w:marLeft w:val="0"/>
      <w:marRight w:val="0"/>
      <w:marTop w:val="0"/>
      <w:marBottom w:val="0"/>
      <w:divBdr>
        <w:top w:val="none" w:sz="0" w:space="0" w:color="auto"/>
        <w:left w:val="none" w:sz="0" w:space="0" w:color="auto"/>
        <w:bottom w:val="none" w:sz="0" w:space="0" w:color="auto"/>
        <w:right w:val="none" w:sz="0" w:space="0" w:color="auto"/>
      </w:divBdr>
    </w:div>
    <w:div w:id="1634018244">
      <w:bodyDiv w:val="1"/>
      <w:marLeft w:val="0"/>
      <w:marRight w:val="0"/>
      <w:marTop w:val="0"/>
      <w:marBottom w:val="0"/>
      <w:divBdr>
        <w:top w:val="none" w:sz="0" w:space="0" w:color="auto"/>
        <w:left w:val="none" w:sz="0" w:space="0" w:color="auto"/>
        <w:bottom w:val="none" w:sz="0" w:space="0" w:color="auto"/>
        <w:right w:val="none" w:sz="0" w:space="0" w:color="auto"/>
      </w:divBdr>
    </w:div>
    <w:div w:id="17976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A12162D02DF3441BA3BAFD48BC1BB6D" ma:contentTypeVersion="9" ma:contentTypeDescription="Create a new document." ma:contentTypeScope="" ma:versionID="1341c65d146c49932dc76c5fc4bd5d65">
  <xsd:schema xmlns:xsd="http://www.w3.org/2001/XMLSchema" xmlns:xs="http://www.w3.org/2001/XMLSchema" xmlns:p="http://schemas.microsoft.com/office/2006/metadata/properties" xmlns:ns3="a1e8a5da-a1c6-4ab6-9d74-9729d89e2e57" xmlns:ns4="866aabb8-7ec2-447a-a7ff-f911015037e7" targetNamespace="http://schemas.microsoft.com/office/2006/metadata/properties" ma:root="true" ma:fieldsID="06fd7431d71d25e05aef229dfd779be4" ns3:_="" ns4:_="">
    <xsd:import namespace="a1e8a5da-a1c6-4ab6-9d74-9729d89e2e57"/>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8a5da-a1c6-4ab6-9d74-9729d89e2e5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a1e8a5da-a1c6-4ab6-9d74-9729d89e2e57">EN</EC_Collab_DocumentLanguage>
    <EC_Collab_Reference xmlns="a1e8a5da-a1c6-4ab6-9d74-9729d89e2e57" xsi:nil="true"/>
    <_dlc_DocId xmlns="866aabb8-7ec2-447a-a7ff-f911015037e7">UVNUSV5RWJH5-1065046114-2254</_dlc_DocId>
    <_dlc_DocIdUrl xmlns="866aabb8-7ec2-447a-a7ff-f911015037e7">
      <Url>https://myintracomm-collab.ec.europa.eu/dg/CONNECT/directorateH/UnitH2/_layouts/15/DocIdRedir.aspx?ID=UVNUSV5RWJH5-1065046114-2254</Url>
      <Description>UVNUSV5RWJH5-1065046114-2254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65A5-6034-44B7-A2CD-6581D8F34302}">
  <ds:schemaRefs>
    <ds:schemaRef ds:uri="http://schemas.microsoft.com/sharepoint/v3/contenttype/forms"/>
  </ds:schemaRefs>
</ds:datastoreItem>
</file>

<file path=customXml/itemProps2.xml><?xml version="1.0" encoding="utf-8"?>
<ds:datastoreItem xmlns:ds="http://schemas.openxmlformats.org/officeDocument/2006/customXml" ds:itemID="{369A955E-6BBF-42CE-BB7E-002C27B59E61}">
  <ds:schemaRefs>
    <ds:schemaRef ds:uri="http://schemas.microsoft.com/sharepoint/events"/>
  </ds:schemaRefs>
</ds:datastoreItem>
</file>

<file path=customXml/itemProps3.xml><?xml version="1.0" encoding="utf-8"?>
<ds:datastoreItem xmlns:ds="http://schemas.openxmlformats.org/officeDocument/2006/customXml" ds:itemID="{3600EA2A-F34F-4E91-BDF5-E77DA3B5F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8a5da-a1c6-4ab6-9d74-9729d89e2e57"/>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1D623-F83A-4C95-A5C0-044A515BE381}">
  <ds:schemaRefs>
    <ds:schemaRef ds:uri="http://purl.org/dc/elements/1.1/"/>
    <ds:schemaRef ds:uri="http://schemas.openxmlformats.org/package/2006/metadata/core-properties"/>
    <ds:schemaRef ds:uri="http://purl.org/dc/terms/"/>
    <ds:schemaRef ds:uri="http://schemas.microsoft.com/office/infopath/2007/PartnerControls"/>
    <ds:schemaRef ds:uri="a1e8a5da-a1c6-4ab6-9d74-9729d89e2e57"/>
    <ds:schemaRef ds:uri="http://schemas.microsoft.com/office/2006/documentManagement/types"/>
    <ds:schemaRef ds:uri="http://schemas.microsoft.com/office/2006/metadata/properties"/>
    <ds:schemaRef ds:uri="http://www.w3.org/XML/1998/namespace"/>
    <ds:schemaRef ds:uri="866aabb8-7ec2-447a-a7ff-f911015037e7"/>
    <ds:schemaRef ds:uri="http://purl.org/dc/dcmitype/"/>
  </ds:schemaRefs>
</ds:datastoreItem>
</file>

<file path=customXml/itemProps5.xml><?xml version="1.0" encoding="utf-8"?>
<ds:datastoreItem xmlns:ds="http://schemas.openxmlformats.org/officeDocument/2006/customXml" ds:itemID="{D173E2A4-F957-42A3-8DD4-07FAEACB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1634</Words>
  <Characters>9429</Characters>
  <Application>Microsoft Office Word</Application>
  <DocSecurity>0</DocSecurity>
  <Lines>589</Lines>
  <Paragraphs>298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KOZLOWSKA Karolina Angela (CNECT)</dc:creator>
  <cp:keywords/>
  <dc:description/>
  <cp:lastModifiedBy>WES PDFC Administrator</cp:lastModifiedBy>
  <cp:revision>16</cp:revision>
  <dcterms:created xsi:type="dcterms:W3CDTF">2020-12-14T12:45:00Z</dcterms:created>
  <dcterms:modified xsi:type="dcterms:W3CDTF">2021-01-19T10:40:00Z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3</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7.0.1, Build 20190916</vt:lpwstr>
  </property>
  <property fmtid="{D5CDD505-2E9C-101B-9397-08002B2CF9AE}" pid="11" name="Created using">
    <vt:lpwstr>LW 7.0.1, Build 20190916</vt:lpwstr>
  </property>
  <property fmtid="{D5CDD505-2E9C-101B-9397-08002B2CF9AE}" pid="12" name="_dlc_DocIdItemGuid">
    <vt:lpwstr>53e6fb15-6eca-4ac3-adb9-72ddcc301bd6</vt:lpwstr>
  </property>
  <property fmtid="{D5CDD505-2E9C-101B-9397-08002B2CF9AE}" pid="13" name="_LW_INVALIDATED__LW_INVALIDATED__LW_INVALIDATED__LW_INVALIDATED__LW_INVALIDATED__LW_INVALIDATED__LW_INVALIDATED__LW_INVALIDATED__LW_INVALIDATED__LW_INVALIDATED__LW_INVALIDATED_ContentTypeId">
    <vt:lpwstr>0x010100258AA79CEB83498886A3A08681123250004A12162D02DF3441BA3BAFD48BC1BB6D</vt:lpwstr>
  </property>
  <property fmtid="{D5CDD505-2E9C-101B-9397-08002B2CF9AE}" pid="14" name="_LW_INVALIDATED__LW_INVALIDATED__LW_INVALIDATED__LW_INVALIDATED__LW_INVALIDATED_ContentTypeId">
    <vt:lpwstr>0x010100258AA79CEB83498886A3A08681123250004A12162D02DF3441BA3BAFD48BC1BB6D</vt:lpwstr>
  </property>
  <property fmtid="{D5CDD505-2E9C-101B-9397-08002B2CF9AE}" pid="15" name="_LW_INVALIDATED__LW_INVALIDATED_ContentTypeId">
    <vt:lpwstr>0x010100258AA79CEB83498886A3A08681123250004A12162D02DF3441BA3BAFD48BC1BB6D</vt:lpwstr>
  </property>
</Properties>
</file>