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B444CD5-40F7-4CDE-A8A7-6E7289187790" style="width:450.8pt;height:351.8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spacing w:before="0" w:after="240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Raġunijiet u objettivi tal-proposta</w:t>
      </w:r>
    </w:p>
    <w:p>
      <w:pPr>
        <w:spacing w:before="0" w:after="240"/>
        <w:rPr>
          <w:bCs/>
          <w:noProof/>
        </w:rPr>
      </w:pPr>
      <w:r>
        <w:rPr>
          <w:noProof/>
        </w:rPr>
        <w:t>Id-Direttiva (UE) 2016/680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(id-Direttiva dwar l-Infurzar tal-Liġi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- LED) daħlet fis-seħħ fis-6 ta’ Mejju 2016 u l-Istati Membru kellhom sas-6 ta’ Mejju 2018 biex jittrasponuha fil-liġi nazzjonali. Hija ħassret u ssostitwiet id-Deċiżjoni Qafas tal-Kunsill 2008/977/ĠAI</w:t>
      </w:r>
      <w:r>
        <w:rPr>
          <w:rStyle w:val="FootnoteReference"/>
          <w:bCs/>
          <w:noProof/>
          <w:lang w:eastAsia="en-GB"/>
        </w:rPr>
        <w:footnoteReference w:id="2"/>
      </w:r>
      <w:r>
        <w:rPr>
          <w:noProof/>
        </w:rPr>
        <w:t>, iżda hija strument ferm aktar komprensiv u ġenerali għall-protezzjoni tad-</w:t>
      </w:r>
      <w:r>
        <w:rPr>
          <w:i/>
          <w:iCs/>
          <w:noProof/>
        </w:rPr>
        <w:t>data</w:t>
      </w:r>
      <w:r>
        <w:rPr>
          <w:noProof/>
        </w:rPr>
        <w:t>. Barra minn hekk, hija tapplika għall-ipproċessar domestiku kif ukoll għall-ipproċessar transfruntier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mill-awtoritajiet kompetenti għall-finijiet tal-prevenzjoni, l-investigazzjoni, is-sejbien jew il-prosekuzzjoni ta’ reati kriminali jew l-eżekuzzjoni ta’ pieni kriminali, inkluż is-salvagwardja kontra u l-prevenzjoni ta’ theddid għas-sigurtà pubblika (l-Artikolu 1(1)).</w:t>
      </w:r>
    </w:p>
    <w:p>
      <w:pPr>
        <w:spacing w:before="0" w:after="240"/>
        <w:rPr>
          <w:bCs/>
          <w:noProof/>
        </w:rPr>
      </w:pPr>
      <w:r>
        <w:rPr>
          <w:noProof/>
        </w:rPr>
        <w:t>L-Artikolu 62(6) tal-LED jirrikjedi li sas-6 ta’ Mejju 2019, il-Kummissjoni tirrieżamina atti legali tal-UE oħra li jirregolaw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tal-awtoritajiet kompetenti għall-finijiet tal-infurzar tal-liġi, sabiex tevalwa l-ħtieġa li tallinjahom mal-LED u tagħmel, fejn adatt, proposti biex temendahom biex tiżgura konsistenza fil-protezzjoni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fi ħdan il-kamp ta’ applikazzjoni tal-LED.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 xml:space="preserve">Il-Kummissjoni stabbiliet ir-riżultati tar-rieżami tagħha f’Komunikazzjoni dwar </w:t>
      </w:r>
      <w:r>
        <w:rPr>
          <w:i/>
          <w:noProof/>
          <w:szCs w:val="24"/>
        </w:rPr>
        <w:t>it-triq ’il quddiem biex jiġi allinjat dak li kien l-acquis</w:t>
      </w:r>
      <w:r>
        <w:rPr>
          <w:noProof/>
        </w:rPr>
        <w:t xml:space="preserve"> </w:t>
      </w:r>
      <w:r>
        <w:rPr>
          <w:i/>
          <w:noProof/>
          <w:szCs w:val="24"/>
        </w:rPr>
        <w:t>tat-tielet pilastru mar-regoli dwar il-protezzjoni tad-</w:t>
      </w:r>
      <w:r>
        <w:rPr>
          <w:i/>
          <w:iCs/>
          <w:noProof/>
          <w:szCs w:val="24"/>
        </w:rPr>
        <w:t>data</w:t>
      </w:r>
      <w:r>
        <w:rPr>
          <w:noProof/>
        </w:rPr>
        <w:t xml:space="preserve"> (24 ta’ Ġunju 2020)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>, li tispeċifika għaxar atti legali li jenħtieġ li jiġu allinjati mal-LED u skeda ta’ żmien biex isir dan. Il-lista tinkludi d-Direttiva 2014/41/UE tal-Parlament Ewropew u tal-Kunsill dwar l-Ordni ta’ Investigazzjoni Ewropew f’materji kriminali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>. Il-Kummissjoni indikat li kienet se tressaq emendi mmirati għal dik id-Direttiva fl-aħħar kwart tal-2020; li huwa l-għan ta’ din il-proposta.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>Din l-inizjattiva mhijiex parti mill-programm dwar l-idoneità tar-regolamentazzjoni (REFIT).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spacing w:before="0" w:after="240"/>
        <w:rPr>
          <w:bCs/>
          <w:noProof/>
        </w:rPr>
      </w:pPr>
      <w:r>
        <w:rPr>
          <w:noProof/>
        </w:rPr>
        <w:t>Il-proposta għandha l-għan li tallinja r-regoli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fid-Direttiva 2014/41/UE mal-prinċipji u r-regoli stabbiliti fl-LED, sabiex tipprovdi qafas b’saħħtu u koerenti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fl-Unjoni.</w:t>
      </w:r>
    </w:p>
    <w:p>
      <w:pPr>
        <w:pStyle w:val="ManualHeading2"/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lastRenderedPageBreak/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Bażi ġuridika</w:t>
      </w:r>
    </w:p>
    <w:p>
      <w:pPr>
        <w:spacing w:before="0" w:after="240"/>
        <w:rPr>
          <w:noProof/>
        </w:rPr>
      </w:pPr>
      <w:r>
        <w:rPr>
          <w:noProof/>
        </w:rPr>
        <w:t xml:space="preserve">Din il-proposta hija bbażata fuq l-Artikolu 16(2) tat-Trattat dwar il-Funzjonament tal-Unjoni Ewropea (TFUE). </w:t>
      </w:r>
    </w:p>
    <w:p>
      <w:pPr>
        <w:spacing w:before="0" w:after="240"/>
        <w:rPr>
          <w:noProof/>
        </w:rPr>
      </w:pPr>
      <w:r>
        <w:rPr>
          <w:noProof/>
        </w:rPr>
        <w:t>L-att oriġinali kien ibbażat fuq l-ex Artikolu 34(2)(b) tat-Trattat preċedenti dwar l-Unjoni Ewropea, li jikkorrispondi għall-Artikolu 82(1) tat-TFUE. Madankollu, kemm l-objettiv kif ukoll is-sustanza tal-emenda proposta huma limitati b’mod ċar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F’dan ir-rigward, l-Artikolu 16(2) tat-TFUE huwa l-aktar bażi ġuridika xierqa. Dan jippermetti l-adozzjoni ta’ regoli dwar il-protezzjoni ta’ individwi fir-rigward tal-ipproċessar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mill-Istati Membri meta jwettqu attivitajiet skont id-dritt tal-Unjoni u r-regoli dwar il-moviment liberu tad-</w:t>
      </w:r>
      <w:r>
        <w:rPr>
          <w:i/>
          <w:iCs/>
          <w:noProof/>
        </w:rPr>
        <w:t>data</w:t>
      </w:r>
      <w:r>
        <w:rPr>
          <w:noProof/>
        </w:rPr>
        <w:t xml:space="preserve"> personali.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Skont l-Artikolu 2a tal-Protokoll Nru 22, id-Danimarka mhix marbuta bir-regoli stabbiliti abbażi tal-Artikolu 16 tat-TFUE li huma relatati mal-ipproċessar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meta jwettqu l-attivitajiet li jaqgħu fil-kamp ta’ applikazzjoni tal-Kapitolu 4 jew 5 tat-Titolu IV tat-Tielet Parti tat-TFUE. L-istess japplika għall-Irlanda skont l-Artikolu 6a tal-Protokoll Nru 21.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 </w:t>
      </w: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Sussidjarjetà (għall-kompetenza mhux esklużiva)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L-Unjoni biss tista’ tadotta att leġiżlattiv li jemenda d-Direttiva 2014/41/UE.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u w:color="000000"/>
          <w:bdr w:val="nil"/>
        </w:rPr>
        <w:t>Din il-proposta hija limitata għal dak li huwa meħtieġ biex id-Direttiva 2014/41/UE tiġi allinjata mal-leġiżlazzjoni tal-Unjoni dwar il-protezzjoni tad-</w:t>
      </w:r>
      <w:r>
        <w:rPr>
          <w:i/>
          <w:iCs/>
          <w:noProof/>
          <w:u w:color="000000"/>
          <w:bdr w:val="nil"/>
        </w:rPr>
        <w:t>data</w:t>
      </w:r>
      <w:r>
        <w:rPr>
          <w:noProof/>
          <w:u w:color="000000"/>
          <w:bdr w:val="nil"/>
        </w:rPr>
        <w:t xml:space="preserve"> personali (b’mod partikolari l-LED) mingħajr ma jinbidel bl-ebda mod il-kamp ta’ applikazzjoni tad-Direttiva. Din id-Direttiva ma tmurx lil hinn minn dak li huwa meħtieġ biex jintlaħqu l-objettivi mixtieqa, skont l-Artikolu 5(4) tat-Trattat dwar l-Unjoni Ewropea.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Biex tiġi emendata d-Direttiva 2014/41/UE, l-istrument l-aktar xieraq huwa direttiva.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Evalwazzjonijiet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/kontrolli tal-idoneità tal-leġiżlazzjoni eżistenti</w:t>
      </w:r>
    </w:p>
    <w:p>
      <w:pPr>
        <w:spacing w:before="0" w:after="240"/>
        <w:rPr>
          <w:noProof/>
          <w:szCs w:val="24"/>
        </w:rPr>
      </w:pPr>
      <w:r>
        <w:rPr>
          <w:noProof/>
        </w:rPr>
        <w:t xml:space="preserve">Din il-proposta ssegwi r-riżultati tar-rieżami tal-Kummissjoni skont l-Artikolu 62(6) tal-LED, kif ippreżentati fil-Komunikazzjoni dwar </w:t>
      </w:r>
      <w:r>
        <w:rPr>
          <w:i/>
          <w:noProof/>
          <w:szCs w:val="24"/>
        </w:rPr>
        <w:t>it-triq ’il quddiem biex jiġi allinjat dak li kien l-acquis</w:t>
      </w:r>
      <w:r>
        <w:rPr>
          <w:noProof/>
        </w:rPr>
        <w:t xml:space="preserve"> </w:t>
      </w:r>
      <w:r>
        <w:rPr>
          <w:i/>
          <w:noProof/>
          <w:szCs w:val="24"/>
        </w:rPr>
        <w:t>tat-tielet pilastru mar-regoli dwar il-protezzjoni tad-data</w:t>
      </w:r>
      <w:r>
        <w:rPr>
          <w:noProof/>
        </w:rPr>
        <w:t xml:space="preserve">. Dik il-Komunikazzjoni telenka punti li dwarhom huwa meħtieġ l-allinjament. B’mod partikolari, hija tidentifika l-ħtieġa li jiġi ċċarat li kwalunkwe 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skont id-Direttiva 2014/41/UE huwa soġġett jew għal-LED inkella għar-Regolament (UE) 2016/679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(ir-Regolament </w:t>
      </w:r>
      <w:r>
        <w:rPr>
          <w:noProof/>
        </w:rPr>
        <w:lastRenderedPageBreak/>
        <w:t>Ġenerali dwar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– GDPR), skont jekk dan isirx fil-kuntest ta’ proċedimenti kriminali jew mhux kriminali. Jenħtieġ li l-allinjament jiċċara li d-</w:t>
      </w:r>
      <w:r>
        <w:rPr>
          <w:i/>
          <w:iCs/>
          <w:noProof/>
        </w:rPr>
        <w:t xml:space="preserve">data </w:t>
      </w:r>
      <w:r>
        <w:rPr>
          <w:noProof/>
        </w:rPr>
        <w:t>miksuba skont id-Direttiva 2014/41/UE tista’ tiġi pproċessata għal finijiet għajr dawk li għalihom tinġabar, biss skont il-kundizzjonijiet stabbiliti fl-LED (l-Artikoli 4 (2) jew 9 (1)) jew il-GDPR (l-Artikolu 6).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Billi tipproponi t-tħassir tal-Artikolu 20 tad-Direttiva 2014/41/UE, din il-proposta hija limitata għal dak li huwa meħtieġ biex jiġu indirizzati l-punti ta’ hawn fuq.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b w:val="0"/>
          <w:noProof/>
          <w:szCs w:val="24"/>
        </w:rPr>
        <w:t xml:space="preserve"> </w:t>
      </w: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Ġbir u użu tal-għarfien espert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Fir-rieżami tagħha, il-Kummissjoni qieset studju mwettaq bħala parti mill-proġett pilota dwar “rieżami tad-drittijiet fundamentali tal-istrumenti u l-programmi tal-UE għall-ġbir tad-</w:t>
      </w:r>
      <w:r>
        <w:rPr>
          <w:i/>
          <w:iCs/>
          <w:noProof/>
        </w:rPr>
        <w:t>data</w:t>
      </w:r>
      <w:r>
        <w:rPr>
          <w:noProof/>
        </w:rPr>
        <w:t>”</w:t>
      </w:r>
      <w:r>
        <w:rPr>
          <w:rStyle w:val="FootnoteReference"/>
          <w:noProof/>
        </w:rPr>
        <w:footnoteReference w:id="6"/>
      </w:r>
      <w:r>
        <w:rPr>
          <w:noProof/>
        </w:rPr>
        <w:t>. L-istudju mmappja l-atti tal-Unjoni koperti mill-Artikolu 62(6) tal-LED u identifika dispożizzjonijiet li potenzjalment jeħtieġu allinjament dwar kwistjonijiet ta’ protezzjoni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Valutazzjoni tal-impatt</w:t>
      </w:r>
    </w:p>
    <w:p>
      <w:pPr>
        <w:spacing w:before="0" w:after="240"/>
        <w:rPr>
          <w:noProof/>
        </w:rPr>
      </w:pPr>
      <w:r>
        <w:rPr>
          <w:noProof/>
          <w:u w:color="000000"/>
          <w:bdr w:val="nil"/>
        </w:rPr>
        <w:t>L-impatt ta’ din il-proposta huwa limitat għall-ipproċessar tad-</w:t>
      </w:r>
      <w:r>
        <w:rPr>
          <w:i/>
          <w:iCs/>
          <w:noProof/>
          <w:u w:color="000000"/>
          <w:bdr w:val="nil"/>
        </w:rPr>
        <w:t>data</w:t>
      </w:r>
      <w:r>
        <w:rPr>
          <w:noProof/>
          <w:u w:color="000000"/>
          <w:bdr w:val="nil"/>
        </w:rPr>
        <w:t xml:space="preserve"> personali tal-awtoritajiet kompetenti f’każijiet speċifiċi regolati mid-Direttiva 2014/41/UE. L-impatt tal-obbligi l-ġodda li jirriżultaw mil-LED ġie vvalutat fil-kuntest tal-ħidma preparatorja għal-LED. Valutazzjoni tal-impatt speċifika għal din il-proposta hi għalhekk mhux meħtieġa.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 </w:t>
      </w: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mhux applikabbli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 </w:t>
      </w: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Drittijiet fundamentali</w:t>
      </w:r>
    </w:p>
    <w:p>
      <w:pPr>
        <w:spacing w:before="0" w:after="240"/>
        <w:rPr>
          <w:noProof/>
        </w:rPr>
      </w:pPr>
      <w:r>
        <w:rPr>
          <w:noProof/>
        </w:rPr>
        <w:t>Id-dritt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huwa stabbilit fl-Artikolu 8 tal-Karta tad-Drittijiet Fundamentali tal-Unjoni Ewropea u fl-Artikolu 16 tat-TFUE. Kif enfasizzat mill-Qorti tal-Ġustizzja tal-Unjoni Ewropea</w:t>
      </w:r>
      <w:r>
        <w:rPr>
          <w:rStyle w:val="FootnoteReference"/>
          <w:noProof/>
        </w:rPr>
        <w:footnoteReference w:id="7"/>
      </w:r>
      <w:r>
        <w:rPr>
          <w:noProof/>
        </w:rPr>
        <w:t>, id-dritt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mhuwiex assolut, iżda jrid jiġi kkunsidrat f’relazzjoni mal-funzjoni tiegħu fis-soċjetà</w:t>
      </w:r>
      <w:r>
        <w:rPr>
          <w:rStyle w:val="FootnoteReference"/>
          <w:noProof/>
        </w:rPr>
        <w:footnoteReference w:id="8"/>
      </w:r>
      <w:r>
        <w:rPr>
          <w:noProof/>
        </w:rPr>
        <w:t>. Il-protezzjoni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hi </w:t>
      </w:r>
      <w:r>
        <w:rPr>
          <w:noProof/>
        </w:rPr>
        <w:lastRenderedPageBreak/>
        <w:t>marbuta mill-qrib mar-rispett tal-ħajja privata u tal-familja, kif protett mill-Artikolu 7 tal-Karta.</w:t>
      </w:r>
    </w:p>
    <w:p>
      <w:pPr>
        <w:spacing w:before="0" w:after="240"/>
        <w:rPr>
          <w:noProof/>
        </w:rPr>
      </w:pPr>
      <w:r>
        <w:rPr>
          <w:noProof/>
        </w:rPr>
        <w:t>Din il-proposta tiżgura li kwalunkwe 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skont id-Direttiva 2014/41/UE huwa soġġett għall-prinċipji u r-regoli “orizzontali” tal-leġiżlazzjoni tal-UE dwar il-protezzjoni tad-</w:t>
      </w:r>
      <w:r>
        <w:rPr>
          <w:i/>
          <w:iCs/>
          <w:noProof/>
        </w:rPr>
        <w:t>data</w:t>
      </w:r>
      <w:r>
        <w:rPr>
          <w:noProof/>
        </w:rPr>
        <w:t>, b’hekk jiġi implimentat aktar l-Artikolu 8 tal-Karta. Dik il-leġiżlazzjoni għandha l-għan li tiżgura livell għoli ta’ 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u tiċċara li l-prinċipji u r-regoli tad-Direttiva 2016/680 li japplikaw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skont id-Direttiva jkollhom impatt pożittiv fir-rigward tad-drittijiet fundamentali għall-privatezza u l-protezzjoni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</w:t>
      </w:r>
    </w:p>
    <w:p>
      <w:pPr>
        <w:pStyle w:val="ManualHeading1"/>
        <w:spacing w:before="0" w:after="240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OĦRAJN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Pjanijiet ta’ implimentazzjoni u arranġamenti dwar il-monitoraġġ, l-evalwazzjoni u r-rappurtar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mhux applikabbli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Dokumenti ta’ spjegazzjoni (għad-direttivi)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ma teħtieġx dokumenti ta’ spjegazzjoni dwar it-traspożizzjoni, peress li tinvolvi t-tħassir ta’ artikolu wieħed tad-Direttiva 2014/41/UE.</w:t>
      </w:r>
    </w:p>
    <w:p>
      <w:pPr>
        <w:pStyle w:val="ManualHeading2"/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Spjegazzjoni fid-dettall tad-dispożizzjonijiet speċifiċi tal-proposta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 xml:space="preserve">L-Artikolu 1 iħassar l-Artikolu 20 tad-Direttiva 2014/41/UE. Billi tagħmel dan, din il-proposta hija limitata għal dak li huwa meħtieġ biex jiġu indirizzati l-punti ta’ hawn fuq. L-Artikolu 20 jirrikjedi li kwalunkwe 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skont id-Direttiva jikkonforma mad-Deċiżjoni Qafas tal-Kunsill 2008/977/ĠAI u l-prinċipji tal-Konvenzjoni tal-Kunsill tal-Ewropa għall-Protezzjoni ta’ Individwi fir-rigward tal-Ipproċessar Awtomatiku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(28 ta’ Jannar 1981) u l-Protokoll Addizzjonali tagħha.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>L-LED ħassret id-Deċiżjoni Qafas b’effett mis-6 ta’ Mejju 2018. Skont l-Artikolu 59 tal-LED, ir-referenzi għad-Deċiżjoni Qafas għandhom jinftiehmu bħala referenzi għal-LED.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>Skont l-Artikolu 2(1) tagħha, l-LED tapplika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mill-awtoritajiet kompetenti għall-finijiet stabbiliti fl-Artikolu 1(1) tagħha, jiġifieri għall-prevenzjoni, l-investigazzjoni, is-sejbien jew il-prosekuzzjoni ta’ reati kriminali jew l-eżekuzzjoni ta’ pieni kriminali, inkluż is-salvagwardja kontra u l-prevenzjoni ta’ theddid għas-sigurtà pubblika. Madankollu, id-Direttiva 2014/41/UE tapplika wkoll għal ċerti tipi ta’ proċedimenti </w:t>
      </w:r>
      <w:r>
        <w:rPr>
          <w:bCs/>
          <w:i/>
          <w:noProof/>
        </w:rPr>
        <w:t>mhux kriminali</w:t>
      </w:r>
      <w:r>
        <w:rPr>
          <w:noProof/>
        </w:rPr>
        <w:t xml:space="preserve"> – dawn huma regolati mill-GDPR.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Cs/>
          <w:noProof/>
        </w:rPr>
      </w:pPr>
      <w:r>
        <w:rPr>
          <w:noProof/>
        </w:rPr>
        <w:t xml:space="preserve">Il-fatt li l-Artikolu 20 tad-Direttiva 2014/41/UE jirreferi għad-Deċiżjoni Qafas jista’ jirriżulta f’konfużjoni dwar jekk l-LED tapplikax ukoll għall-ipproċessar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relatat ma’ ordnijiet ta’ investigazzjoni Ewropej fil-kuntest ta’ proċedimenti mhux kriminali (li </w:t>
      </w:r>
      <w:r>
        <w:rPr>
          <w:bCs/>
          <w:i/>
          <w:noProof/>
        </w:rPr>
        <w:t>ma</w:t>
      </w:r>
      <w:r>
        <w:rPr>
          <w:noProof/>
        </w:rPr>
        <w:t xml:space="preserve"> jaqgħux fil-kamp ta’ applikazzjoni tal-LED). It-tħassir tal-Artikolu 20 huwa biżżejjed biex </w:t>
      </w:r>
      <w:r>
        <w:rPr>
          <w:noProof/>
        </w:rPr>
        <w:lastRenderedPageBreak/>
        <w:t xml:space="preserve">jirrimedja din is-sitwazzjoni. L-LED tkompli tapplika għall-ipproċessar ta’ </w:t>
      </w:r>
      <w:r>
        <w:rPr>
          <w:i/>
          <w:iCs/>
          <w:noProof/>
        </w:rPr>
        <w:t>data</w:t>
      </w:r>
      <w:r>
        <w:rPr>
          <w:noProof/>
        </w:rPr>
        <w:t xml:space="preserve"> personali skont id-Direttiva 2014/41/UE fil-kamp tal-applikazzjoni tagħha.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Peress li l-LED u l-GDPR (kull wieħed fil-kamp tal-applikazzjoni tiegħu) japplikaw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skont id-Direttiva 2014/41/UE, l-ipproċessar ta’ tali </w:t>
      </w:r>
      <w:r>
        <w:rPr>
          <w:i/>
          <w:iCs/>
          <w:noProof/>
        </w:rPr>
        <w:t>data</w:t>
      </w:r>
      <w:r>
        <w:rPr>
          <w:noProof/>
        </w:rPr>
        <w:t xml:space="preserve"> għal finijiet għajr dawk li għalihom tinġabar se jitwettaq skont l-LED (l-Artikoli 4(2) u 9(1)) jew il-GDPR (l-Artikolu 6(4)). L-ebda dispożizzjoni ġdida ma hija meħtieġa għal dak il-għan.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20 tad-Direttiva 2014/41/UE jirrikjedi wkoll li l-aċċess għad-</w:t>
      </w:r>
      <w:r>
        <w:rPr>
          <w:i/>
          <w:iCs/>
          <w:noProof/>
        </w:rPr>
        <w:t>data</w:t>
      </w:r>
      <w:r>
        <w:rPr>
          <w:noProof/>
        </w:rPr>
        <w:t xml:space="preserve"> personali jkun ristrett, mingħajr preġudizzju għad-drittijiet tas-suġġett tad-</w:t>
      </w:r>
      <w:r>
        <w:rPr>
          <w:i/>
          <w:iCs/>
          <w:noProof/>
        </w:rPr>
        <w:t>data</w:t>
      </w:r>
      <w:r>
        <w:rPr>
          <w:noProof/>
        </w:rPr>
        <w:t xml:space="preserve">, u li persuni awtorizzati biss ikollhom aċċess għal tali </w:t>
      </w:r>
      <w:r>
        <w:rPr>
          <w:i/>
          <w:iCs/>
          <w:noProof/>
        </w:rPr>
        <w:t>data</w:t>
      </w:r>
      <w:r>
        <w:rPr>
          <w:noProof/>
        </w:rPr>
        <w:t>. L-LED u l-GDPR jistabbilixxu qafas komprensiv dwar id-drittijiet tas-suġġetti tad-</w:t>
      </w:r>
      <w:r>
        <w:rPr>
          <w:i/>
          <w:iCs/>
          <w:noProof/>
        </w:rPr>
        <w:t>data</w:t>
      </w:r>
      <w:r>
        <w:rPr>
          <w:noProof/>
        </w:rPr>
        <w:t xml:space="preserve"> u l-obbligi tal-kontrollur tad-</w:t>
      </w:r>
      <w:r>
        <w:rPr>
          <w:i/>
          <w:iCs/>
          <w:noProof/>
        </w:rPr>
        <w:t>data</w:t>
      </w:r>
      <w:r>
        <w:rPr>
          <w:noProof/>
        </w:rPr>
        <w:t>, inkluż fir-rigward tal-protezzjoni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mid-disinn u b’mod awtomatiku, u s-sigurtà tal-ipproċessar. It-tieni paragrafu tal-Artikolu 20 huwa għalhekk żejjed.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Peress li d-Direttiva 2014/41/UE ma fihiex regoli speċifiċi dwar il-protezzjoni tad-</w:t>
      </w:r>
      <w:r>
        <w:rPr>
          <w:i/>
          <w:iCs/>
          <w:noProof/>
        </w:rPr>
        <w:t>data</w:t>
      </w:r>
      <w:r>
        <w:rPr>
          <w:noProof/>
        </w:rPr>
        <w:t>, ma hi meħtieġa l-ebda emenda oħra relatata mal-protezzjoni tad-</w:t>
      </w:r>
      <w:r>
        <w:rPr>
          <w:i/>
          <w:iCs/>
          <w:noProof/>
        </w:rPr>
        <w:t>data</w:t>
      </w:r>
      <w:r>
        <w:rPr>
          <w:noProof/>
        </w:rPr>
        <w:t>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 2 jistabbilixxi l-iskadenza għat-traspożizzjoni tad-Direttiva l-ġdida proposta.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3 jistabbilixxi d-data tad-dħul fis-seħħ ta’ din id-Direttiva.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L-Artikolu 4 jipprovdi li din id-Direttiva hija indirizzata lill-Istati Membri.</w:t>
      </w:r>
    </w:p>
    <w:p>
      <w:pPr>
        <w:spacing w:before="0" w:after="0"/>
        <w:jc w:val="left"/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2021/0009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DIRETTIVA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temenda d-Direttiva 2014/41/UE, fir-rigward tal-allinjament tagħha mar-regoli tal-UE dwar il-protezzjoni tad-</w:t>
      </w:r>
      <w:r>
        <w:rPr>
          <w:i/>
          <w:noProof/>
        </w:rPr>
        <w:t>data</w:t>
      </w:r>
      <w:r>
        <w:rPr>
          <w:noProof/>
        </w:rPr>
        <w:t xml:space="preserve"> personali</w:t>
      </w:r>
    </w:p>
    <w:p>
      <w:pPr>
        <w:pStyle w:val="Institutionquiagit"/>
        <w:rPr>
          <w:noProof/>
        </w:rPr>
      </w:pPr>
      <w:r>
        <w:rPr>
          <w:noProof/>
        </w:rPr>
        <w:t>IL-PARLAMENT EWROPEW U 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 b’mod partikolari l-Artikolu 16(2) tiegħu,</w:t>
      </w:r>
    </w:p>
    <w:p>
      <w:pPr>
        <w:rPr>
          <w:noProof/>
        </w:rPr>
      </w:pPr>
      <w:r>
        <w:rPr>
          <w:noProof/>
        </w:rPr>
        <w:t>Wara li kkunsidraw il-proposta tal-Kummissjoni Ewropea,</w:t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Skont l-Artikolu 62(6) tad-Direttiva (UE) 2016/680</w:t>
      </w:r>
      <w:r>
        <w:rPr>
          <w:rStyle w:val="FootnoteReference"/>
          <w:noProof/>
        </w:rPr>
        <w:footnoteReference w:id="9"/>
      </w:r>
      <w:r>
        <w:rPr>
          <w:noProof/>
        </w:rPr>
        <w:t>, il-Kummissjoni għandha tirrieżamina atti oħra tad-dritt tal-Unjoni li jirregolaw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mill-awtoritajiet kompetenti għall-finijiet stipulati fl-Artikolu 1(1) ta’ dik id-Direttiva, sabiex tevalwa l-ħtieġa li tallinja dawk l-atti ma’ dik id-Direttiva u tagħmel, fejn adatt, il-proposti meħtieġa sabiex temenda dawk l-atti biex tiżgura approċċ konsistenti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personali fi ħdan il-kamp ta’ applikazzjoni ta’ dik id-Direttiva. Dak ir-rieżami wassal għall-identifikazzjoni tad-Direttiva 2014/41/UE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bħala waħda minn dawk l-atti l-oħra li għandhom jiġu emendati.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Fl-interess tal-konsistenza u l-protezzjoni effettiva tad-</w:t>
      </w:r>
      <w:r>
        <w:rPr>
          <w:i/>
          <w:iCs/>
          <w:noProof/>
        </w:rPr>
        <w:t>data</w:t>
      </w:r>
      <w:r>
        <w:rPr>
          <w:noProof/>
        </w:rPr>
        <w:t xml:space="preserve"> personali, jenħtieġ li 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skont id-Direttiva 2014/41/UE jirrispetta r-regoli stabbiliti fid-Direttiva (UE) 2016/680, fejn applikabbli. Jenħtieġ li r-Regolament (UE) 2016/679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japplika għall-ipproċessar tad-</w:t>
      </w:r>
      <w:r>
        <w:rPr>
          <w:i/>
          <w:iCs/>
          <w:noProof/>
        </w:rPr>
        <w:t>data</w:t>
      </w:r>
      <w:r>
        <w:rPr>
          <w:noProof/>
        </w:rPr>
        <w:t xml:space="preserve"> personali relatata mal-proċedimenti kif imsemmi fl-Artikolu 4, punti (b), (c) u (d) tad-Direttiva 2014/41/UE meta dawn ma jkunux koperti mid-Direttiva (UE) 2016/680.</w:t>
      </w:r>
    </w:p>
    <w:p>
      <w:pPr>
        <w:pStyle w:val="ManualConsidrant"/>
        <w:rPr>
          <w:noProof/>
          <w:shd w:val="clear" w:color="auto" w:fill="FFFFFF"/>
        </w:rPr>
      </w:pPr>
      <w:r>
        <w:t>(3)</w:t>
      </w:r>
      <w:r>
        <w:tab/>
      </w:r>
      <w:r>
        <w:rPr>
          <w:noProof/>
        </w:rPr>
        <w:t>F’konformità mal-Artikoli 1, 2 u 4(1) tal-Protokoll Nru 21 dwar il-</w:t>
      </w:r>
      <w:r>
        <w:rPr>
          <w:noProof/>
          <w:shd w:val="clear" w:color="auto" w:fill="FFFFFF"/>
        </w:rPr>
        <w:t xml:space="preserve">pożizzjoni tar-Renju Unit u l-Irlanda fir-rigward tal-ispazju ta’ Libertà, Sigurtà u Ġustizzja, anness mat-Trattat dwar l-Unjoni Ewropea u mat-Trattat dwar il-Funzjonament tal-Unjoni Ewropea, u mingħajr preġudizzju għall-Artikolu 4 ta’ dak il-Protokoll, l-Irlanda mhix </w:t>
      </w:r>
      <w:r>
        <w:rPr>
          <w:noProof/>
          <w:shd w:val="clear" w:color="auto" w:fill="FFFFFF"/>
        </w:rPr>
        <w:lastRenderedPageBreak/>
        <w:t>qed tieħu sehem fl-adozzjoni ta’ din id-Direttiva u mhix marbuta biha jew suġġetta għall-applikazzjoni tagħha.</w:t>
      </w:r>
    </w:p>
    <w:p>
      <w:pPr>
        <w:pStyle w:val="ManualConsidrant"/>
        <w:rPr>
          <w:noProof/>
          <w:shd w:val="clear" w:color="auto" w:fill="FFFFFF"/>
        </w:rPr>
      </w:pPr>
      <w:r>
        <w:t>(4)</w:t>
      </w:r>
      <w:r>
        <w:tab/>
      </w:r>
      <w:r>
        <w:rPr>
          <w:noProof/>
        </w:rPr>
        <w:t xml:space="preserve">F’konformità mal-Artikoli 1 u 2 tal-Protokoll Nru 22 dwar il-pożizzjoni tad-Danimarka, </w:t>
      </w:r>
      <w:r>
        <w:rPr>
          <w:noProof/>
          <w:shd w:val="clear" w:color="auto" w:fill="FFFFFF"/>
        </w:rPr>
        <w:t>anness mat-Trattat dwar l-Unjoni Ewropea u mat-Trattat dwar il-Funzjonament tal-Unjoni Ewropea, id-Danimarka mhix qed tieħu sehem fl-adozzjoni ta’ din id-Direttiva u mhix marbuta biha jew suġġetta għall-applikazzjoni tagħha</w:t>
      </w:r>
      <w:r>
        <w:rPr>
          <w:noProof/>
        </w:rPr>
        <w:t>.</w:t>
      </w:r>
    </w:p>
    <w:p>
      <w:pPr>
        <w:pStyle w:val="ManualConsidrant"/>
        <w:rPr>
          <w:noProof/>
          <w:color w:val="444444"/>
          <w:shd w:val="clear" w:color="auto" w:fill="FFFFFF"/>
        </w:rPr>
      </w:pPr>
      <w:r>
        <w:t>(5)</w:t>
      </w:r>
      <w:r>
        <w:tab/>
      </w:r>
      <w:r>
        <w:rPr>
          <w:noProof/>
        </w:rPr>
        <w:t>Għalhekk, jenħtieġ li d-Direttiva 2014/41/UE tiġi emendata skont dan.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Il-Kontrollur Ewropew għall-Protezzjoni tad-</w:t>
      </w:r>
      <w:r>
        <w:rPr>
          <w:i/>
          <w:iCs/>
          <w:noProof/>
        </w:rPr>
        <w:t>Data</w:t>
      </w:r>
      <w:r>
        <w:rPr>
          <w:noProof/>
        </w:rPr>
        <w:t xml:space="preserve"> ġie kkonsultat skont l-Artikolu 42 tar-Regolament (UE) 2018/1725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u ta l-opinjoni tiegħu fil-XX XXXX</w:t>
      </w:r>
      <w:r>
        <w:rPr>
          <w:rStyle w:val="FootnoteReference"/>
          <w:noProof/>
        </w:rPr>
        <w:footnoteReference w:id="13"/>
      </w:r>
      <w:r>
        <w:rPr>
          <w:noProof/>
        </w:rPr>
        <w:t>,</w:t>
      </w:r>
    </w:p>
    <w:p>
      <w:pPr>
        <w:pStyle w:val="Formuledadoption"/>
        <w:rPr>
          <w:noProof/>
        </w:rPr>
      </w:pPr>
      <w:r>
        <w:rPr>
          <w:noProof/>
        </w:rPr>
        <w:t>ADOTTAW DIN ID-DIRETTIVA: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Artikolu 1</w:t>
      </w:r>
    </w:p>
    <w:p>
      <w:pPr>
        <w:pStyle w:val="Titrearticle"/>
        <w:spacing w:before="0"/>
        <w:rPr>
          <w:b/>
          <w:noProof/>
        </w:rPr>
      </w:pPr>
      <w:r>
        <w:rPr>
          <w:b/>
          <w:noProof/>
        </w:rPr>
        <w:t>Emendi għad-Direttiva 2014/41/UE</w:t>
      </w:r>
    </w:p>
    <w:p>
      <w:pPr>
        <w:rPr>
          <w:noProof/>
        </w:rPr>
      </w:pPr>
      <w:r>
        <w:rPr>
          <w:noProof/>
        </w:rPr>
        <w:t>L-Artikolu 20 tad-Direttiva 2014/41/UE jitħassar.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L-Istati Membri għandhom idaħħlu fis-seħħ il-liġijiet, ir-regolamenti u d-dispożizzjonijiet amministrattivi neċessarji sabiex jikkonformaw ma’ din id-Direttiva sa mhux aktar tard minn [sena wara l-adozzjoni]. Huma għandhom jikkomunikaw minnufih it-test ta’ dawk id-dispożizzjonijiet lill-Kummissjoni.</w:t>
      </w:r>
    </w:p>
    <w:p>
      <w:pPr>
        <w:pStyle w:val="Text1"/>
        <w:rPr>
          <w:noProof/>
        </w:rPr>
      </w:pPr>
      <w:r>
        <w:rPr>
          <w:noProof/>
        </w:rPr>
        <w:t>Meta l-Istati Membri jadottaw dawk id-dispożizzjonijiet, fihom għandu jkun hemm referenza għal din id-Direttiva jew għandhom ikunu akkumpanjati minn dik ir-referenza meta ssir il-pubblikazzjoni uffiċjali tagħhom. Huma l-Istati Membri li għandhom jiddeċiedu kif issir dik ir-referenza.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L-Istati Membri għandhom jikkomunikaw lill-Kummissjoni t-test tad-dispożizzjonijiet ewlenin tal-liġi nazzjonali li huma jadottaw fil-qasam kopert minn din id-Direttiva.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id-Direttiva għandha tidħol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keepNext/>
        <w:keepLines/>
        <w:rPr>
          <w:noProof/>
        </w:rPr>
      </w:pPr>
      <w:r>
        <w:rPr>
          <w:noProof/>
        </w:rPr>
        <w:t>Din id-Direttiva hija indirizzata lill-Istati Membri skont it-Trattati.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Id-Direttiva (UE) 2016/680 tal-Parlament Ewropew u tal-Kunsill tas-27 ta’ April 2016 dwar il-protezzjoni ta’ persuni fiżiċi fir-rigward tal-ipproċessar ta’ </w:t>
      </w:r>
      <w:r>
        <w:rPr>
          <w:i/>
          <w:iCs/>
        </w:rPr>
        <w:t>data</w:t>
      </w:r>
      <w:r>
        <w:t xml:space="preserve"> personali mill-awtoritajiet kompetenti għall-finijiet tal-prevenzjoni, l-investigazzjoni, is-sejbien jew il-prosekuzzjoni ta’ reati kriminali jew l-eżekuzzjoni ta’ pieni kriminali, u dwar il-moviment liberu ta’ tali </w:t>
      </w:r>
      <w:r>
        <w:rPr>
          <w:i/>
          <w:iCs/>
        </w:rPr>
        <w:t>data</w:t>
      </w:r>
      <w:r>
        <w:t>, u li tħassar id-Deċiżjoni Qafas tal-Kunsill 2008/977/ĠAI (ĠU L 119, 4.5.2016, p. 89).</w:t>
      </w: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Id-Deċiżjoni Qafas tal-Kunsill 2008/977/ĠAI tas-27 ta’ Novembru 2008 dwar il-protezzjoni ta’ </w:t>
      </w:r>
      <w:r>
        <w:rPr>
          <w:i/>
          <w:iCs/>
        </w:rPr>
        <w:t>data</w:t>
      </w:r>
      <w:r>
        <w:t xml:space="preserve"> personali pproċessata fil-qafas tal-kooperazzjoni tal-pulizija u dik ġudizzjarja f’materji kriminali (ĠU L 350, 30.12.2008, p. 60).</w:t>
      </w:r>
    </w:p>
  </w:footnote>
  <w:footnote w:id="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COM(2020) 262 final.</w:t>
      </w:r>
    </w:p>
  </w:footnote>
  <w:footnote w:id="4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ĠU L 130, 1.5.2014, p. 1.</w:t>
      </w:r>
    </w:p>
  </w:footnote>
  <w:footnote w:id="5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Ir-Regolament (UE) Nru 2016/679 tal-Parlament Ewropew u tal-Kunsill tas-27 ta’ April 2016 dwar il-protezzjoni tal-persuni fiżiċi fir-rigward tal-ipproċessar ta’ </w:t>
      </w:r>
      <w:r>
        <w:rPr>
          <w:i/>
          <w:iCs/>
        </w:rPr>
        <w:t>data</w:t>
      </w:r>
      <w:r>
        <w:t xml:space="preserve"> personali u dwar il-moviment liberu ta’ tali </w:t>
      </w:r>
      <w:r>
        <w:rPr>
          <w:i/>
          <w:iCs/>
        </w:rPr>
        <w:t>data</w:t>
      </w:r>
      <w:r>
        <w:t>, u li jħassar id-Direttiva 95/46/KE (Regolament Ġenerali dwar il-Protezzjoni tad-</w:t>
      </w:r>
      <w:r>
        <w:rPr>
          <w:i/>
          <w:iCs/>
        </w:rPr>
        <w:t>Data</w:t>
      </w:r>
      <w:r>
        <w:t>) (ĠU L 119, 4.5.2016, p. 1).</w:t>
      </w:r>
    </w:p>
  </w:footnote>
  <w:footnote w:id="6">
    <w:p>
      <w:pPr>
        <w:pStyle w:val="NormalWeb"/>
        <w:spacing w:before="0" w:after="0"/>
        <w:ind w:left="284" w:hanging="284"/>
        <w:rPr>
          <w:sz w:val="22"/>
          <w:szCs w:val="22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Il-proġett pilota ġie mitlub mill-Parlament Ewropew, ġestit mill-Kummissjoni u mwettaq minn kuntrattur (grupp ta’ esperti indipendenti). Il-Kummissjoni għażlet il-kuntrattur abbażi tal-kriterji stabbiliti mill-Parlament. Ir-riżultati tanġibbli tal-proġett jirriflettu l-fehmiet u l-opinjonijiet tal-kuntrattur biss, u l-Kummissjoni ma tistax tinżamm responsabbli għal kwalunkwe użu li jista’ jsir mill-informazzjoni li tinsab fih. Ir-riżultati huma ppubblikati fuq</w:t>
      </w:r>
      <w:r>
        <w:t xml:space="preserve"> </w:t>
      </w:r>
      <w:hyperlink r:id="rId1" w:history="1">
        <w:r>
          <w:rPr>
            <w:rStyle w:val="Hyperlink"/>
            <w:sz w:val="20"/>
            <w:szCs w:val="20"/>
          </w:rPr>
          <w:t>http://www.fondazionebrodolini.it/en/projects/pilot-project-fundamental-rights-review-eu-data-collectioninstruments-and-programmes</w:t>
        </w:r>
      </w:hyperlink>
      <w:r>
        <w:rPr>
          <w:sz w:val="22"/>
          <w:szCs w:val="22"/>
        </w:rPr>
        <w:t xml:space="preserve"> </w:t>
      </w:r>
    </w:p>
  </w:footnote>
  <w:footnote w:id="7">
    <w:p>
      <w:pPr>
        <w:pStyle w:val="NormalWeb"/>
        <w:spacing w:before="0" w:after="0"/>
        <w:ind w:left="284" w:hanging="284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 xml:space="preserve">QĠUE, 9 ta’ Novembru 2010, </w:t>
      </w:r>
      <w:r>
        <w:rPr>
          <w:i/>
          <w:sz w:val="20"/>
          <w:szCs w:val="20"/>
        </w:rPr>
        <w:t xml:space="preserve">Volker und Markus Schecke </w:t>
      </w:r>
      <w:r>
        <w:rPr>
          <w:sz w:val="20"/>
          <w:szCs w:val="20"/>
        </w:rPr>
        <w:t>u</w:t>
      </w:r>
      <w:r>
        <w:rPr>
          <w:i/>
          <w:sz w:val="20"/>
          <w:szCs w:val="20"/>
        </w:rPr>
        <w:t xml:space="preserve"> Eifert,</w:t>
      </w:r>
      <w:r>
        <w:rPr>
          <w:sz w:val="20"/>
          <w:szCs w:val="20"/>
        </w:rPr>
        <w:t xml:space="preserve"> Kawżi Magħquda C-92/09 u C-93/09 (ECLI:EU:C:2009:284, par. 48).</w:t>
      </w:r>
    </w:p>
  </w:footnote>
  <w:footnote w:id="8">
    <w:p>
      <w:pPr>
        <w:pStyle w:val="NormalWeb"/>
        <w:spacing w:before="0" w:after="0"/>
        <w:ind w:left="284" w:hanging="284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F’konformità mal-Artikolu 52(1) tal-Karta, l-eżerċizzju tad-dritt għall-protezzjoni tad-</w:t>
      </w:r>
      <w:r>
        <w:rPr>
          <w:i/>
          <w:iCs/>
          <w:sz w:val="20"/>
          <w:szCs w:val="20"/>
        </w:rPr>
        <w:t>data</w:t>
      </w:r>
      <w:r>
        <w:rPr>
          <w:sz w:val="20"/>
          <w:szCs w:val="20"/>
        </w:rPr>
        <w:t xml:space="preserve"> jista’ jkun soġġett għal limitazzjonijiet previsti mil-liġi, li jirrispettaw l-essenza tad-dritt u l-libertajiet, u (soġġett għall-prinċipju tal-proporzjonalità) ikunu meħtieġa u ġenwinament jilħqu l-objettivi ta’ interess ġenerali rikonoxxuti mill-Unjoni jew il-ħtieġa li jiġu protetti d-drittijiet u l-libertajiet ta’ oħrajn.</w:t>
      </w:r>
    </w:p>
  </w:footnote>
  <w:footnote w:id="9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Id-Direttiva (UE) 2016/680 tal-Parlament Ewropew u tal-Kunsill tas-27 ta’ April 2016 dwar il-protezzjoni ta’ persuni fiżiċi fir-rigward tal-ipproċessar ta’ </w:t>
      </w:r>
      <w:r>
        <w:rPr>
          <w:i/>
          <w:iCs/>
        </w:rPr>
        <w:t>data</w:t>
      </w:r>
      <w:r>
        <w:t xml:space="preserve"> personali mill-awtoritajiet kompetenti għall-finijiet tal-prevenzjoni, l-investigazzjoni, is-sejbien jew il-prosekuzzjoni ta’ reati kriminali jew l-eżekuzzjoni ta’ pieni kriminali, u dwar il-moviment liberu ta’ tali </w:t>
      </w:r>
      <w:r>
        <w:rPr>
          <w:i/>
          <w:iCs/>
        </w:rPr>
        <w:t>data</w:t>
      </w:r>
      <w:r>
        <w:t>, u li tħassar id-Deċiżjoni Qafas tal-Kunsill 2008/977/ĠAI (ĠU L 119, 4.5.2016, p. 89).</w:t>
      </w:r>
    </w:p>
  </w:footnote>
  <w:footnote w:id="10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Id-Direttiva 2014/41/UE tal-Parlament Ewropew u tal-Kunsill tat-3 ta’ April 2014 dwar l-Ordni ta’ Investigazzjoni Ewropew f’materji kriminali (</w:t>
      </w:r>
      <w:r>
        <w:rPr>
          <w:rStyle w:val="Emphasis"/>
          <w:i w:val="0"/>
        </w:rPr>
        <w:t>ĠU L 130, 1.5.2014, p. 1)</w:t>
      </w:r>
      <w:r>
        <w:rPr>
          <w:rStyle w:val="Emphasis"/>
        </w:rPr>
        <w:t xml:space="preserve">. </w:t>
      </w:r>
    </w:p>
  </w:footnote>
  <w:footnote w:id="11">
    <w:p>
      <w:pPr>
        <w:pStyle w:val="FootnoteText"/>
        <w:ind w:left="284" w:hanging="284"/>
        <w:rPr>
          <w:i/>
        </w:rPr>
      </w:pPr>
      <w:r>
        <w:rPr>
          <w:rStyle w:val="FootnoteReference"/>
        </w:rPr>
        <w:footnoteRef/>
      </w:r>
      <w:r>
        <w:tab/>
        <w:t xml:space="preserve">Ir-Regolament (UE) Nru 2016/679 tal-Parlament Ewropew u tal-Kunsill tas-27 ta’ April 2016 dwar il-protezzjoni tal-persuni fiżiċi fir-rigward tal-ipproċessar ta’ </w:t>
      </w:r>
      <w:r>
        <w:rPr>
          <w:i/>
          <w:iCs/>
        </w:rPr>
        <w:t>data</w:t>
      </w:r>
      <w:r>
        <w:t xml:space="preserve"> personali u dwar il-moviment liberu ta’ tali </w:t>
      </w:r>
      <w:r>
        <w:rPr>
          <w:i/>
          <w:iCs/>
        </w:rPr>
        <w:t>data</w:t>
      </w:r>
      <w:r>
        <w:t>, u li jħassar id-Direttiva 95/46/KE (Regolament Ġenerali dwar il-Protezzjoni tad-</w:t>
      </w:r>
      <w:r>
        <w:rPr>
          <w:i/>
          <w:iCs/>
        </w:rPr>
        <w:t>Data</w:t>
      </w:r>
      <w:r>
        <w:t>) (ĠU L 119, 4.5.2016, p. 1).</w:t>
      </w:r>
    </w:p>
  </w:footnote>
  <w:footnote w:id="1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 xml:space="preserve">Ir-Regolament (UE) 2018/1725 tal-Parlament Ewropew u tal-Kunsill tat-23 ta’ Ottubru 2018 dwar il-protezzjoni ta’ persuni fiżiċi fir-rigward tal-ipproċessar ta’ </w:t>
      </w:r>
      <w:r>
        <w:rPr>
          <w:i/>
          <w:iCs/>
        </w:rPr>
        <w:t>data</w:t>
      </w:r>
      <w:r>
        <w:t xml:space="preserve"> personali mill‐istituzzjonijiet, korpi, uffiċċji u aġenziji tal-Unjoni u dwar il-moviment liberu ta’ tali </w:t>
      </w:r>
      <w:r>
        <w:rPr>
          <w:i/>
          <w:iCs/>
        </w:rPr>
        <w:t>data</w:t>
      </w:r>
      <w:r>
        <w:t>, u li jħassar ir-Regolament (KE) Nru 45/2001 u d-Deċiżjoni Nru 1247/2002/KE (ĠU L 295, 21.11.2018, p. 39).</w:t>
      </w:r>
    </w:p>
  </w:footnote>
  <w:footnote w:id="1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F090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51E01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E2CC9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E18FB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F0CC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A3284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EA9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A29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1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9 12:38:5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3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B444CD5-40F7-4CDE-A8A7-6E7289187790"/>
    <w:docVar w:name="LW_COVERPAGE_TYPE" w:val="1"/>
    <w:docVar w:name="LW_CROSSREFERENCE" w:val="&lt;UNUSED&gt;"/>
    <w:docVar w:name="LW_DocType" w:val="COM"/>
    <w:docVar w:name="LW_EMISSION" w:val="20.1.2021"/>
    <w:docVar w:name="LW_EMISSION_ISODATE" w:val="2021-01-20"/>
    <w:docVar w:name="LW_EMISSION_LOCATION" w:val="BRX"/>
    <w:docVar w:name="LW_EMISSION_PREFIX" w:val="Brussell, "/>
    <w:docVar w:name="LW_EMISSION_SUFFIX" w:val=" "/>
    <w:docVar w:name="LW_ID_DOCMODEL" w:val="SJ-024"/>
    <w:docVar w:name="LW_ID_DOCSIGNATURE" w:val="SJ-024"/>
    <w:docVar w:name="LW_ID_DOCSTRUCTURE" w:val="COM/PL/ORG"/>
    <w:docVar w:name="LW_ID_DOCTYPE" w:val="SJ-024"/>
    <w:docVar w:name="LW_ID_EXP.MOTIFS.NEW" w:val="EM_PL_"/>
    <w:docVar w:name="LW_ID_STATUT" w:val="SJ-024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09"/>
    <w:docVar w:name="LW_REF.II.NEW.CP_YEAR" w:val="2021"/>
    <w:docVar w:name="LW_REF.INST.NEW" w:val="COM"/>
    <w:docVar w:name="LW_REF.INST.NEW_ADOPTED" w:val="final"/>
    <w:docVar w:name="LW_REF.INST.NEW_TEXT" w:val="(2021) 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emenda d-Direttiva 2014/41/UE, fir-rigward tal-allinjament tag\u295?ha mar-regoli tal-UE dwar il-protezzjoni tad-&lt;FMT:Italic&gt;data&lt;/FMT&gt; personali"/>
    <w:docVar w:name="LW_TYPE.DOC.CP" w:val="DIRETTIVA TAL-PARLAMENT EWROPEW U TAL-KUNSILL"/>
    <w:docVar w:name="Stamp" w:val="\\dossiers.dgt.cec.eu.int\dossiers\JUST\JUST-2020-06188\JUST-2020-06188-00-00-EN-EDT-00.202011300919289771161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2"/>
      </w:numPr>
    </w:pPr>
    <w:rPr>
      <w:rFonts w:eastAsia="Times New Roman"/>
      <w:lang w:eastAsia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Pr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1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2"/>
      </w:numPr>
    </w:pPr>
    <w:rPr>
      <w:rFonts w:eastAsia="Times New Roman"/>
      <w:lang w:eastAsia="en-GB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Pr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brodolini.it/en/projects/pilot-project-fundamental-rights-review-eu-data-collectioninstruments-and-programm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486672-9765-4E46-8701-A0C9967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8</Pages>
  <Words>1744</Words>
  <Characters>13136</Characters>
  <Application>Microsoft Office Word</Application>
  <DocSecurity>0</DocSecurity>
  <Lines>215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2021-01-15T10:46:00Z</dcterms:created>
  <dcterms:modified xsi:type="dcterms:W3CDTF">2021-01-19T11:38:00Z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SJ-024</vt:lpwstr>
  </property>
  <property fmtid="{D5CDD505-2E9C-101B-9397-08002B2CF9AE}" pid="10" name="DQCStatus">
    <vt:lpwstr>Green (DQC version 03)</vt:lpwstr>
  </property>
</Properties>
</file>