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9B8419C0-378F-4115-80C6-686150C26EB0" style="width:450.75pt;height:393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PERUSTELUT</w:t>
      </w:r>
    </w:p>
    <w:p>
      <w:pPr>
        <w:pStyle w:val="ManualHeading1"/>
        <w:rPr>
          <w:rFonts w:eastAsia="Arial Unicode MS"/>
          <w:noProof/>
        </w:rPr>
      </w:pPr>
      <w:r>
        <w:t>1.</w:t>
      </w:r>
      <w:r>
        <w:tab/>
      </w:r>
      <w:r>
        <w:rPr>
          <w:noProof/>
        </w:rPr>
        <w:t>Ehdotuksen kohde</w:t>
      </w:r>
    </w:p>
    <w:p>
      <w:pPr>
        <w:rPr>
          <w:noProof/>
        </w:rPr>
      </w:pPr>
      <w:r>
        <w:rPr>
          <w:noProof/>
        </w:rPr>
        <w:t>Tämä ehdotus koskee päätöstä ETA:n sekakomiteassa unionin puolesta otettavan kannan vahvistamisesta muutoksiin, jotka on määrä hyväksyä tavarakuljetusten tarkastusten ja muodollisuuksien yksinkertaistamista sekä turvallisuuteen liittyviä tullitoimenpiteitä koskevaan pöytäkirjaan 10, joka sisältyy Euroopan yhteisön ja Euroopan talousalueen väliseen sopimukseen, jäljempänä ’ETA-sopimus’. Kanta koskee ainoastaan EU:ta ja Norjaa.</w:t>
      </w:r>
    </w:p>
    <w:p>
      <w:pPr>
        <w:pStyle w:val="ManualHeading1"/>
        <w:rPr>
          <w:noProof/>
        </w:rPr>
      </w:pPr>
      <w:r>
        <w:t>2.</w:t>
      </w:r>
      <w:r>
        <w:tab/>
      </w:r>
      <w:r>
        <w:rPr>
          <w:noProof/>
        </w:rPr>
        <w:t>Ehdotuksen tausta</w:t>
      </w:r>
    </w:p>
    <w:p>
      <w:pPr>
        <w:pStyle w:val="ManualHeading2"/>
        <w:rPr>
          <w:noProof/>
        </w:rPr>
      </w:pPr>
      <w:r>
        <w:t>2.1.</w:t>
      </w:r>
      <w:r>
        <w:tab/>
      </w:r>
      <w:r>
        <w:rPr>
          <w:noProof/>
        </w:rPr>
        <w:t xml:space="preserve">Tavarakuljetusten tarkastusten ja muodollisuuksien yksinkertaistamista sekä turvallisuuteen liittyviä tullitoimenpiteitä koskevan pöytäkirjan muuttaminen  </w:t>
      </w:r>
    </w:p>
    <w:p>
      <w:pPr>
        <w:rPr>
          <w:rFonts w:eastAsia="Arial Unicode MS"/>
          <w:noProof/>
        </w:rPr>
      </w:pPr>
      <w:r>
        <w:rPr>
          <w:noProof/>
        </w:rPr>
        <w:t xml:space="preserve">Tavarakuljetusten tarkastusten ja muodollisuuksien yksinkertaistamista sekä turvallisuuteen liittyviä tullitoimenpiteitä koskevalla pöytäkirjalla, jäljempänä ’pöytäkirja’, vapautetaan elinkeinonharjoittajat velvollisuudesta toimittaa tulliviranomaisille saapumisen yleisilmoitus ennen tuontia ja vientiä EU:n ja Norjan välisessä kahdenvälisessä kaupassa. Samalla Norja toteuttaa kolmansien maiden kanssa käytävässä kaupassa turvallisuuteen liittyviä tullitoimenpiteitä, jotka vastaavat EU:ssa toteutettavia toimenpiteitä. Pöytäkirja tuli voimaan 1. heinäkuuta 2009. Se on taannut saumattomat kauppavirrat Norjan ja EU:n välillä sekä korkean turvallisuustason toimitusketjussa.  </w:t>
      </w:r>
    </w:p>
    <w:p>
      <w:pPr>
        <w:rPr>
          <w:rFonts w:eastAsia="Arial Unicode MS"/>
          <w:noProof/>
        </w:rPr>
      </w:pPr>
      <w:r>
        <w:rPr>
          <w:noProof/>
        </w:rPr>
        <w:t>Tällä hetkellä kummallakin osapuolella on oma saapumisen yleisilmoitusten hallinnointijärjestelmänsä (EU:ssa se on tuontivalvontajärjestelmä ICS). Järjestelmiä ei ole liitetty toisiinsa.</w:t>
      </w:r>
    </w:p>
    <w:p>
      <w:pPr>
        <w:rPr>
          <w:rFonts w:eastAsia="Arial Unicode MS"/>
          <w:noProof/>
        </w:rPr>
      </w:pPr>
      <w:r>
        <w:rPr>
          <w:noProof/>
        </w:rPr>
        <w:t>Komissio on vuodesta 2016 lähtien käynyt alustavia keskusteluja sopimuksen ajantasaistamiseksi ja Norjan tulevan osallistumisen sisällyttämiseksi osaksi EU:n uutta tullialan ohjelmaa, joka koskee saapumista edeltävää turvallisuutta ja vaarattomuutta, eli tuontivalvontajärjestelmää 2 (ICS2), joka on keskitetty järjestelmä.</w:t>
      </w:r>
    </w:p>
    <w:p>
      <w:pPr>
        <w:rPr>
          <w:rFonts w:eastAsia="Arial Unicode MS"/>
          <w:noProof/>
        </w:rPr>
      </w:pPr>
      <w:r>
        <w:rPr>
          <w:noProof/>
        </w:rPr>
        <w:t>Unionin tullikoodeksissa (UTK) säädetään toimenpiteistä, jotka sisältyvät uuteen ICS2-hankkeeseen ja muuttavat merkittävästi EU:hun tulevien tavaroiden ennakkotullioperaatioita ja yleistä yhteistä riskinhallintakehystä. Uudella ohjelmalla uudistetaan nykyistä prosessia tietotekniikan, oikeudellisten kysymysten, tullialan riskinhallinnan ja tarkastusten sekä kaupan toiminnan suhteen. Ohjelman avulla voidaan kerätä tietoja kaikista EU:hun tulevista tavaroista ennen niiden saapumista. Talouden toimijoiden on ilmoitettava turvallisuutta ja vaarattomuutta koskevat tiedot ICS2:een käyttäen saapumisen yleisilmoitusta. Velvollisuus jättää tällaisia ilmoituksia ei koske kaikkia talouden toimijoita samalla tavalla. Sen soveltaminen riippuu siitä, minkä tyyppisiä palveluita talouden toimijat tarjoavat kansainvälisessä tavaraliikenteessä, ja on kytköksissä ICS2:n kolmen eri julkaisun käyttöönottopäiviin (15.3.2021, 1.3.2023 ja 1.3.2024). Lastitietojen ennakkoilmoitukset ja riskianalyysi mahdollistavat uhkien varhaisen tunnistamisen ja auttavat tulliviranomaisia puuttumaan ongelmiin toimitusketjun sopivimmassa vaiheessa.</w:t>
      </w:r>
    </w:p>
    <w:p>
      <w:pPr>
        <w:rPr>
          <w:rFonts w:eastAsia="Arial Unicode MS"/>
          <w:noProof/>
        </w:rPr>
      </w:pPr>
      <w:r>
        <w:rPr>
          <w:noProof/>
        </w:rPr>
        <w:t xml:space="preserve">ICS2 on näin ollen keskeinen EU:n tullialan väline, jolla parannetaan turvallisuuteen ja vaarattomuuteen liittyvien rajatarkastusten hallinnointia maahantulon yhteydessä ja tuetaan EU:n tullialan ohjelmaa, joka koskee saapumista edeltävää turvallisuutta ja vaarattomuutta. Säilyttääkseen saman turvallisuustason ulkorajoilla Norja on päättänyt liittyä ICS2-hankkeeseen ja olla toimintavalmiina ICS:n ensimmäisen julkaisun käyttöönottoon mennessä eli viimeistään 15. maaliskuuta 2021. Näitä määräyksiä sovelletaan vastaavalla tavalla EU:n </w:t>
      </w:r>
      <w:r>
        <w:rPr>
          <w:noProof/>
        </w:rPr>
        <w:lastRenderedPageBreak/>
        <w:t>ja Sveitsin väliseen tulliturvallisuutta koskevaan sopimukseen tehdyillä samankaltaisilla muutoksilla.</w:t>
      </w:r>
    </w:p>
    <w:p>
      <w:pPr>
        <w:rPr>
          <w:rFonts w:eastAsia="Arial Unicode MS"/>
          <w:noProof/>
        </w:rPr>
      </w:pPr>
      <w:r>
        <w:rPr>
          <w:noProof/>
        </w:rPr>
        <w:t>Ehdotetut muutokset sopimukseen ovat tulosta EU:n, Sveitsin ja Norjan välisistä neuvotteluista, jotka alkoivat marraskuussa 2019 ja päättyivät lokakuussa 2020. Pöytäkirjan II a lukuun tehdyillä muutoksilla on tarkoitus ottaa huomioon kehitys, jota merkityksellisessä EU:n lainsäädännössä on tapahtunut muun muassa valtuutettujen talouden toimijoiden (AEO) sekä riskinhallintaa ja riskianalyysiä koskevan kehyksen suhteen. Näin varmistetaan vastaava turvallisuustaso ulkorajoilla ja parannetaan yhteisen turvallisuusalueen turvallisuutta ja suojaa.</w:t>
      </w:r>
    </w:p>
    <w:p>
      <w:pPr>
        <w:rPr>
          <w:noProof/>
        </w:rPr>
      </w:pPr>
      <w:r>
        <w:rPr>
          <w:noProof/>
        </w:rPr>
        <w:t xml:space="preserve">Sopimukseen sisältyy myös rahoitusjärjestely (liitteessä I oleva III osasto), joka kattaa Norjalle aiheutuvat ICS2:n kehittämiseen ja operatiiviseen käyttöön liittyvät kustannukset sekä ICS2:n toiminnalliset yksityiskohdat, jotka esitetään teknisissä järjestelyissä (liitteessä I oleva II osasto). </w:t>
      </w:r>
    </w:p>
    <w:p>
      <w:pPr>
        <w:pStyle w:val="ManualHeading2"/>
        <w:rPr>
          <w:noProof/>
        </w:rPr>
      </w:pPr>
      <w:r>
        <w:t>2.2.</w:t>
      </w:r>
      <w:r>
        <w:tab/>
      </w:r>
      <w:r>
        <w:rPr>
          <w:noProof/>
        </w:rPr>
        <w:t>ETA:n sekakomitea</w:t>
      </w:r>
    </w:p>
    <w:p>
      <w:pPr>
        <w:rPr>
          <w:rFonts w:eastAsia="Arial Unicode MS"/>
          <w:noProof/>
        </w:rPr>
      </w:pPr>
      <w:r>
        <w:rPr>
          <w:noProof/>
        </w:rPr>
        <w:t>ETA:n sekakomitea on perustettu ETA-sopimuksen 92 artiklalla. ETA:n sekakomitea koostuu sopimuspuolten edustajista ja voi tehdä päätöksiä yhtäältä EU:n ja toisaalta EFTA-valtioiden, jotka puhuvat yhdellä äänellä, yhteisellä sopimuksella.</w:t>
      </w:r>
    </w:p>
    <w:p>
      <w:pPr>
        <w:rPr>
          <w:rFonts w:eastAsia="Arial Unicode MS"/>
          <w:noProof/>
        </w:rPr>
      </w:pPr>
      <w:r>
        <w:rPr>
          <w:noProof/>
        </w:rPr>
        <w:t>Sekakomitea kokoontuu periaatteessa vähintään kerran kuukaudessa, ja sen tehtävänä on varmistaa sopimuksen tehokas täytäntöönpano ja toiminta. Tätä varten se vaihtaa näkemyksiä ja tietoja ja tekee päätöksiä sopimuksessa määrätyissä tapauksissa ja suhteessa sen pöytäkirjoihin. Tässä tarkoituksessa pöytäkirjaa 10 voidaan muuttaa ETA:n sekakomitean päätöksellä sopimuksen 93 artiklan 2 kohdan, 99 artiklan, 100 artiklan, 102 artiklan ja 103 artiklan mukaisesti.</w:t>
      </w:r>
    </w:p>
    <w:p>
      <w:pPr>
        <w:rPr>
          <w:rFonts w:eastAsia="Arial Unicode MS"/>
          <w:noProof/>
        </w:rPr>
      </w:pPr>
      <w:r>
        <w:rPr>
          <w:noProof/>
        </w:rPr>
        <w:t>Oikeusvarmuuden ja yhtenäisyyden varmistamiseksi ETA-alueella on aiheellista, että ETA:n sekakomitea tekee päätöksen pöytäkirjan muuttamisesta, jotta voidaan ottaa huomioon unionin lainsäädännön kehitys. Näitä muutoksia olisi sovellettava samanaikaisesti unionin lainsäädäntöön tehtyjen muutosten kanssa ottaen huomioon sopimuspuolten sisäiset menettelyt.</w:t>
      </w:r>
    </w:p>
    <w:p>
      <w:pPr>
        <w:pStyle w:val="ManualHeading2"/>
        <w:rPr>
          <w:noProof/>
        </w:rPr>
      </w:pPr>
      <w:r>
        <w:t>2.3.</w:t>
      </w:r>
      <w:r>
        <w:tab/>
      </w:r>
      <w:r>
        <w:rPr>
          <w:noProof/>
        </w:rPr>
        <w:t>Suunniteltu sekakomitean säädös</w:t>
      </w:r>
    </w:p>
    <w:p>
      <w:pPr>
        <w:rPr>
          <w:rFonts w:eastAsia="Arial Unicode MS"/>
          <w:noProof/>
        </w:rPr>
      </w:pPr>
      <w:r>
        <w:rPr>
          <w:noProof/>
        </w:rPr>
        <w:t>Sekakomitean on määrä hyväksyä seuraavassa kokouksessaan tai kirjeenvaihtona päätös, joka koskee pöytäkirjan muuttamista, jäljempänä ’suunniteltu säädös’.</w:t>
      </w:r>
    </w:p>
    <w:p>
      <w:pPr>
        <w:rPr>
          <w:rFonts w:eastAsia="Arial Unicode MS"/>
          <w:noProof/>
        </w:rPr>
      </w:pPr>
      <w:r>
        <w:rPr>
          <w:noProof/>
        </w:rPr>
        <w:t>Suunnitellun säädöksen tarkoituksena on varmistaa korkein turvallisuus- ja tarkastustaso tavaroille, jotka tulevat rajojen yli EU:n ja Norjan tullialueille.</w:t>
      </w:r>
    </w:p>
    <w:p>
      <w:pPr>
        <w:rPr>
          <w:rFonts w:eastAsia="Arial Unicode MS"/>
          <w:noProof/>
        </w:rPr>
      </w:pPr>
      <w:r>
        <w:rPr>
          <w:noProof/>
        </w:rPr>
        <w:t xml:space="preserve">Suunnitellusta säädöksestä tulee osapuolia sitova sopimuksen 104 artiklan mukaisesti. Kyseisen artiklan mukaan </w:t>
      </w:r>
      <w:r>
        <w:rPr>
          <w:i/>
          <w:iCs/>
          <w:noProof/>
        </w:rPr>
        <w:t>päätökset, jotka ETA:n sekakomitea tekee sopimuksessa määrätyissä tapauksissa, sitovat sopimuspuolia voimaantulostaan alkaen, ellei kyseisissä päätöksissä toisin määrätä, ja sopimuspuolten on toteutettava tarvittavat toimenpiteet niiden täytäntöönpanon ja soveltamisen varmistamiseksi</w:t>
      </w:r>
      <w:r>
        <w:rPr>
          <w:noProof/>
        </w:rPr>
        <w:t>.</w:t>
      </w:r>
    </w:p>
    <w:p>
      <w:pPr>
        <w:rPr>
          <w:rFonts w:eastAsia="Arial Unicode MS"/>
          <w:noProof/>
        </w:rPr>
      </w:pPr>
      <w:r>
        <w:rPr>
          <w:noProof/>
        </w:rPr>
        <w:t xml:space="preserve">Sopimuksen 103 artiklassa määrätään, että </w:t>
      </w:r>
      <w:r>
        <w:rPr>
          <w:i/>
          <w:iCs/>
          <w:noProof/>
        </w:rPr>
        <w:t>jos tällaista ilmoitusta ei ole tehty kuuden kuukauden kuluttua ETA:n sekakomitean päätöksestä, ETA:n sekakomitean päätöstä sovelletaan väliaikaisesti, kunnes valtiosäännön asettamat vaatimukset täyttyvät, jollei sopimuspuoli ilmoita, ettei tällaista väliaikaista soveltamista voida toteuttaa</w:t>
      </w:r>
      <w:r>
        <w:rPr>
          <w:noProof/>
        </w:rPr>
        <w:t>.</w:t>
      </w:r>
      <w:r>
        <w:rPr>
          <w:i/>
          <w:noProof/>
        </w:rPr>
        <w:t xml:space="preserve"> </w:t>
      </w:r>
      <w:r>
        <w:rPr>
          <w:i/>
          <w:iCs/>
          <w:noProof/>
        </w:rPr>
        <w:t>Jälkimmäisessä tapauksessa tai sopimuspuolen ilmoittaessa, ettei ETA:n sekakomitean päätöstä ratifioida, 102 artiklan 5 kohdassa tarkoitettu keskeyttäminen tulee voimaan kuukauden kuluttua tällaisesta ilmoituksesta, ei kuitenkaan missään tapauksessa ennen päivää, jona vastaava yhteisön säädös pannaan täytäntöön yhteisössä</w:t>
      </w:r>
      <w:r>
        <w:rPr>
          <w:noProof/>
        </w:rPr>
        <w:t>.</w:t>
      </w:r>
    </w:p>
    <w:p>
      <w:pPr>
        <w:pStyle w:val="ManualHeading1"/>
        <w:rPr>
          <w:rFonts w:eastAsia="Arial Unicode MS"/>
          <w:noProof/>
        </w:rPr>
      </w:pPr>
      <w:r>
        <w:lastRenderedPageBreak/>
        <w:t>3.</w:t>
      </w:r>
      <w:r>
        <w:tab/>
      </w:r>
      <w:r>
        <w:rPr>
          <w:noProof/>
        </w:rPr>
        <w:t>Unionin puolesta otettava kanta</w:t>
      </w:r>
    </w:p>
    <w:p>
      <w:pPr>
        <w:pStyle w:val="ManualHeading2"/>
        <w:rPr>
          <w:rFonts w:eastAsia="Arial Unicode MS"/>
          <w:noProof/>
        </w:rPr>
      </w:pPr>
      <w:r>
        <w:t>3.1.</w:t>
      </w:r>
      <w:r>
        <w:tab/>
      </w:r>
      <w:r>
        <w:rPr>
          <w:noProof/>
        </w:rPr>
        <w:t xml:space="preserve">Yleiskatsaus pöytäkirjaan 10 </w:t>
      </w:r>
    </w:p>
    <w:p>
      <w:pPr>
        <w:rPr>
          <w:rFonts w:eastAsia="Arial Unicode MS"/>
          <w:noProof/>
        </w:rPr>
      </w:pPr>
      <w:r>
        <w:rPr>
          <w:noProof/>
        </w:rPr>
        <w:t>Pöytäkirjaa muutettiin viimeksi vuonna 2009 ETA:n sekakomitean päätöksellä</w:t>
      </w:r>
      <w:r>
        <w:rPr>
          <w:rStyle w:val="FootnoteReference"/>
          <w:rFonts w:eastAsia="Arial Unicode MS"/>
          <w:noProof/>
        </w:rPr>
        <w:footnoteReference w:id="1"/>
      </w:r>
      <w:r>
        <w:rPr>
          <w:noProof/>
        </w:rPr>
        <w:t>. Pöytäkirjassa korostetaan EU:n ja Norjan kahdenvälisten kauppasuhteiden erityistä luonnetta sekä suurta yhteistä etua, joka liittyy toisiaan vastaavien turvallisuuteen liittyvien tullitoimenpiteiden täytäntöönpanoon. Pöytäkirjaa 10 muutettiin ottaen huomioon yhteisön ja EFTA-valtioiden yhteinen etu. Tavoitteena oli välttää tarpeettomat rajoitukset ja antaa säännöksiä toisiaan vastaavista turvallisuuteen liittyvistä tullitoimenpiteistä kolmansista maista tulevien ja kolmansiin maihin menevien tavaroiden kuljetuksia varten.</w:t>
      </w:r>
    </w:p>
    <w:p>
      <w:pPr>
        <w:rPr>
          <w:noProof/>
        </w:rPr>
      </w:pPr>
      <w:r>
        <w:rPr>
          <w:noProof/>
        </w:rPr>
        <w:t xml:space="preserve">Pöytäkirja perustuu unionin tullikoodeksista 9 päivänä lokakuuta 2013 annettuun Euroopan parlamentin ja neuvoston asetukseen (EU) N:o 952/2013 sekä seuraaviin täytäntöönpanosäädöksiin ja delegoituihin säädöksiin: </w:t>
      </w:r>
    </w:p>
    <w:p>
      <w:pPr>
        <w:pStyle w:val="Tiret1"/>
        <w:numPr>
          <w:ilvl w:val="0"/>
          <w:numId w:val="11"/>
        </w:numPr>
        <w:rPr>
          <w:noProof/>
        </w:rPr>
      </w:pPr>
      <w:r>
        <w:rPr>
          <w:noProof/>
        </w:rPr>
        <w:t>komission täytäntöönpanoasetus (EU) 2015/2447, mukaan lukien liitteessä B oleva asianomainen sarake;</w:t>
      </w:r>
    </w:p>
    <w:p>
      <w:pPr>
        <w:pStyle w:val="Tiret1"/>
        <w:rPr>
          <w:noProof/>
        </w:rPr>
      </w:pPr>
      <w:r>
        <w:rPr>
          <w:noProof/>
        </w:rPr>
        <w:t>komission täytäntöönpanoasetus (EU) 2017/2089, joka sisältää tietosuojaan ja rekisterinpitoon liittyvät osapuolten vastuut;</w:t>
      </w:r>
    </w:p>
    <w:p>
      <w:pPr>
        <w:pStyle w:val="Tiret1"/>
        <w:rPr>
          <w:noProof/>
        </w:rPr>
      </w:pPr>
      <w:r>
        <w:rPr>
          <w:noProof/>
        </w:rPr>
        <w:t>komission täytäntöönpanopäätös työohjelmasta;</w:t>
      </w:r>
    </w:p>
    <w:p>
      <w:pPr>
        <w:pStyle w:val="Tiret1"/>
        <w:rPr>
          <w:noProof/>
        </w:rPr>
      </w:pPr>
      <w:r>
        <w:rPr>
          <w:noProof/>
        </w:rPr>
        <w:t>komission delegoitu asetus (EU) 2015/2446, mukaan lukien liitteessä B olevat asianomaiset sarakkeet.</w:t>
      </w:r>
    </w:p>
    <w:p>
      <w:pPr>
        <w:rPr>
          <w:rFonts w:eastAsia="Arial Unicode MS"/>
          <w:noProof/>
        </w:rPr>
      </w:pPr>
      <w:r>
        <w:rPr>
          <w:noProof/>
        </w:rPr>
        <w:t xml:space="preserve">Turvallisuuden lisäämiseksi kansainvälisessä tavarakaupassa EU otti vuonna 2006 käyttöön uusia toimenpiteitä, joilla on tarkoitus varmistaa korkeampi tullitarkastusten taso (IP/06/1821). Näitä toimenpiteitä ovat säännöt ja määräajat, joita elinkeinonharjoittajien on noudatettava toimittaessaan tietoja tavaroista ennen tavaroiden tuontia EU:hun tai vientiä EU:sta (sähköiset saapumis- ja poistumisilmoitukset); riskianalyysejä ja riskinhallintaa koskeva EU:n järjestelmä; ja järjestelmä, jolla helpotetaan EU:n valtuutettujen talouden toimijoiden toimintaa. EU ja Norja sopivat myös luovansa yhteisen riskinhallintakehyksen, joka kattaa myös riskeihin liittyvien tietojen vaihdon tarpeen mukaan. </w:t>
      </w:r>
    </w:p>
    <w:p>
      <w:pPr>
        <w:rPr>
          <w:rFonts w:eastAsia="Arial Unicode MS"/>
          <w:noProof/>
        </w:rPr>
      </w:pPr>
      <w:r>
        <w:rPr>
          <w:noProof/>
        </w:rPr>
        <w:t>Sopimusta on muutettu tullitarkastuksia parantavan yhteisen kehyksen kehittämisen yhteydessä sekä tulliliiton ja sitä koskevan lainsäädännön uudistamisen seurauksena. Tarkoituksena on varmistaa korkein turvallisuuden ja tarkastusten taso tavaroille, jotka tulevat rajojen yli EU:n ja Norjan kuningaskunnan tullialueille.</w:t>
      </w:r>
    </w:p>
    <w:p>
      <w:pPr>
        <w:pStyle w:val="ManualHeading2"/>
        <w:rPr>
          <w:rFonts w:eastAsia="Arial Unicode MS"/>
          <w:noProof/>
        </w:rPr>
      </w:pPr>
      <w:r>
        <w:t>3.2.</w:t>
      </w:r>
      <w:r>
        <w:tab/>
      </w:r>
      <w:r>
        <w:rPr>
          <w:rStyle w:val="Heading2Char"/>
          <w:b/>
          <w:noProof/>
          <w:lang w:val="fi-FI"/>
        </w:rPr>
        <w:t xml:space="preserve">Pöytäkirjaan ehdotetut muutokset Norjan osallistumisen ICS2-ohjelmaan huomioon ottamiseksi </w:t>
      </w:r>
    </w:p>
    <w:p>
      <w:pPr>
        <w:rPr>
          <w:noProof/>
        </w:rPr>
      </w:pPr>
      <w:r>
        <w:rPr>
          <w:noProof/>
        </w:rPr>
        <w:t xml:space="preserve">ICS2 on ensimmäinen puolustuslinja sisämarkkinoiden ja EU:n kansalaisten suojelussa. Parannettujen datavetoisten turvallisuuteen liittyvien tulliprosessien ansiosta ICS2 tukee tehokkaiden riskiperusteisia tullitarkastuksia ja helpottaa samalla laillisen kaupan vapaata liikkuvuutta EU:n ulkorajojen yli. </w:t>
      </w:r>
    </w:p>
    <w:p>
      <w:pPr>
        <w:rPr>
          <w:noProof/>
        </w:rPr>
      </w:pPr>
      <w:r>
        <w:rPr>
          <w:noProof/>
        </w:rPr>
        <w:t xml:space="preserve">Ohjelma auttaa luomaan kokonaisvaltaisen, EU-lähestymistavan tullialan riskinhallintakehyksen vahvistamiseksi. Se on keskeinen osa unionin tullikoodeksia ja tullialan riskinhallintastrategiaa. Se on myös neuvoston vuonna 2014 hyväksymän toimintasuunnitelman ja von der Leyenin komission niiden tavoitteiden mukainen, jotka koskevat tulliliiton viemistä seuraavalle tasolle. </w:t>
      </w:r>
    </w:p>
    <w:p>
      <w:pPr>
        <w:rPr>
          <w:noProof/>
        </w:rPr>
      </w:pPr>
      <w:r>
        <w:rPr>
          <w:noProof/>
        </w:rPr>
        <w:lastRenderedPageBreak/>
        <w:t xml:space="preserve">ICS2 on lastitietojen ennakkoilmoitusjärjestelmä, joka mahdollistaa tietojen keräämisen kaikista EU:hun tulevista tavaroista ennen niiden saapumista. Talouden toimijoiden on ilmoitettava turvallisuutta ja vaarattomuutta koskevat tiedot ICS2:een niin sanotulla saapumisen yleisilmoituksella. Velvollisuus jättää tällaisia ilmoituksia ei koske kaikkia talouden toimijoita samalla tavalla. Sen soveltaminen riippuu siitä, minkä tyyppisiä palveluita talouden toimijat tarjoavat kansainvälisessä tavaraliikenteessä, ja on kytköksissä ICS2:n kolmen eri julkaisun käyttöönottopäiviin (15.3.2021, 1.3.2023 ja 1.3.2024). </w:t>
      </w:r>
    </w:p>
    <w:p>
      <w:pPr>
        <w:rPr>
          <w:noProof/>
        </w:rPr>
      </w:pPr>
      <w:r>
        <w:rPr>
          <w:noProof/>
        </w:rPr>
        <w:t>Norja vahvisti 7. lokakuuta 2020 osallistumisensa tuontivalvontajärjestelmään 2 (ICS2), mikä antaa kumppanimaalle mahdollisuuden osallistua ICS2:n yhteiseen kehykseen, joka otetaan käyttöön 15. maaliskuuta 2021.</w:t>
      </w:r>
    </w:p>
    <w:p>
      <w:pPr>
        <w:rPr>
          <w:noProof/>
        </w:rPr>
      </w:pPr>
      <w:r>
        <w:rPr>
          <w:noProof/>
        </w:rPr>
        <w:t xml:space="preserve">Liittyminen ICS2-ohjelmaan edellyttää sopimukseen liittyviä teknisiä ja rahoituksellisia mukautuksia ja erityisesti muutoksia, joissa otetaan huomioon tulliliiton ja sitä koskevan lainsäädännön uudistukset. </w:t>
      </w:r>
    </w:p>
    <w:p>
      <w:pPr>
        <w:pStyle w:val="ManualHeading2"/>
        <w:rPr>
          <w:rFonts w:eastAsia="Arial Unicode MS"/>
          <w:noProof/>
        </w:rPr>
      </w:pPr>
      <w:r>
        <w:t>3.3.</w:t>
      </w:r>
      <w:r>
        <w:tab/>
      </w:r>
      <w:r>
        <w:rPr>
          <w:noProof/>
        </w:rPr>
        <w:t>Pöytäkirjaan ehdotetut oikeudelliset muutokset UTK:n uudistamisen yhteydessä</w:t>
      </w:r>
    </w:p>
    <w:p>
      <w:pPr>
        <w:rPr>
          <w:noProof/>
        </w:rPr>
      </w:pPr>
      <w:r>
        <w:rPr>
          <w:noProof/>
        </w:rPr>
        <w:t>Pöytäkirjan muuttamista koskevaan luonnokseen tehdyt tärkeimmät muutokset perustuvat pääasiassa unionin tullikoodeksista annettuun asetukseen (EU) N:o 952/2013 sekä sen täytäntöönpanoasetukseen (EU) 2015/2447 ja delegoituun asetukseen (EU) 2015/2446. Näiden muutosten myötä pöytäkirja vastaa uusinta EU:n lainsäädäntöä siltä osin kuin on kyse turvallisuuteen liittyvistä tullitoimenpiteistä, saapumisen ja poistumisen yleisilmoituksista, tarvittavien sähköisten järjestelmien kehittämisestä ja käyttöönotosta, valtuutetuista talouden toimijoista sekä yhteisestä riskianalyysiprosessista ja riskinhallintakehyksestä. Samalla otetaan huomioon tuoreimmat henkilötietojen suojaa koskevat säännökset.</w:t>
      </w:r>
    </w:p>
    <w:p>
      <w:pPr>
        <w:rPr>
          <w:noProof/>
        </w:rPr>
      </w:pPr>
      <w:r>
        <w:rPr>
          <w:noProof/>
        </w:rPr>
        <w:t>Pöytäkirjaan tehtyjen merkittävien muutosten perustana on käytetty seuraavia säädöksiä:</w:t>
      </w:r>
    </w:p>
    <w:p>
      <w:pPr>
        <w:pStyle w:val="Tiret1"/>
        <w:rPr>
          <w:noProof/>
        </w:rPr>
      </w:pPr>
      <w:r>
        <w:rPr>
          <w:b/>
          <w:noProof/>
        </w:rPr>
        <w:t>Euroopan parlamentin ja neuvoston asetus (EU) N:o 952/2013, annettu 9 päivänä lokakuuta 2013</w:t>
      </w:r>
      <w:r>
        <w:rPr>
          <w:noProof/>
        </w:rPr>
        <w:t xml:space="preserve">, unionin tullikoodeksista: </w:t>
      </w:r>
    </w:p>
    <w:p>
      <w:pPr>
        <w:pStyle w:val="Bullet2"/>
        <w:numPr>
          <w:ilvl w:val="0"/>
          <w:numId w:val="12"/>
        </w:numPr>
        <w:rPr>
          <w:noProof/>
        </w:rPr>
      </w:pPr>
      <w:r>
        <w:rPr>
          <w:noProof/>
        </w:rPr>
        <w:t>46 artikla, joka koskee riskinhallintaa ja tullitarkastuksia;</w:t>
      </w:r>
    </w:p>
    <w:p>
      <w:pPr>
        <w:pStyle w:val="Bullet2"/>
        <w:rPr>
          <w:noProof/>
        </w:rPr>
      </w:pPr>
      <w:r>
        <w:rPr>
          <w:noProof/>
        </w:rPr>
        <w:t>127 artikla, joka koskee säännöksiä saapumisen yleisilmoituksen antamisesta: ilmoituksen muoto ja sisältö, sähköisten järjestelmien käyttö, ilmoitusvelvollisuus ja vapautukset, määräajat, rekisteröinti, ilmoituksen jättämisestä vastaavat henkilöt, turvallisuuteen ja vaarattomuuteen liittyvä riskianalyysi ja tietojen toimittaminen useammassa erässä;</w:t>
      </w:r>
    </w:p>
    <w:p>
      <w:pPr>
        <w:pStyle w:val="Bullet2"/>
        <w:rPr>
          <w:noProof/>
        </w:rPr>
      </w:pPr>
      <w:r>
        <w:rPr>
          <w:noProof/>
        </w:rPr>
        <w:t>128 artikla, joka koskee riskianalyysiä;</w:t>
      </w:r>
    </w:p>
    <w:p>
      <w:pPr>
        <w:pStyle w:val="Bullet2"/>
        <w:rPr>
          <w:noProof/>
        </w:rPr>
      </w:pPr>
      <w:r>
        <w:rPr>
          <w:noProof/>
        </w:rPr>
        <w:t>6 artiklan 1 kohta, 12 artikla, 16 artikla, 46 artikla, 47 artikla sekä 127–133 artikla, joissa vahvistetaan oikeusperusta ICS2:n kehittämiselle ja käyttöönotolle;</w:t>
      </w:r>
    </w:p>
    <w:p>
      <w:pPr>
        <w:pStyle w:val="Tiret1"/>
        <w:rPr>
          <w:noProof/>
        </w:rPr>
      </w:pPr>
      <w:r>
        <w:rPr>
          <w:b/>
          <w:bCs/>
          <w:noProof/>
        </w:rPr>
        <w:t>komission täytäntöönpanopäätös (EU) 2019/2151, annettu 13 päivänä joulukuuta 2019</w:t>
      </w:r>
      <w:r>
        <w:rPr>
          <w:noProof/>
        </w:rPr>
        <w:t>, unionin tullikoodeksissa säädettyjen sähköisten järjestelmien kehittämistä ja käyttöönottoa koskevan työohjelman vahvistamisesta;</w:t>
      </w:r>
    </w:p>
    <w:p>
      <w:pPr>
        <w:pStyle w:val="Tiret1"/>
        <w:rPr>
          <w:noProof/>
        </w:rPr>
      </w:pPr>
      <w:r>
        <w:rPr>
          <w:b/>
          <w:noProof/>
        </w:rPr>
        <w:t>komission delegoitu asetus (EU) 2015/2446</w:t>
      </w:r>
      <w:r>
        <w:rPr>
          <w:noProof/>
        </w:rPr>
        <w:t xml:space="preserve"> (sellaisena kuin sitä sovelletaan 16. heinäkuuta 2020):</w:t>
      </w:r>
    </w:p>
    <w:p>
      <w:pPr>
        <w:pStyle w:val="Bullet2"/>
        <w:rPr>
          <w:noProof/>
        </w:rPr>
      </w:pPr>
      <w:r>
        <w:rPr>
          <w:noProof/>
        </w:rPr>
        <w:t>104 artikla, 106 artikla, 112 artikla, 113 artikla ja 113 a artikla, jotka koskevat saapumisen yleisilmoitusta;</w:t>
      </w:r>
    </w:p>
    <w:p>
      <w:pPr>
        <w:pStyle w:val="Bullet2"/>
        <w:rPr>
          <w:noProof/>
        </w:rPr>
      </w:pPr>
      <w:r>
        <w:rPr>
          <w:noProof/>
        </w:rPr>
        <w:lastRenderedPageBreak/>
        <w:t>tietovaatimuksia koskeva liite B;</w:t>
      </w:r>
    </w:p>
    <w:p>
      <w:pPr>
        <w:pStyle w:val="Tiret1"/>
        <w:rPr>
          <w:noProof/>
        </w:rPr>
      </w:pPr>
      <w:r>
        <w:rPr>
          <w:b/>
          <w:noProof/>
        </w:rPr>
        <w:t>komission täytäntöönpanoasetus (EU) 2015/2447</w:t>
      </w:r>
      <w:r>
        <w:rPr>
          <w:noProof/>
        </w:rPr>
        <w:t xml:space="preserve"> (sellaisena kuin sitä sovelletaan 20. heinäkuuta 2020):</w:t>
      </w:r>
    </w:p>
    <w:p>
      <w:pPr>
        <w:pStyle w:val="Bullet2"/>
        <w:rPr>
          <w:noProof/>
        </w:rPr>
      </w:pPr>
      <w:r>
        <w:rPr>
          <w:noProof/>
        </w:rPr>
        <w:t>24 artikla, joka koskee vaatimusten noudattamista valtuutettujen talouden toimijoiden tapauksessa ja joka korvaa sopimuksen liitteessä II olevan 2 artiklan;</w:t>
      </w:r>
    </w:p>
    <w:p>
      <w:pPr>
        <w:pStyle w:val="Bullet2"/>
        <w:rPr>
          <w:noProof/>
        </w:rPr>
      </w:pPr>
      <w:r>
        <w:rPr>
          <w:noProof/>
        </w:rPr>
        <w:t>182–186 artikla, 188 artikla ja 189 artikla, jotka koskevat saapumisen yleisilmoitusta;</w:t>
      </w:r>
    </w:p>
    <w:p>
      <w:pPr>
        <w:pStyle w:val="Bullet2"/>
        <w:rPr>
          <w:noProof/>
        </w:rPr>
      </w:pPr>
      <w:r>
        <w:rPr>
          <w:noProof/>
        </w:rPr>
        <w:t>tietojen rakennetta ja muotoa koskeva liite B.</w:t>
      </w:r>
    </w:p>
    <w:p>
      <w:pPr>
        <w:rPr>
          <w:noProof/>
        </w:rPr>
      </w:pPr>
      <w:r>
        <w:rPr>
          <w:noProof/>
        </w:rPr>
        <w:t>Uusimmat muutokset komission delegoidun asetuksen (EU) 2015/2446 liitteeseen B ja komission täytäntöönpanoasetuksen (EU) 2015/2447 liitteeseen B on vielä hyväksyttävä virallisesti. Tämän sopimuksen muutosehdotukseen on jätetty paikkamerkit, jotta alaviitteitä voidaan päivittää muutosten julkaisemisen jälkeen (ks. muutetun pöytäkirjan liitteessä I oleva 2 artikla).</w:t>
      </w:r>
    </w:p>
    <w:p>
      <w:pPr>
        <w:rPr>
          <w:noProof/>
        </w:rPr>
      </w:pPr>
      <w:r>
        <w:rPr>
          <w:noProof/>
        </w:rPr>
        <w:t>Komission täytäntöönpanoasetuksen (EU) 2015/2447 24 artiklan muutos hyväksyttiin Euroopan komission tullikoodeksikomiteassa 28. syyskuuta 2020. Muutoksen julkaisupäivää ei ole vielä määritetty.</w:t>
      </w:r>
    </w:p>
    <w:p>
      <w:pPr>
        <w:pStyle w:val="ManualHeading2"/>
        <w:rPr>
          <w:rFonts w:eastAsia="Arial Unicode MS"/>
          <w:noProof/>
        </w:rPr>
      </w:pPr>
      <w:r>
        <w:t>3.4.</w:t>
      </w:r>
      <w:r>
        <w:tab/>
      </w:r>
      <w:r>
        <w:rPr>
          <w:noProof/>
        </w:rPr>
        <w:t>Pöytäkirjaan ehdotetut rakenteelliset muutokset</w:t>
      </w:r>
    </w:p>
    <w:p>
      <w:pPr>
        <w:rPr>
          <w:noProof/>
        </w:rPr>
      </w:pPr>
      <w:r>
        <w:rPr>
          <w:noProof/>
        </w:rPr>
        <w:t>Liitteeseen I tähän saakka sisältyneet saapumisen ja poistumisen yleisilmoitukset on muutetussa pöytäkirjassa jaoteltu kahteen eri osastoon siten, että tavaroiden saapuminen sisältyy I osastoon ja poistuminen IV osastoon. Perusteena on pääosin se, että saapumisen yleisilmoituksesta ja ICS2:sta on annettu yksityiskohtaisempia määräyksiä.</w:t>
      </w:r>
    </w:p>
    <w:p>
      <w:pPr>
        <w:rPr>
          <w:noProof/>
        </w:rPr>
      </w:pPr>
      <w:r>
        <w:rPr>
          <w:noProof/>
        </w:rPr>
        <w:t>Liitteen I rakenteellisen muuttamisen taustalla olevien perustelujen mukaisesti on luotu seuraavat kaksi uutta osastoa:</w:t>
      </w:r>
    </w:p>
    <w:p>
      <w:pPr>
        <w:pStyle w:val="Tiret1"/>
        <w:rPr>
          <w:noProof/>
        </w:rPr>
      </w:pPr>
      <w:r>
        <w:rPr>
          <w:noProof/>
        </w:rPr>
        <w:t>II osasto: Tuontivalvontajärjestelmää 2 koskevat tekniset järjestelyt;</w:t>
      </w:r>
    </w:p>
    <w:p>
      <w:pPr>
        <w:pStyle w:val="Tiret1"/>
        <w:rPr>
          <w:rFonts w:eastAsia="Arial Unicode MS"/>
          <w:noProof/>
        </w:rPr>
      </w:pPr>
      <w:r>
        <w:rPr>
          <w:noProof/>
        </w:rPr>
        <w:t xml:space="preserve">III osasto: Tuontivalvontajärjestelmää 2 koskevat rahoitusjärjestelyt. </w:t>
      </w:r>
    </w:p>
    <w:p>
      <w:pPr>
        <w:pStyle w:val="ManualHeading2"/>
        <w:rPr>
          <w:rFonts w:eastAsia="Arial Unicode MS"/>
          <w:noProof/>
        </w:rPr>
      </w:pPr>
      <w:r>
        <w:t>3.5.</w:t>
      </w:r>
      <w:r>
        <w:tab/>
      </w:r>
      <w:r>
        <w:rPr>
          <w:noProof/>
        </w:rPr>
        <w:t>Unionin puolesta otettava kanta</w:t>
      </w:r>
    </w:p>
    <w:p>
      <w:pPr>
        <w:rPr>
          <w:rFonts w:eastAsia="Arial Unicode MS"/>
          <w:strike/>
          <w:noProof/>
        </w:rPr>
      </w:pPr>
      <w:r>
        <w:rPr>
          <w:noProof/>
        </w:rPr>
        <w:t>Sopimuksen 92 artiklassa määrätään, että sopimuspuolet neuvottelevat ETA:n sekakomiteassa kaikista sopimuksen kannalta merkityksellisistä asioista. Sopimuspuolten on tehtävä vilpitöntä yhteistyötä helpottaakseen prosessin päätteeksi päätöksentekoa ETA:n sekakomiteassa. Siksi on aiheellista, että ETA-sopimuksella perustettu ETA:n sekakomitea antaa päätöksen, jolla hyväksytään pöytäkirjassa 10 olevan II a luvun ja liitteiden I ja II muuttaminen. Tätä varten ETA:n sekakomitean olisi tehtävä päätös kokouksessaan, jossa EU on edustettuna osapuolena.</w:t>
      </w:r>
    </w:p>
    <w:p>
      <w:pPr>
        <w:rPr>
          <w:rFonts w:eastAsia="Arial Unicode MS"/>
          <w:noProof/>
        </w:rPr>
      </w:pPr>
      <w:r>
        <w:rPr>
          <w:noProof/>
        </w:rPr>
        <w:t>ETA:n sekakomiteassa EU:n puolesta otettava kanta olisi vahvistettava neuvoston päätöksellä komission ehdotuksen pohjalta.</w:t>
      </w:r>
    </w:p>
    <w:p>
      <w:pPr>
        <w:rPr>
          <w:rFonts w:eastAsia="Arial Unicode MS"/>
          <w:noProof/>
        </w:rPr>
      </w:pPr>
      <w:r>
        <w:rPr>
          <w:noProof/>
        </w:rPr>
        <w:t xml:space="preserve">Tämän jälkeen sopimuspuolet panevat muutetun pöytäkirjan täytäntöön yhteisellä sopimuksella. </w:t>
      </w:r>
    </w:p>
    <w:p>
      <w:pPr>
        <w:pStyle w:val="ManualHeading1"/>
        <w:rPr>
          <w:noProof/>
        </w:rPr>
      </w:pPr>
      <w:r>
        <w:lastRenderedPageBreak/>
        <w:t>4.</w:t>
      </w:r>
      <w:r>
        <w:tab/>
      </w:r>
      <w:r>
        <w:rPr>
          <w:noProof/>
        </w:rPr>
        <w:t>Oikeusperusta</w:t>
      </w:r>
    </w:p>
    <w:p>
      <w:pPr>
        <w:pStyle w:val="ManualHeading2"/>
        <w:rPr>
          <w:noProof/>
        </w:rPr>
      </w:pPr>
      <w:r>
        <w:t>4.1.</w:t>
      </w:r>
      <w:r>
        <w:tab/>
      </w:r>
      <w:r>
        <w:rPr>
          <w:noProof/>
        </w:rPr>
        <w:t>Menettelyllinen oikeusperusta</w:t>
      </w:r>
    </w:p>
    <w:p>
      <w:pPr>
        <w:pStyle w:val="ManualHeading3"/>
        <w:rPr>
          <w:noProof/>
        </w:rPr>
      </w:pPr>
      <w:r>
        <w:t>4.1.1.</w:t>
      </w:r>
      <w:r>
        <w:tab/>
      </w:r>
      <w:r>
        <w:rPr>
          <w:noProof/>
        </w:rPr>
        <w:t>Periaatteet</w:t>
      </w:r>
    </w:p>
    <w:p>
      <w:pPr>
        <w:rPr>
          <w:noProof/>
        </w:rPr>
      </w:pPr>
      <w:r>
        <w:rPr>
          <w:noProof/>
        </w:rPr>
        <w:t>Euroopan unionin toiminnasta tehdyn sopimuksen, jäljempänä ’SEUT-sopimus’, 218 artiklan 9 kohdassa määrätään päätöksistä ”</w:t>
      </w:r>
      <w:r>
        <w:rPr>
          <w:i/>
          <w:noProof/>
        </w:rPr>
        <w:t>sopimuksella perustetussa elimessä unionin puolesta esitettävien kantojen vahvistamisesta, silloin kun tämän elimen on annettava säädöksiä, joilla on oikeusvaikutuksia, lukuun ottamatta säädöksiä, joilla täydennetään tai muutetaan sopimuksen institutionaalisia rakenteita</w:t>
      </w:r>
      <w:r>
        <w:rPr>
          <w:noProof/>
        </w:rPr>
        <w:t>.”</w:t>
      </w:r>
    </w:p>
    <w:p>
      <w:pPr>
        <w:rPr>
          <w:noProof/>
        </w:rPr>
      </w:pPr>
      <w:r>
        <w:rPr>
          <w:noProof/>
        </w:rPr>
        <w:t>Ilmaisu ’</w:t>
      </w:r>
      <w:r>
        <w:rPr>
          <w:i/>
          <w:noProof/>
        </w:rPr>
        <w:t>säädökset, joilla on oikeusvaikutuksia</w:t>
      </w:r>
      <w:r>
        <w:rPr>
          <w:noProof/>
        </w:rPr>
        <w:t>’ kattaa myös säädökset, joilla on oikeusvaikutuksia kyseiseen elimeen sovellettavan kansainvälisen oikeuden nojalla.</w:t>
      </w:r>
      <w:r>
        <w:rPr>
          <w:rStyle w:val="FootnoteReference"/>
          <w:noProof/>
        </w:rPr>
        <w:footnoteReference w:id="2"/>
      </w:r>
    </w:p>
    <w:p>
      <w:pPr>
        <w:pStyle w:val="ManualHeading3"/>
        <w:rPr>
          <w:noProof/>
        </w:rPr>
      </w:pPr>
      <w:r>
        <w:t>4.1.2.</w:t>
      </w:r>
      <w:r>
        <w:tab/>
      </w:r>
      <w:r>
        <w:rPr>
          <w:noProof/>
        </w:rPr>
        <w:t>Soveltaminen käsiteltävänä olevassa asiassa</w:t>
      </w:r>
    </w:p>
    <w:p>
      <w:pPr>
        <w:rPr>
          <w:strike/>
          <w:noProof/>
        </w:rPr>
      </w:pPr>
      <w:r>
        <w:rPr>
          <w:noProof/>
        </w:rPr>
        <w:t>ETA:n sekakomitea on sopimuksella eli ETA-sopimuksella perustettu elin.</w:t>
      </w:r>
    </w:p>
    <w:p>
      <w:pPr>
        <w:rPr>
          <w:noProof/>
        </w:rPr>
      </w:pPr>
      <w:r>
        <w:rPr>
          <w:noProof/>
        </w:rPr>
        <w:t>Säädös, joka ETA:n sekakomitean on määrä antaa, on säädös, jolla on oikeusvaikutuksia.</w:t>
      </w:r>
    </w:p>
    <w:p>
      <w:pPr>
        <w:rPr>
          <w:noProof/>
        </w:rPr>
      </w:pPr>
      <w:r>
        <w:rPr>
          <w:noProof/>
        </w:rPr>
        <w:t>Suunnitellulla säädöksellä ei täydennetä eikä muuteta sopimuksen institutionaalisia rakenteita.</w:t>
      </w:r>
    </w:p>
    <w:p>
      <w:pPr>
        <w:rPr>
          <w:noProof/>
        </w:rPr>
      </w:pPr>
      <w:r>
        <w:rPr>
          <w:noProof/>
        </w:rPr>
        <w:t>Sen vuoksi ehdotetun päätöksen menettelyllinen oikeusperusta on SEUT-sopimuksen 218 artiklan 9 kohta. Samalla on otettava huomioon neuvoston asetuksen (EY) N:o 2894/94 1 artiklan 2 kohta, joka koskee järjestelyitä Euroopan talousalueesta tehdyn sopimuksen täytäntöön panemiseksi ja jonka mukaan ”</w:t>
      </w:r>
      <w:r>
        <w:rPr>
          <w:i/>
          <w:noProof/>
        </w:rPr>
        <w:t>yhteisön kannan niistä ETA:n sekakomitean päätöksistä, joiden tavoitteena on pelkin teknisin mukautuksin laajentaa yhteisön lainsäädäntöön kuuluvia säännöksiä koskemaan Euroopan talousaluetta, antaa komissio</w:t>
      </w:r>
      <w:r>
        <w:rPr>
          <w:noProof/>
        </w:rPr>
        <w:t>.”</w:t>
      </w:r>
    </w:p>
    <w:p>
      <w:pPr>
        <w:pStyle w:val="ManualHeading2"/>
        <w:rPr>
          <w:noProof/>
        </w:rPr>
      </w:pPr>
      <w:r>
        <w:t>4.2.</w:t>
      </w:r>
      <w:r>
        <w:tab/>
      </w:r>
      <w:r>
        <w:rPr>
          <w:noProof/>
        </w:rPr>
        <w:t>Aineellinen oikeusperusta</w:t>
      </w:r>
    </w:p>
    <w:p>
      <w:pPr>
        <w:pStyle w:val="ManualHeading3"/>
        <w:rPr>
          <w:noProof/>
        </w:rPr>
      </w:pPr>
      <w:r>
        <w:t>4.2.1.</w:t>
      </w:r>
      <w:r>
        <w:tab/>
      </w:r>
      <w:r>
        <w:rPr>
          <w:noProof/>
        </w:rPr>
        <w:t>Periaatteet</w:t>
      </w:r>
    </w:p>
    <w:p>
      <w:pPr>
        <w:rPr>
          <w:noProof/>
        </w:rPr>
      </w:pPr>
      <w:r>
        <w:rPr>
          <w:noProof/>
        </w:rPr>
        <w:t>SEUT-sopimuksen 218 artiklan 9 kohdan ja neuvoston asetuksen N:o 2894/94 1 artiklan 2 kohdan nojalla annettavan päätöksen aineellinen oikeusperusta määräytyy ensisijaisesti sen suunnitellun säädöksen tavoitteen ja sisällön perusteella, jota unionin puolesta otettava kanta koskee, siltä osin kuin on kyse järjestelyistä Euroopan talousalueesta tehdyn sopimuksen täytäntöön panemiseksi. Jos suunnitellulla säädöksellä on kaksi tavoitetta tai siihen sisältyy kaksi osatekijää ja jos näistä tavoitteista tai osatekijöistä toinen on mahdollista määritellä pääasialliseksi tavoitteeksi tai osatekijäksi, johon nähden toinen tavoite tai osatekijä on liitännäinen, SEUT-sopimuksen 218 artiklan 9 kohdan nojalla hyväksyttävällä päätöksellä on oltava vain yksi aineellinen oikeusperusta eli se, jota pääasiallinen tai ensisijainen tavoite tai osatekijä edellyttää.</w:t>
      </w:r>
    </w:p>
    <w:p>
      <w:pPr>
        <w:pStyle w:val="ManualHeading3"/>
        <w:rPr>
          <w:noProof/>
        </w:rPr>
      </w:pPr>
      <w:r>
        <w:t>4.2.2.</w:t>
      </w:r>
      <w:r>
        <w:tab/>
      </w:r>
      <w:r>
        <w:rPr>
          <w:noProof/>
        </w:rPr>
        <w:t>Soveltaminen käsiteltävänä olevassa asiassa</w:t>
      </w:r>
    </w:p>
    <w:p>
      <w:pPr>
        <w:rPr>
          <w:noProof/>
        </w:rPr>
      </w:pPr>
      <w:r>
        <w:rPr>
          <w:noProof/>
        </w:rPr>
        <w:t>Suunnitellun säädöksen pääasiallinen tarkoitus ja sisältö liittyvät yhteiseen kauppapolitiikkaan.</w:t>
      </w:r>
    </w:p>
    <w:p>
      <w:pPr>
        <w:rPr>
          <w:i/>
          <w:noProof/>
        </w:rPr>
      </w:pPr>
      <w:r>
        <w:rPr>
          <w:noProof/>
        </w:rPr>
        <w:t>Sen vuoksi ehdotetun päätöksen aineellinen oikeusperusta on SEUT-sopimuksen 207 artiklan 4 kohta.</w:t>
      </w:r>
    </w:p>
    <w:p>
      <w:pPr>
        <w:pStyle w:val="ManualHeading2"/>
        <w:rPr>
          <w:noProof/>
        </w:rPr>
      </w:pPr>
      <w:r>
        <w:lastRenderedPageBreak/>
        <w:t>4.3.</w:t>
      </w:r>
      <w:r>
        <w:tab/>
      </w:r>
      <w:r>
        <w:rPr>
          <w:noProof/>
        </w:rPr>
        <w:t>Päätelmä</w:t>
      </w:r>
    </w:p>
    <w:p>
      <w:pPr>
        <w:rPr>
          <w:noProof/>
        </w:rPr>
      </w:pPr>
      <w:r>
        <w:rPr>
          <w:noProof/>
        </w:rPr>
        <w:t>Ehdotetun päätöksen oikeusperustana tulisi olla SEUT-sopimuksen 207 artiklan 4 kohdan ensimmäinen alakohta yhdessä sen 218 artiklan 9 kohdan ja neuvoston asetuksen (EY) N:o 2894/94 1 artiklan 2 kohdan kanssa.</w:t>
      </w:r>
    </w:p>
    <w:p>
      <w:pPr>
        <w:pStyle w:val="ManualHeading1"/>
        <w:rPr>
          <w:noProof/>
        </w:rPr>
      </w:pPr>
      <w:r>
        <w:t>5.</w:t>
      </w:r>
      <w:r>
        <w:tab/>
      </w:r>
      <w:r>
        <w:rPr>
          <w:noProof/>
        </w:rPr>
        <w:t>Talousarviovaikutukset</w:t>
      </w:r>
    </w:p>
    <w:p>
      <w:pPr>
        <w:rPr>
          <w:noProof/>
        </w:rPr>
      </w:pPr>
      <w:r>
        <w:rPr>
          <w:noProof/>
        </w:rPr>
        <w:t xml:space="preserve">Ehdotetut muutokset, jotka koskevat sopimuksen muuttamista turvallisuuteen liittyvien tullitoimenpiteiden osalta, perustuvat periaatteeseen, jonka mukaan Norja liittyy ICS2-ohjelmaan sen ensimmäisen julkaisun käyttöönotosta 15. maaliskuuta 2021. Myöhemmät julkaisut tehdään vuosina 2023 ja 2024. </w:t>
      </w:r>
    </w:p>
    <w:p>
      <w:pPr>
        <w:rPr>
          <w:noProof/>
        </w:rPr>
      </w:pPr>
      <w:r>
        <w:rPr>
          <w:noProof/>
        </w:rPr>
        <w:t>Osallistumisesta aiheutuu Norjalle talousarviovaikutuksia. Kustannuserittely esitetään liitteessä I olevassa 17 artiklassa, ja se on toimitettu Norjalle myös epävirallisella asiakirjalla.</w:t>
      </w:r>
    </w:p>
    <w:p>
      <w:pPr>
        <w:rPr>
          <w:noProof/>
        </w:rPr>
      </w:pPr>
      <w:r>
        <w:rPr>
          <w:noProof/>
        </w:rPr>
        <w:t>Norja osallistuu ICS2:n kuhunkin julkaisuun ja maksaa siten kiinteän maksun Euroopan komissiolle aiheutuneista kehittämiskustannuksista. Julkaisun 1 osalta nämä kustannukset ovat 520 000 euroa, julkaisun 2 osalta 550 000 euroa ja julkaisun 3 osalta 550 000 euroa. Kustannukset perustuvat neljän prosentin jakoperusteeseen.</w:t>
      </w:r>
    </w:p>
    <w:p>
      <w:pPr>
        <w:rPr>
          <w:noProof/>
          <w:szCs w:val="24"/>
        </w:rPr>
      </w:pPr>
      <w:r>
        <w:rPr>
          <w:noProof/>
        </w:rPr>
        <w:t>Norja osallistuu myös Euroopan komissiolle aiheutuviin toimintakustannuksiin, jotta voidaan kattaa vuotuiset kustannukset, jotka liittyvät vaatimustenmukaisuuden testaamiseen, infrastruktuurin (laitteet, ohjelmat, isännöinti, lisenssit jne.) ylläpitoon sekä ICS2:n keskeisten osien ja niiden toiminnan ja yhteenliittämisen edellyttämien asiaankuuluvien sovellusten ja palvelujen (laadunvarmistus, käyttäjätuki ja tietotekniikkapalvelujen hallinta) ylläpitoon. Nämä toimintakustannukset perustuvat neljän prosentin jakoperusteeseen mutta eivät muodosta kiinteää vuosimaksua. Enimmäistoimintakustannusten yläraja on 450 000 euroa vuodessa.</w:t>
      </w:r>
    </w:p>
    <w:p>
      <w:pPr>
        <w:pStyle w:val="ManualHeading1"/>
        <w:rPr>
          <w:noProof/>
        </w:rPr>
      </w:pPr>
      <w:r>
        <w:t>6.</w:t>
      </w:r>
      <w:r>
        <w:tab/>
      </w:r>
      <w:r>
        <w:rPr>
          <w:noProof/>
        </w:rPr>
        <w:t>Suunnitellun säädöksen julkaiseminen</w:t>
      </w:r>
    </w:p>
    <w:p>
      <w:pPr>
        <w:rPr>
          <w:noProof/>
        </w:rPr>
      </w:pPr>
      <w:r>
        <w:rPr>
          <w:noProof/>
        </w:rPr>
        <w:t xml:space="preserve">Koska ETA:n sekakomitean säädöksellä muutetaan ETA-sopimukseen sisältyvää tavaroiden kuljetuksia koskevien tarkastusten ja muodollisuuksien yksinkertaistamista koskevaa pöytäkirjaa 10, se on aiheellista julkaista </w:t>
      </w:r>
      <w:r>
        <w:rPr>
          <w:i/>
          <w:iCs/>
          <w:noProof/>
        </w:rPr>
        <w:t>Euroopan unionin virallisen lehden ETA-osastossa</w:t>
      </w:r>
      <w:r>
        <w:rPr>
          <w:noProof/>
        </w:rPr>
        <w:t xml:space="preserve"> sen jälkeen, kun se on hyväksytty. </w:t>
      </w:r>
    </w:p>
    <w:p>
      <w:pPr>
        <w:pStyle w:val="Statut"/>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2021/0001 (NLE)</w:t>
      </w:r>
    </w:p>
    <w:p>
      <w:pPr>
        <w:pStyle w:val="Statut"/>
        <w:rPr>
          <w:noProof/>
        </w:rPr>
      </w:pPr>
      <w:r>
        <w:rPr>
          <w:noProof/>
        </w:rPr>
        <w:t>Ehdotus</w:t>
      </w:r>
    </w:p>
    <w:p>
      <w:pPr>
        <w:pStyle w:val="Typedudocument"/>
        <w:rPr>
          <w:noProof/>
        </w:rPr>
      </w:pPr>
      <w:r>
        <w:rPr>
          <w:noProof/>
        </w:rPr>
        <w:t>NEUVOSTON PÄÄTÖS</w:t>
      </w:r>
    </w:p>
    <w:p>
      <w:pPr>
        <w:pStyle w:val="Titreobjet"/>
        <w:rPr>
          <w:noProof/>
        </w:rPr>
      </w:pPr>
      <w:r>
        <w:rPr>
          <w:noProof/>
        </w:rPr>
        <w:t>Euroopan talousalueesta tehdyllä sopimuksella perustetussa ETA:n sekakomiteassa Euroopan unionin puolesta otettavasta kannasta siltä osin kuin on kyse ETA-sopimukseen sisältyvässä tavaroiden kuljetuksia koskevien tarkastusten ja muodollisuuksien yksinkertaistamista koskevassa pöytäkirjassa 10 olevien II a luvun ja liitteiden I ja II muuttamisesta</w:t>
      </w:r>
    </w:p>
    <w:p>
      <w:pPr>
        <w:pStyle w:val="Institutionquiagit"/>
        <w:rPr>
          <w:b/>
          <w:noProof/>
        </w:rPr>
      </w:pPr>
      <w:r>
        <w:rPr>
          <w:b/>
          <w:noProof/>
        </w:rPr>
        <w:t>EUROOPAN UNIONIN NEUVOSTO, joka</w:t>
      </w:r>
    </w:p>
    <w:p>
      <w:pPr>
        <w:rPr>
          <w:i/>
          <w:noProof/>
        </w:rPr>
      </w:pPr>
      <w:r>
        <w:rPr>
          <w:noProof/>
        </w:rPr>
        <w:t>ottaa huomioon Euroopan unionin toiminnasta tehdyn sopimuksen ja erityisesti sen 207 artiklan 4 kohdan yhdessä sen 218 artiklan 9 kohdan kanssa,</w:t>
      </w:r>
    </w:p>
    <w:p>
      <w:pPr>
        <w:rPr>
          <w:noProof/>
        </w:rPr>
      </w:pPr>
      <w:r>
        <w:rPr>
          <w:noProof/>
        </w:rPr>
        <w:t>ottaa huomioon Euroopan komission ehdotuksen,</w:t>
      </w:r>
    </w:p>
    <w:p>
      <w:pPr>
        <w:rPr>
          <w:noProof/>
        </w:rPr>
      </w:pPr>
      <w:r>
        <w:rPr>
          <w:noProof/>
        </w:rPr>
        <w:t>sekä katsoo seuraavaa:</w:t>
      </w:r>
    </w:p>
    <w:p>
      <w:pPr>
        <w:pStyle w:val="ManualConsidrant"/>
        <w:rPr>
          <w:noProof/>
        </w:rPr>
      </w:pPr>
      <w:r>
        <w:t>(1)</w:t>
      </w:r>
      <w:r>
        <w:tab/>
      </w:r>
      <w:r>
        <w:rPr>
          <w:noProof/>
        </w:rPr>
        <w:t>ETA-sopimukseen sisältyvää tavaroiden kuljetuksia koskevien tarkastusten ja muodollisuuksien yksinkertaistamista ja turvallisuuteen liittyviä tullitoimenpiteitä koskevaa pöytäkirjaa 10, jäljempänä ’pöytäkirja’, muutettiin ETA:n sekakomitean päätöksellä</w:t>
      </w:r>
      <w:r>
        <w:rPr>
          <w:rStyle w:val="FootnoteReference"/>
          <w:noProof/>
        </w:rPr>
        <w:footnoteReference w:id="3"/>
      </w:r>
      <w:r>
        <w:rPr>
          <w:noProof/>
        </w:rPr>
        <w:t xml:space="preserve">, joka tuli voimaan 1 päivänä heinäkuuta 2009.  </w:t>
      </w:r>
    </w:p>
    <w:p>
      <w:pPr>
        <w:pStyle w:val="ManualConsidrant"/>
        <w:rPr>
          <w:noProof/>
        </w:rPr>
      </w:pPr>
      <w:r>
        <w:t>(2)</w:t>
      </w:r>
      <w:r>
        <w:tab/>
      </w:r>
      <w:r>
        <w:rPr>
          <w:noProof/>
        </w:rPr>
        <w:t xml:space="preserve">Sopimuksen 98 artiklan mukaan ETA:n sekakomitea voi tehdä päätöksen pöytäkirjassa 10 olevien II a luvun ja liitteiden muuttamisesta seuraavassa istunnossaan tai kirjeenvaihtona. </w:t>
      </w:r>
    </w:p>
    <w:p>
      <w:pPr>
        <w:pStyle w:val="ManualConsidrant"/>
        <w:rPr>
          <w:noProof/>
        </w:rPr>
      </w:pPr>
      <w:r>
        <w:t>(3)</w:t>
      </w:r>
      <w:r>
        <w:tab/>
      </w:r>
      <w:r>
        <w:rPr>
          <w:noProof/>
        </w:rPr>
        <w:t>Sovellettaessa pöytäkirjan 9 h artiklan 3 kohtaa on tarpeen muuttaa pöytäkirjassa 10 olevia II a lukua ja liitteitä I ja II, jotta voidaan ottaa huomioon unionin lainsäädännön kehitys mainitun luvun ja liitteiden I ja II soveltamisalaan kuuluvissa asioissa. Sopimuksen 9 h artiklan 3 kohdassa määrätään, että jos päätöstä ei voida antaa tavalla, joka sallii samanaikaisen täytäntöönpanon, sopimuspuolten hyväksyttäväksi toimitetussa päätösluonnoksessa esitettyjä muutoksia sovelletaan 15 päivästä maaliskuuta 2021 ottaen huomioon sopimuspuolten sisäiset menettelyt.</w:t>
      </w:r>
      <w:r>
        <w:rPr>
          <w:noProof/>
        </w:rPr>
        <w:cr/>
      </w:r>
      <w:r>
        <w:rPr>
          <w:noProof/>
        </w:rPr>
        <w:br/>
        <w:t xml:space="preserve"> Tämä päivämäärä on sama kuin tuontivalvontajärjestelmän 2 ensimmäisen julkaisun käyttöönottopäivä, ja Norja on sopinut osallistumisesta kyseiseen järjestelmään.</w:t>
      </w:r>
    </w:p>
    <w:p>
      <w:pPr>
        <w:pStyle w:val="ManualConsidrant"/>
        <w:rPr>
          <w:noProof/>
        </w:rPr>
      </w:pPr>
      <w:r>
        <w:t>(4)</w:t>
      </w:r>
      <w:r>
        <w:tab/>
      </w:r>
      <w:r>
        <w:rPr>
          <w:noProof/>
        </w:rPr>
        <w:t>On aiheellista vahvistaa ETA:n sekakomiteassa unionin puolesta otettava kanta, koska muutos sitoo unionia,</w:t>
      </w:r>
    </w:p>
    <w:p>
      <w:pPr>
        <w:pStyle w:val="Formuledadoption"/>
        <w:rPr>
          <w:noProof/>
        </w:rPr>
      </w:pPr>
      <w:r>
        <w:rPr>
          <w:noProof/>
        </w:rPr>
        <w:t>ON HYVÄKSYNYT TÄMÄN PÄÄTÖKSEN:</w:t>
      </w:r>
    </w:p>
    <w:p>
      <w:pPr>
        <w:pStyle w:val="Titrearticle"/>
        <w:rPr>
          <w:noProof/>
        </w:rPr>
      </w:pPr>
      <w:r>
        <w:rPr>
          <w:noProof/>
        </w:rPr>
        <w:t>1 artikla</w:t>
      </w:r>
    </w:p>
    <w:p>
      <w:pPr>
        <w:rPr>
          <w:i/>
          <w:noProof/>
        </w:rPr>
      </w:pPr>
      <w:r>
        <w:rPr>
          <w:noProof/>
        </w:rPr>
        <w:t>ETA:n sekakomitean seuraavassa kokouksessa tai kirjeenvaihtona unionin puolesta otettava kanta perustuu tähän päätökseen liitettyyn ETA:n sekakomitean säädösluonnokseen.</w:t>
      </w:r>
    </w:p>
    <w:p>
      <w:pPr>
        <w:pStyle w:val="Titrearticle"/>
        <w:rPr>
          <w:noProof/>
        </w:rPr>
      </w:pPr>
      <w:r>
        <w:rPr>
          <w:noProof/>
        </w:rPr>
        <w:lastRenderedPageBreak/>
        <w:t>2 artikla</w:t>
      </w:r>
    </w:p>
    <w:p>
      <w:pPr>
        <w:rPr>
          <w:noProof/>
        </w:rPr>
      </w:pPr>
      <w:r>
        <w:rPr>
          <w:noProof/>
        </w:rPr>
        <w:t>Tämä päätös on osoitettu komissiolle.</w:t>
      </w:r>
    </w:p>
    <w:p>
      <w:pPr>
        <w:pStyle w:val="Fait"/>
        <w:rPr>
          <w:noProof/>
        </w:rPr>
      </w:pPr>
      <w:r>
        <w:t>Tehty Brysselissä</w:t>
      </w:r>
    </w:p>
    <w:p>
      <w:pPr>
        <w:pStyle w:val="Institutionquisigne"/>
        <w:rPr>
          <w:noProof/>
        </w:rPr>
      </w:pPr>
      <w:r>
        <w:rPr>
          <w:noProof/>
        </w:rPr>
        <w:tab/>
        <w:t>Neuvoston puolesta</w:t>
      </w:r>
    </w:p>
    <w:p>
      <w:pPr>
        <w:pStyle w:val="Personnequisigne"/>
        <w:rPr>
          <w:noProof/>
        </w:rPr>
      </w:pPr>
      <w:r>
        <w:rPr>
          <w:noProof/>
        </w:rPr>
        <w:tab/>
        <w:t>Puheenjohtaja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0" w:firstLine="0"/>
      </w:pPr>
      <w:r>
        <w:rPr>
          <w:rStyle w:val="FootnoteReference"/>
        </w:rPr>
        <w:footnoteRef/>
      </w:r>
      <w:r>
        <w:tab/>
      </w:r>
      <w:r>
        <w:rPr>
          <w:sz w:val="18"/>
        </w:rPr>
        <w:t>ETA:n sekakomitean päätös N:o 76/2009, tehty 30 päivänä kesäkuuta 2009, ETA-sopimukseen sisältyvän tavaroiden kuljetuksia koskevien tarkastusten ja muodollisuuksien yksinkertaistamisesta tehdyn pöytäkirjan 10 muuttamisesta</w:t>
      </w:r>
      <w:r>
        <w:t>.</w:t>
      </w:r>
    </w:p>
  </w:footnote>
  <w:footnote w:id="2">
    <w:p>
      <w:pPr>
        <w:pStyle w:val="FootnoteText"/>
      </w:pPr>
      <w:r>
        <w:rPr>
          <w:rStyle w:val="FootnoteReference"/>
        </w:rPr>
        <w:footnoteRef/>
      </w:r>
      <w:r>
        <w:tab/>
        <w:t xml:space="preserve">Unionin tuomioistuimen tuomio, 7.10.2014, Saksa v. neuvosto, C-399/12, ECLI:EU:C:2014:2258, 61–64 kohta. </w:t>
      </w:r>
    </w:p>
  </w:footnote>
  <w:footnote w:id="3">
    <w:p>
      <w:pPr>
        <w:pStyle w:val="FootnoteText"/>
      </w:pPr>
      <w:r>
        <w:rPr>
          <w:rStyle w:val="FootnoteReference"/>
        </w:rPr>
        <w:footnoteRef/>
      </w:r>
      <w:r>
        <w:tab/>
        <w:t>Päätös 76/2009, EUVL L 232, 3.9.2009, s. 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4D65B3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7868840"/>
    <w:lvl w:ilvl="0">
      <w:start w:val="1"/>
      <w:numFmt w:val="decimal"/>
      <w:pStyle w:val="ListNumber3"/>
      <w:lvlText w:val="%1."/>
      <w:lvlJc w:val="left"/>
      <w:pPr>
        <w:tabs>
          <w:tab w:val="num" w:pos="926"/>
        </w:tabs>
        <w:ind w:left="926" w:hanging="360"/>
      </w:pPr>
    </w:lvl>
  </w:abstractNum>
  <w:abstractNum w:abstractNumId="2">
    <w:nsid w:val="FFFFFF7F"/>
    <w:multiLevelType w:val="singleLevel"/>
    <w:tmpl w:val="2F70358A"/>
    <w:lvl w:ilvl="0">
      <w:start w:val="1"/>
      <w:numFmt w:val="decimal"/>
      <w:pStyle w:val="ListNumber2"/>
      <w:lvlText w:val="%1."/>
      <w:lvlJc w:val="left"/>
      <w:pPr>
        <w:tabs>
          <w:tab w:val="num" w:pos="643"/>
        </w:tabs>
        <w:ind w:left="643" w:hanging="360"/>
      </w:pPr>
    </w:lvl>
  </w:abstractNum>
  <w:abstractNum w:abstractNumId="3">
    <w:nsid w:val="FFFFFF81"/>
    <w:multiLevelType w:val="singleLevel"/>
    <w:tmpl w:val="9BF481B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349FC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8F2FB3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B78884A"/>
    <w:lvl w:ilvl="0">
      <w:start w:val="1"/>
      <w:numFmt w:val="decimal"/>
      <w:pStyle w:val="ListNumber"/>
      <w:lvlText w:val="%1."/>
      <w:lvlJc w:val="left"/>
      <w:pPr>
        <w:tabs>
          <w:tab w:val="num" w:pos="360"/>
        </w:tabs>
        <w:ind w:left="360" w:hanging="360"/>
      </w:pPr>
    </w:lvl>
  </w:abstractNum>
  <w:abstractNum w:abstractNumId="7">
    <w:nsid w:val="FFFFFF89"/>
    <w:multiLevelType w:val="singleLevel"/>
    <w:tmpl w:val="E3D6422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2"/>
    <w:lvlOverride w:ilvl="0">
      <w:startOverride w:val="1"/>
    </w:lvlOverride>
  </w:num>
  <w:num w:numId="12">
    <w:abstractNumId w:val="17"/>
    <w:lvlOverride w:ilvl="0">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 w:numId="27">
    <w:abstractNumId w:val="18"/>
  </w:num>
  <w:num w:numId="28">
    <w:abstractNumId w:val="12"/>
  </w:num>
  <w:num w:numId="29">
    <w:abstractNumId w:val="20"/>
  </w:num>
  <w:num w:numId="30">
    <w:abstractNumId w:val="11"/>
  </w:num>
  <w:num w:numId="31">
    <w:abstractNumId w:val="13"/>
  </w:num>
  <w:num w:numId="32">
    <w:abstractNumId w:val="9"/>
  </w:num>
  <w:num w:numId="33">
    <w:abstractNumId w:val="19"/>
  </w:num>
  <w:num w:numId="34">
    <w:abstractNumId w:val="8"/>
  </w:num>
  <w:num w:numId="35">
    <w:abstractNumId w:val="14"/>
  </w:num>
  <w:num w:numId="36">
    <w:abstractNumId w:val="16"/>
  </w:num>
  <w:num w:numId="37">
    <w:abstractNumId w:val="17"/>
  </w:num>
  <w:num w:numId="38">
    <w:abstractNumId w:val="10"/>
  </w:num>
  <w:num w:numId="39">
    <w:abstractNumId w:val="15"/>
  </w:num>
  <w:num w:numId="40">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1-21 11:40:0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9B8419C0-378F-4115-80C6-686150C26EB0"/>
    <w:docVar w:name="LW_COVERPAGE_TYPE" w:val="1"/>
    <w:docVar w:name="LW_CROSSREFERENCE" w:val="&lt;UNUSED&gt;"/>
    <w:docVar w:name="LW_DocType" w:val="COM"/>
    <w:docVar w:name="LW_EMISSION" w:val="12.1.2021"/>
    <w:docVar w:name="LW_EMISSION_ISODATE" w:val="2021-01-12"/>
    <w:docVar w:name="LW_EMISSION_LOCATION" w:val="BRX"/>
    <w:docVar w:name="LW_EMISSION_PREFIX" w:val="Bryssel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NLE"/>
    <w:docVar w:name="LW_REF.II.NEW.CP_NUMBER" w:val="0001"/>
    <w:docVar w:name="LW_REF.II.NEW.CP_YEAR" w:val="2021"/>
    <w:docVar w:name="LW_REF.INST.NEW" w:val="COM"/>
    <w:docVar w:name="LW_REF.INST.NEW_ADOPTED" w:val="final"/>
    <w:docVar w:name="LW_REF.INST.NEW_TEXT" w:val="(2021) 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Ehdotus"/>
    <w:docVar w:name="LW_SUPERTITRE" w:val="&lt;UNUSED&gt;"/>
    <w:docVar w:name="LW_TITRE.OBJ.CP" w:val="Euroopan talousalueesta tehdyllä sopimuksella perustetussa ETA:n sekakomiteassa Euroopan unionin puolesta otettavasta kannasta siltä osin kuin on kyse ETA-sopimukseen sisältyvässä tavaroiden kuljetuksia koskevien tarkastusten ja muodollisuuksien yksinkertaistamista koskevassa pöytäkirjassa 10 olevien II a luvun ja liitteiden I ja II muuttamisesta"/>
    <w:docVar w:name="LW_TYPE.DOC.CP" w:val="NEUVOSTON PÄÄTÖ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i-FI"/>
    </w:rPr>
  </w:style>
  <w:style w:type="paragraph" w:styleId="ListParagraph">
    <w:name w:val="List Paragraph"/>
    <w:basedOn w:val="Normal"/>
    <w:uiPriority w:val="34"/>
    <w:qFormat/>
    <w:pPr>
      <w:spacing w:before="0" w:after="0"/>
      <w:ind w:left="720"/>
      <w:jc w:val="left"/>
    </w:pPr>
    <w:rPr>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i-FI"/>
    </w:rPr>
  </w:style>
  <w:style w:type="paragraph" w:styleId="ListParagraph">
    <w:name w:val="List Paragraph"/>
    <w:basedOn w:val="Normal"/>
    <w:uiPriority w:val="34"/>
    <w:qFormat/>
    <w:pPr>
      <w:spacing w:before="0" w:after="0"/>
      <w:ind w:left="720"/>
      <w:jc w:val="left"/>
    </w:pPr>
    <w:rPr>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5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8D3C3F8-C9FE-42C6-BC6F-572DFC2D3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10</Pages>
  <Words>2433</Words>
  <Characters>19982</Characters>
  <Application>Microsoft Office Word</Application>
  <DocSecurity>0</DocSecurity>
  <Lines>322</Lines>
  <Paragraphs>121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2021-01-20T13:56:00Z</dcterms:created>
  <dcterms:modified xsi:type="dcterms:W3CDTF">2021-01-21T10:40:00Z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