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F0EC8D27-085D-4C1F-9DB4-5297BE654BE1" style="width:450.75pt;height:366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MOTIVERING</w:t>
      </w:r>
    </w:p>
    <w:p>
      <w:pPr>
        <w:pStyle w:val="ManualHeading1"/>
        <w:rPr>
          <w:noProof/>
        </w:rPr>
      </w:pPr>
      <w:r>
        <w:rPr>
          <w:noProof/>
        </w:rPr>
        <w:t>BAKGRUND TILL FÖRSLAGET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Motiv och syfte med förslaget</w:t>
      </w:r>
    </w:p>
    <w:p>
      <w:pPr>
        <w:rPr>
          <w:noProof/>
        </w:rPr>
      </w:pPr>
      <w:r>
        <w:rPr>
          <w:noProof/>
        </w:rPr>
        <w:t xml:space="preserve">Den 3 maj 2010 antog kommissionen och lade därefter för rådet fram ett förslag till beslut om ingående av protokollet om ändring av luftfartsavtalet mellan Amerikas förenta stater, å ena sidan, och Europeiska gemenskapen och dess medlemsstater, å andra sidan (COM (2010) 208 final). </w:t>
      </w:r>
    </w:p>
    <w:p>
      <w:pPr>
        <w:rPr>
          <w:noProof/>
        </w:rPr>
      </w:pPr>
      <w:r>
        <w:rPr>
          <w:noProof/>
        </w:rPr>
        <w:t>Till följd av domstolens dom av den 28 april 2015 i mål C-28/12 ändrar detta förslag kommissionens ursprungliga förslag. För att underlätta granskning från rådets sida, lämnas hela den relevanta texten som ett ändrat förslag.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RÄTTSLIG GRUND, SUBSIDIARITETSPRINCIPEN OCH PROPORTIONALITETSPRINCIPEN</w:t>
      </w:r>
    </w:p>
    <w:p>
      <w:pPr>
        <w:rPr>
          <w:noProof/>
        </w:rPr>
      </w:pPr>
      <w:r>
        <w:rPr>
          <w:noProof/>
        </w:rPr>
        <w:t xml:space="preserve">Ej tillämpligt.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RESULTAT AV EFTERHANDSUTVÄRDERINGAR, SAMRÅD MED BERÖRDA PARTER OCH KONSEKVENSBEDÖMNINGAR</w:t>
      </w:r>
    </w:p>
    <w:p>
      <w:pPr>
        <w:rPr>
          <w:noProof/>
        </w:rPr>
      </w:pPr>
      <w:r>
        <w:rPr>
          <w:noProof/>
        </w:rPr>
        <w:t>Ej tillämpligt.</w:t>
      </w:r>
    </w:p>
    <w:p>
      <w:pPr>
        <w:pStyle w:val="ManualHeading2"/>
        <w:rPr>
          <w:noProof/>
        </w:rPr>
      </w:pPr>
      <w:r>
        <w:rPr>
          <w:noProof/>
        </w:rPr>
        <w:t>4.</w:t>
      </w:r>
      <w:r>
        <w:rPr>
          <w:noProof/>
        </w:rPr>
        <w:tab/>
        <w:t>BUDGETKONSEKVENSER</w:t>
      </w:r>
    </w:p>
    <w:p>
      <w:pPr>
        <w:rPr>
          <w:noProof/>
        </w:rPr>
      </w:pPr>
      <w:r>
        <w:rPr>
          <w:noProof/>
        </w:rPr>
        <w:t xml:space="preserve">Ej tillämpligt.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ÖVRIGA INSLAG</w:t>
      </w:r>
    </w:p>
    <w:p>
      <w:pPr>
        <w:rPr>
          <w:noProof/>
        </w:rPr>
      </w:pPr>
      <w:r>
        <w:rPr>
          <w:noProof/>
        </w:rPr>
        <w:t xml:space="preserve">Ej tillämpligt. </w:t>
      </w:r>
    </w:p>
    <w:p>
      <w:pPr>
        <w:pStyle w:val="BodyA"/>
        <w:spacing w:before="0" w:after="0"/>
        <w:jc w:val="left"/>
        <w:rPr>
          <w:noProof/>
          <w:lang w:val="sv-SE"/>
        </w:rPr>
        <w:sectPr>
          <w:footerReference w:type="default" r:id="rId10"/>
          <w:footerReference w:type="first" r:id="rId11"/>
          <w:pgSz w:w="11900" w:h="16840"/>
          <w:pgMar w:top="1134" w:right="1417" w:bottom="1134" w:left="1417" w:header="709" w:footer="709" w:gutter="0"/>
          <w:cols w:space="720"/>
          <w:docGrid w:linePitch="326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2010/0112 (NLE)</w:t>
      </w:r>
    </w:p>
    <w:p>
      <w:pPr>
        <w:pStyle w:val="Statut"/>
        <w:rPr>
          <w:noProof/>
        </w:rPr>
      </w:pPr>
      <w:r>
        <w:rPr>
          <w:noProof/>
        </w:rPr>
        <w:t>Ändrat förslag till</w:t>
      </w:r>
    </w:p>
    <w:p>
      <w:pPr>
        <w:pStyle w:val="Typedudocument"/>
        <w:rPr>
          <w:noProof/>
        </w:rPr>
      </w:pPr>
      <w:r>
        <w:rPr>
          <w:noProof/>
        </w:rPr>
        <w:t>RÅDETS BESLUT</w:t>
      </w:r>
    </w:p>
    <w:p>
      <w:pPr>
        <w:pStyle w:val="Titreobjet"/>
        <w:rPr>
          <w:noProof/>
        </w:rPr>
      </w:pPr>
      <w:r>
        <w:rPr>
          <w:noProof/>
        </w:rPr>
        <w:t>om ingående, på unionens vägnar, av protokollet om ändring av luftfartsavtalet mellan Amerikas förenta stater, å ena sidan, och Europeiska gemenskapen och dess medlemsstater, å andra sidan</w:t>
      </w:r>
    </w:p>
    <w:p>
      <w:pPr>
        <w:pStyle w:val="Institutionquiagit"/>
        <w:rPr>
          <w:noProof/>
        </w:rPr>
      </w:pPr>
      <w:r>
        <w:rPr>
          <w:noProof/>
        </w:rPr>
        <w:t>EUROPEISKA UNIONENS RÅD HAR ANTAGIT DETTA BESLUT</w:t>
      </w:r>
    </w:p>
    <w:p>
      <w:pPr>
        <w:rPr>
          <w:noProof/>
        </w:rPr>
      </w:pPr>
      <w:r>
        <w:rPr>
          <w:noProof/>
        </w:rPr>
        <w:t>med beaktande av fördraget om Europeiska unionens funktionssätt, särskilt artikel 100.2 jämförd med artikel 218.6a,</w:t>
      </w:r>
    </w:p>
    <w:p>
      <w:pPr>
        <w:rPr>
          <w:noProof/>
        </w:rPr>
      </w:pPr>
      <w:r>
        <w:rPr>
          <w:noProof/>
        </w:rPr>
        <w:t>med beaktande av Europeiska kommissionens förslag,</w:t>
      </w:r>
    </w:p>
    <w:p>
      <w:pPr>
        <w:rPr>
          <w:noProof/>
        </w:rPr>
      </w:pPr>
      <w:r>
        <w:rPr>
          <w:noProof/>
        </w:rPr>
        <w:t>med beaktande av Europaparlamentets godkännande, och</w:t>
      </w:r>
    </w:p>
    <w:p>
      <w:pPr>
        <w:rPr>
          <w:noProof/>
        </w:rPr>
      </w:pPr>
      <w:r>
        <w:rPr>
          <w:noProof/>
        </w:rPr>
        <w:t>av följande skäl: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 enlighet med beslut 2010/465/EU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undertecknades protokollet om ändring av luftfartsavtalet mellan Amerikas förenta stater, å ena sidan, och Europeiska gemenskapen och dess medlemsstater, å andra sidan (nedan kallat </w:t>
      </w:r>
      <w:r>
        <w:rPr>
          <w:i/>
          <w:iCs/>
          <w:noProof/>
        </w:rPr>
        <w:t>protokollet</w:t>
      </w:r>
      <w:r>
        <w:rPr>
          <w:noProof/>
        </w:rPr>
        <w:t xml:space="preserve">) den 24 juni 2010, med förbehåll för att det ingås vid en senare tidpunkt.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Protokollet har ratificerats av samtliga medlemsstater, med undantag för Republiken Kroatien. Republiken Kroatien bör ansluta sig till protokollet i enlighet med artikel 6.2 i anslutningsakten som fogats till anslutningsfördraget av den 5 december 2011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Avtalet bör godkännas på unionens vägnar.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Artiklarna 2, 3 och 4 i beslut 2010/465/EU innehåller bestämmelser om beslutsfattande och representation när det gäller olika frågor som anges i avtalet, i dess ändrade lydelse enligt protokollet. Mot bakgrund av domstolens dom av den 28 april 2015 i mål C-28/12 bör tillämpningen av dessa bestämmelser upphöra. Med beaktande av fördragen är varken nya bestämmelser om dessa frågor eller bestämmelser om informationsskyldigheter för medlemsstaterna nödvändiga, såsom de som anges i artikel 5 i beslut 2010/465/EU. Följaktligen bör artiklarna 2, 3, 4 och 5 i beslut 2010/465/EU upphöra att gälla den dag då det här beslutet träder i kraft.</w:t>
      </w:r>
    </w:p>
    <w:p>
      <w:pPr>
        <w:pStyle w:val="Formuledadoption"/>
        <w:rPr>
          <w:noProof/>
        </w:rPr>
      </w:pPr>
      <w:r>
        <w:rPr>
          <w:noProof/>
        </w:rPr>
        <w:t xml:space="preserve">HÄRIGENOM FÖRESKRIVS FÖLJANDE. 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Artikel 1</w:t>
      </w:r>
    </w:p>
    <w:p>
      <w:pPr>
        <w:rPr>
          <w:noProof/>
        </w:rPr>
      </w:pPr>
      <w:r>
        <w:rPr>
          <w:noProof/>
        </w:rPr>
        <w:t xml:space="preserve">Protokollet om ändring av luftfartsavtalet mellan Amerikas förenta stater, å ena sidan, och Europeiska gemenskapen och dess medlemsstater, å andra sidan, (nedan kallat </w:t>
      </w:r>
      <w:r>
        <w:rPr>
          <w:i/>
          <w:iCs/>
          <w:noProof/>
        </w:rPr>
        <w:t>protokollet</w:t>
      </w:r>
      <w:r>
        <w:rPr>
          <w:noProof/>
        </w:rPr>
        <w:t>) godkänns härmed på unionens vägnar.</w:t>
      </w:r>
    </w:p>
    <w:p>
      <w:pPr>
        <w:rPr>
          <w:noProof/>
        </w:rPr>
      </w:pPr>
      <w:r>
        <w:rPr>
          <w:noProof/>
        </w:rPr>
        <w:lastRenderedPageBreak/>
        <w:t>Texten till protokollet åtföljer rådets beslut 2010/465/EU.</w:t>
      </w:r>
    </w:p>
    <w:p>
      <w:pPr>
        <w:pStyle w:val="Titrearticle"/>
        <w:rPr>
          <w:noProof/>
        </w:rPr>
      </w:pPr>
      <w:r>
        <w:rPr>
          <w:noProof/>
        </w:rPr>
        <w:t xml:space="preserve">Artikel 2 </w:t>
      </w:r>
    </w:p>
    <w:p>
      <w:pPr>
        <w:rPr>
          <w:noProof/>
        </w:rPr>
      </w:pPr>
      <w:r>
        <w:rPr>
          <w:noProof/>
        </w:rPr>
        <w:t>Rådets ordförande ska utse den person som har rätt att på unionens vägnar fortgå med utväxling av diplomatiska noter i enlighet med artikel 10 i protokollet, för att uttrycka unionens samtycke till att bindas av protokollet.</w:t>
      </w:r>
    </w:p>
    <w:p>
      <w:pPr>
        <w:pStyle w:val="Titrearticle"/>
        <w:rPr>
          <w:noProof/>
        </w:rPr>
      </w:pPr>
      <w:r>
        <w:rPr>
          <w:noProof/>
        </w:rPr>
        <w:t>Artikel 3</w:t>
      </w:r>
    </w:p>
    <w:p>
      <w:pPr>
        <w:rPr>
          <w:noProof/>
        </w:rPr>
      </w:pPr>
      <w:r>
        <w:rPr>
          <w:noProof/>
        </w:rPr>
        <w:t xml:space="preserve">Artiklarna 2, 3, 4 och 5 i beslut 2010/465/EU ska upphöra att gälla den dag då det här beslutet träder i kraft. </w:t>
      </w:r>
    </w:p>
    <w:p>
      <w:pPr>
        <w:pStyle w:val="Titrearticle"/>
        <w:rPr>
          <w:noProof/>
        </w:rPr>
      </w:pPr>
      <w:r>
        <w:rPr>
          <w:noProof/>
        </w:rPr>
        <w:t>Artikel 4</w:t>
      </w:r>
    </w:p>
    <w:p>
      <w:pPr>
        <w:rPr>
          <w:noProof/>
        </w:rPr>
      </w:pPr>
      <w:r>
        <w:rPr>
          <w:noProof/>
        </w:rPr>
        <w:t xml:space="preserve">Detta beslut träder i kraft samma dag som det antas. </w:t>
      </w:r>
    </w:p>
    <w:p>
      <w:pPr>
        <w:pStyle w:val="Fait"/>
        <w:rPr>
          <w:noProof/>
        </w:rPr>
      </w:pPr>
      <w:r>
        <w:t>Utfärdat i Bryssel den</w:t>
      </w:r>
    </w:p>
    <w:p>
      <w:pPr>
        <w:pStyle w:val="Institutionquisigne"/>
        <w:rPr>
          <w:noProof/>
        </w:rPr>
      </w:pPr>
      <w:r>
        <w:rPr>
          <w:noProof/>
        </w:rPr>
        <w:tab/>
        <w:t>På rådets vägnar</w:t>
      </w:r>
    </w:p>
    <w:p>
      <w:pPr>
        <w:pStyle w:val="Personnequisigne"/>
        <w:rPr>
          <w:noProof/>
        </w:rPr>
      </w:pPr>
      <w:r>
        <w:rPr>
          <w:noProof/>
        </w:rPr>
        <w:tab/>
        <w:t>Ordförande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color w:val="444444"/>
          <w:sz w:val="21"/>
          <w:szCs w:val="21"/>
          <w:u w:color="444444"/>
        </w:rPr>
      </w:pPr>
      <w:r>
        <w:rPr>
          <w:rStyle w:val="FootnoteReference"/>
        </w:rPr>
        <w:footnoteRef/>
      </w:r>
      <w:r>
        <w:tab/>
        <w:t xml:space="preserve">Beslut 2010/465/EU av rådet och företrädarna för regeringarna i Europeiska unionens medlemsstater, församlade i rådet, av den 24 juni 2010 om undertecknande och provisorisk tillämpning av protokollet om ändring av luftfartsavtalet mellan Amerikas förenta stater, å ena sidan, och Europeiska gemenskapen och dess medlemsstater, å andra sidan (EUT L 223, 25.8.2010, s. 1). </w:t>
      </w:r>
    </w:p>
  </w:footnote>
  <w:footnote w:id="2">
    <w:p>
      <w:pPr>
        <w:pStyle w:val="Footnotetex"/>
      </w:pPr>
      <w:r>
        <w:rPr>
          <w:rStyle w:val="FootnoteReference"/>
        </w:rPr>
        <w:footnoteRef/>
      </w:r>
      <w:r>
        <w:tab/>
        <w:t>EUT L 112, 24.4.2012, s. 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E2E0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50453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B0494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EC4DC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E2ED3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6BEA6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3E05F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70644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1-21 08:43:1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0EC8D27-085D-4C1F-9DB4-5297BE654BE1"/>
    <w:docVar w:name="LW_COVERPAGE_TYPE" w:val="1"/>
    <w:docVar w:name="LW_CROSSREFERENCE" w:val="&lt;UNUSED&gt;"/>
    <w:docVar w:name="LW_DocType" w:val="COM"/>
    <w:docVar w:name="LW_EMISSION" w:val="22.1.2021"/>
    <w:docVar w:name="LW_EMISSION_ISODATE" w:val="2021-01-22"/>
    <w:docVar w:name="LW_EMISSION_LOCATION" w:val="BRX"/>
    <w:docVar w:name="LW_EMISSION_PREFIX" w:val="Bryssel den "/>
    <w:docVar w:name="LW_EMISSION_SUFFIX" w:val=" "/>
    <w:docVar w:name="LW_ID_DOCMODEL" w:val="SJ-019"/>
    <w:docVar w:name="LW_ID_DOCSIGNATURE" w:val="SJ-019"/>
    <w:docVar w:name="LW_ID_DOCSTRUCTURE" w:val="COM/PL/MOD"/>
    <w:docVar w:name="LW_ID_DOCTYPE" w:val="SG-010"/>
    <w:docVar w:name="LW_ID_EXP.MOTIFS.NEW" w:val="EM_PL_"/>
    <w:docVar w:name="LW_ID_STATUT" w:val="SG-010"/>
    <w:docVar w:name="LW_INTERETEEE.CP" w:val="&lt;UNUSED&gt;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12"/>
    <w:docVar w:name="LW_REF.II.NEW.CP_YEAR" w:val="2010"/>
    <w:docVar w:name="LW_REF.INST.NEW" w:val="COM"/>
    <w:docVar w:name="LW_REF.INST.NEW_ADOPTED" w:val="final"/>
    <w:docVar w:name="LW_REF.INST.NEW_TEXT" w:val="(2021) 1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Ändrat förslag till"/>
    <w:docVar w:name="LW_SUPERTITRE" w:val="&lt;UNUSED&gt;"/>
    <w:docVar w:name="LW_TITRE.OBJ.CP" w:val="om ingående, på unionens vägnar, av protokollet om ändring av luftfartsavtalet mellan Amerikas förenta stater, å ena sidan, och Europeiska gemenskapen och dess medlemsstater, å andra sidan"/>
    <w:docVar w:name="LW_TYPE.DOC.CP" w:val="RÅDETS BESLU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v-S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numbering" w:customStyle="1" w:styleId="ImportedStyle2">
    <w:name w:val="Imported Style 2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v-SE"/>
    </w:rPr>
  </w:style>
  <w:style w:type="paragraph" w:customStyle="1" w:styleId="Footnotetex">
    <w:name w:val="Footnote tex"/>
    <w:basedOn w:val="FootnoteText"/>
    <w:rPr>
      <w:rFonts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v-S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numbering" w:customStyle="1" w:styleId="ImportedStyle2">
    <w:name w:val="Imported Style 2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v-SE"/>
    </w:rPr>
  </w:style>
  <w:style w:type="paragraph" w:customStyle="1" w:styleId="Footnotetex">
    <w:name w:val="Footnote tex"/>
    <w:basedOn w:val="FootnoteText"/>
    <w:rPr>
      <w:rFonts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4</Pages>
  <Words>501</Words>
  <Characters>2931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2020-12-11T14:50:00Z</dcterms:created>
  <dcterms:modified xsi:type="dcterms:W3CDTF">2021-01-21T07:43:00Z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SG-010</vt:lpwstr>
  </property>
  <property fmtid="{D5CDD505-2E9C-101B-9397-08002B2CF9AE}" pid="10" name="DQCStatus">
    <vt:lpwstr>Green (DQC version 03)</vt:lpwstr>
  </property>
</Properties>
</file>