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53ED7C9-045A-41CA-BD0D-72CD0BC3DEEF" style="width:450.8pt;height:365.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rFonts w:eastAsia="Arial Unicode MS"/>
          <w:noProof/>
        </w:rPr>
      </w:pPr>
      <w:r>
        <w:t>1.</w:t>
      </w:r>
      <w:r>
        <w:tab/>
      </w:r>
      <w:r>
        <w:rPr>
          <w:noProof/>
        </w:rPr>
        <w:t>Predmet prijedloga</w:t>
      </w:r>
    </w:p>
    <w:p>
      <w:pPr>
        <w:rPr>
          <w:rFonts w:eastAsia="Arial Unicode MS"/>
          <w:noProof/>
        </w:rPr>
      </w:pPr>
      <w:r>
        <w:rPr>
          <w:noProof/>
        </w:rPr>
        <w:t>Ovaj se prijedlog odnosi na odluku o utvrđivanju stajališta koje treba zauzeti u ime Unije u Upravnom odboru koji je osnovan Carinskom konvencijom o međunarodnom prijevozu robe uz primjenu karneta TIR</w:t>
      </w:r>
      <w:r>
        <w:rPr>
          <w:rStyle w:val="FootnoteReference"/>
          <w:rFonts w:eastAsia="Arial Unicode MS"/>
          <w:noProof/>
        </w:rPr>
        <w:footnoteReference w:id="1"/>
      </w:r>
      <w:r>
        <w:rPr>
          <w:noProof/>
        </w:rPr>
        <w:t xml:space="preserve"> („Konvencija TIR”) u vezi s predviđenim donošenjem nekoliko izmjena Konvencije TIR.</w:t>
      </w:r>
    </w:p>
    <w:p>
      <w:pPr>
        <w:pStyle w:val="ManualHeading1"/>
        <w:rPr>
          <w:noProof/>
        </w:rPr>
      </w:pPr>
      <w:r>
        <w:t>2.</w:t>
      </w:r>
      <w:r>
        <w:tab/>
      </w:r>
      <w:r>
        <w:rPr>
          <w:noProof/>
        </w:rPr>
        <w:t>Kontekst prijedloga</w:t>
      </w:r>
    </w:p>
    <w:p>
      <w:pPr>
        <w:pStyle w:val="ManualHeading2"/>
        <w:rPr>
          <w:noProof/>
        </w:rPr>
      </w:pPr>
      <w:r>
        <w:t>2.1.</w:t>
      </w:r>
      <w:r>
        <w:tab/>
      </w:r>
      <w:r>
        <w:rPr>
          <w:noProof/>
        </w:rPr>
        <w:t>Carinska konvencija o međunarodnom prijevozu robe uz primjenu karneta TIR</w:t>
      </w:r>
    </w:p>
    <w:p>
      <w:pPr>
        <w:rPr>
          <w:noProof/>
        </w:rPr>
      </w:pPr>
      <w:r>
        <w:rPr>
          <w:noProof/>
        </w:rPr>
        <w:t xml:space="preserve">Cilj je Carinske konvencije o međunarodnom prijevozu robe uz primjenu karneta TIR od 14. studenoga 1975. („Konvencija TIR”) olakšati međunarodni prijevoz robe od polaznih carinarnica do odredišnih carinarnica i kroz onoliko zemalja koliko je potrebno. Sporazum je stupio na snagu 1978. U studenome 2020. Konvencija je imala 76 stranaka, 75 država i Europsku uniju. </w:t>
      </w:r>
    </w:p>
    <w:p>
      <w:pPr>
        <w:rPr>
          <w:rFonts w:eastAsia="Arial Unicode MS"/>
          <w:noProof/>
        </w:rPr>
      </w:pPr>
      <w:r>
        <w:rPr>
          <w:noProof/>
        </w:rPr>
        <w:t>Europska unija stranka je Konvencije TIR od 20. lipnja 1983.</w:t>
      </w:r>
      <w:r>
        <w:rPr>
          <w:rStyle w:val="FootnoteReference"/>
          <w:rFonts w:eastAsia="Arial Unicode MS"/>
          <w:noProof/>
        </w:rPr>
        <w:footnoteReference w:id="2"/>
      </w:r>
      <w:r>
        <w:rPr>
          <w:noProof/>
        </w:rPr>
        <w:t>, a stranke su i sve njezine države članice.</w:t>
      </w:r>
    </w:p>
    <w:p>
      <w:pPr>
        <w:pStyle w:val="ManualHeading2"/>
        <w:rPr>
          <w:noProof/>
        </w:rPr>
      </w:pPr>
      <w:r>
        <w:t>2.2.</w:t>
      </w:r>
      <w:r>
        <w:tab/>
      </w:r>
      <w:r>
        <w:rPr>
          <w:noProof/>
        </w:rPr>
        <w:t>Upravni odbor</w:t>
      </w:r>
    </w:p>
    <w:p>
      <w:pPr>
        <w:rPr>
          <w:noProof/>
        </w:rPr>
      </w:pPr>
      <w:r>
        <w:rPr>
          <w:noProof/>
        </w:rPr>
        <w:t>Upravni odbor djeluje u okviru Carinske konvencije o međunarodnom prijevozu robe uz primjenu karneta TIR. Uloga je Upravnog odbora razmatranje i donošenje izmjena Konvencije TIR. O prijedlozima se glasuje, a svaka država koja je stranka i zastupljena je na sjednici Upravnog odbora ima jedan glas. Unija ima isključivu nadležnost u području carine koje je uređeno Konvencijom TIR. Međutim, u skladu s člankom 52. stavkom 3. Konvencije Unija kao carinska i ekonomska unija nema pravo glasa povrh glasova njezinih država članica. Sve su države članice EU-a stranke i imaju pravo glasa.</w:t>
      </w:r>
    </w:p>
    <w:p>
      <w:pPr>
        <w:rPr>
          <w:rFonts w:eastAsia="Arial Unicode MS"/>
          <w:noProof/>
        </w:rPr>
      </w:pPr>
      <w:r>
        <w:rPr>
          <w:noProof/>
        </w:rPr>
        <w:t>Izmjene Konvencije TIR donose se dvotrećinskom većinom glasova stranaka koje su prisutne i glasuju. Za donošenje odluka potreban je kvorum od najmanje jedne trećine država koje su stranke.</w:t>
      </w:r>
    </w:p>
    <w:p>
      <w:pPr>
        <w:pStyle w:val="ManualHeading2"/>
        <w:rPr>
          <w:noProof/>
        </w:rPr>
      </w:pPr>
      <w:r>
        <w:t>2.3.</w:t>
      </w:r>
      <w:r>
        <w:tab/>
      </w:r>
      <w:r>
        <w:rPr>
          <w:noProof/>
        </w:rPr>
        <w:t>Predviđeni akt Upravnog odbora</w:t>
      </w:r>
    </w:p>
    <w:p>
      <w:pPr>
        <w:rPr>
          <w:rFonts w:eastAsia="Arial Unicode MS"/>
          <w:noProof/>
        </w:rPr>
      </w:pPr>
      <w:r>
        <w:rPr>
          <w:noProof/>
        </w:rPr>
        <w:t>Na svojoj sedamdeset četvrtoj sjednici, koja će se održati u veljači 2021., Upravni odbor treba donijeti odluku o donošenju predloženih izmjena Carinske konvencije o međunarodnom prijevozu robe uz primjenu karneta TIR („predviđeni akt”).</w:t>
      </w:r>
    </w:p>
    <w:p>
      <w:pPr>
        <w:rPr>
          <w:noProof/>
        </w:rPr>
      </w:pPr>
      <w:r>
        <w:rPr>
          <w:noProof/>
        </w:rPr>
        <w:t xml:space="preserve">Svrha je predviđenog akta prilagoditi obrazac karneta TIR povećanju broja otpremnih i/ili odredišnih carinarnica koje mogu biti uključene u prijevoz TIR. </w:t>
      </w:r>
    </w:p>
    <w:p>
      <w:pPr>
        <w:rPr>
          <w:noProof/>
        </w:rPr>
      </w:pPr>
      <w:r>
        <w:rPr>
          <w:noProof/>
        </w:rPr>
        <w:t xml:space="preserve">Predviđeni akt bit će obvezujući za stranke u skladu s člancima 59. i 60. Konvencije TIR. </w:t>
      </w:r>
    </w:p>
    <w:p>
      <w:pPr>
        <w:rPr>
          <w:noProof/>
        </w:rPr>
      </w:pPr>
      <w:r>
        <w:rPr>
          <w:noProof/>
        </w:rPr>
        <w:t xml:space="preserve">Članak 59. odnosi se na izmjene glavnog dijela Konvencije TIR i njime se predviđa sljedeće: „Osim ako nije drukčije predviđeno člankom 60., svaka predložena izmjena koja se podnosi u skladu s prethodnim stavkom stupa na snagu za sve ugovorne strane tri mjeseca nakon isteka razdoblja od dvanaest mjeseci od dana podnošenja predložene izmjene, tijekom kojega </w:t>
      </w:r>
      <w:r>
        <w:rPr>
          <w:noProof/>
        </w:rPr>
        <w:lastRenderedPageBreak/>
        <w:t>nijedna država ugovornih strana nije dala prigovor glavnom tajniku Ujedinjenih naroda.</w:t>
      </w:r>
      <w:r>
        <w:rPr>
          <w:i/>
          <w:noProof/>
        </w:rPr>
        <w:t xml:space="preserve"> </w:t>
      </w:r>
      <w:r>
        <w:rPr>
          <w:noProof/>
        </w:rPr>
        <w:t xml:space="preserve">Ako je protiv predložene izmjene podnesen prigovor u skladu sa stavkom 3. ovog članka, smatra se da ta izmjena nije prihvaćena i nema nikakva pravnoga učinka.” </w:t>
      </w:r>
    </w:p>
    <w:p>
      <w:pPr>
        <w:rPr>
          <w:noProof/>
        </w:rPr>
      </w:pPr>
      <w:r>
        <w:rPr>
          <w:noProof/>
        </w:rPr>
        <w:t>Članak 60. odnosi se na izmjene Priloga Konvenciji TIR i njime se predviđa sljedeće: „Svaka predložena izmjena priloga 1., 2., 3., 4., 5., 6., 7., 8., 9. i 10. razmatrana u skladu s člankom 59. stavcima 1. i 2. stupa na snagu na dan koji određuje Upravni odbor u trenutku usvajanja izmjene, osim ako do prethodnoga datuma, koji istodobno određuje Upravni odbor, jedna petina ili pet država ugovornih strana, ovisno o tome koji je broj manji, ne obavijesti glavnog tajnika Ujedinjenih naroda o svojem prigovoru na izmjenu.</w:t>
      </w:r>
      <w:r>
        <w:rPr>
          <w:i/>
          <w:noProof/>
        </w:rPr>
        <w:t xml:space="preserve"> </w:t>
      </w:r>
      <w:r>
        <w:rPr>
          <w:noProof/>
        </w:rPr>
        <w:t>Upravni odbor određuje datume iz ovog stavka dvotrećinskom većinom nazočnih članova koji su glasovali.”</w:t>
      </w:r>
    </w:p>
    <w:p>
      <w:pPr>
        <w:rPr>
          <w:rFonts w:eastAsia="Arial Unicode MS"/>
          <w:noProof/>
        </w:rPr>
      </w:pPr>
      <w:r>
        <w:rPr>
          <w:noProof/>
        </w:rPr>
        <w:t>Stajalište koje treba zauzeti u ime Unije:</w:t>
      </w:r>
    </w:p>
    <w:p>
      <w:pPr>
        <w:rPr>
          <w:noProof/>
        </w:rPr>
      </w:pPr>
      <w:r>
        <w:rPr>
          <w:noProof/>
        </w:rPr>
        <w:t xml:space="preserve">Unija podržava prijedlog izmjene Priloga 1. Konvenciji TIR i ažuriranje izgleda obrazaca karneta TIR jer je to u skladu s prethodno donesenim izmjenama članka 18., kojima je povećan najveći broj carinskih ureda koji se mogu koristiti tijekom prijevoza TIR. </w:t>
      </w:r>
    </w:p>
    <w:p>
      <w:pPr>
        <w:rPr>
          <w:noProof/>
        </w:rPr>
      </w:pPr>
      <w:r>
        <w:rPr>
          <w:noProof/>
        </w:rPr>
        <w:t>Preciznije, kako je predložila Europska komisija, ažurirat će se inačice 1. i 2. obrasca karneta TIR</w:t>
      </w:r>
      <w:r>
        <w:rPr>
          <w:rStyle w:val="FootnoteReference"/>
          <w:noProof/>
        </w:rPr>
        <w:footnoteReference w:id="3"/>
      </w:r>
      <w:r>
        <w:rPr>
          <w:noProof/>
        </w:rPr>
        <w:t xml:space="preserve">. Inačica 1. standardna je verzija karneta TIR, koja se trenutačno upotrebljava u praksi, a inačica 2. je karnet TIR za duhan/alkohol, koji se trenutačno ne upotrebljava. Radi dosljednosti i kako bi se izbjegle daljnje promjene u budućnosti, potrebno je istodobno izmijeniti oba obrasca. Novi obrasci bit će priloženi prijedlogu odluke Vijeća. </w:t>
      </w:r>
    </w:p>
    <w:p>
      <w:pPr>
        <w:rPr>
          <w:noProof/>
        </w:rPr>
      </w:pPr>
      <w:r>
        <w:rPr>
          <w:noProof/>
        </w:rPr>
        <w:t xml:space="preserve">Te će promjene imati pozitivan učinak na terenu jer će gospodarskim subjektima omogućiti veću fleksibilnost u odabiru njihovih otpremnih i odredišnih carinarnica. </w:t>
      </w:r>
    </w:p>
    <w:p>
      <w:pPr>
        <w:rPr>
          <w:noProof/>
        </w:rPr>
      </w:pPr>
      <w:r>
        <w:rPr>
          <w:noProof/>
        </w:rPr>
        <w:t>To je pozitivna promjena koji će poboljšati privlačnost Konvencije TIR. Europska unija podupire tu inicijativu kojom se može olakšati korištenje međunarodnog provoznog režima.</w:t>
      </w:r>
    </w:p>
    <w:p>
      <w:pPr>
        <w:pStyle w:val="ManualHeading1"/>
        <w:rPr>
          <w:noProof/>
        </w:rPr>
      </w:pPr>
      <w:r>
        <w:t>3.</w:t>
      </w:r>
      <w:r>
        <w:tab/>
      </w:r>
      <w:r>
        <w:rPr>
          <w:noProof/>
        </w:rPr>
        <w:t>Pravna osnova</w:t>
      </w:r>
    </w:p>
    <w:p>
      <w:pPr>
        <w:pStyle w:val="ManualHeading2"/>
        <w:rPr>
          <w:noProof/>
        </w:rPr>
      </w:pPr>
      <w:r>
        <w:t>3.1.</w:t>
      </w:r>
      <w:r>
        <w:tab/>
      </w:r>
      <w:r>
        <w:rPr>
          <w:noProof/>
        </w:rPr>
        <w:t>Postupovnopravna osnova</w:t>
      </w:r>
    </w:p>
    <w:p>
      <w:pPr>
        <w:pStyle w:val="ManualHeading3"/>
        <w:rPr>
          <w:noProof/>
        </w:rPr>
      </w:pPr>
      <w:r>
        <w:t>3.1.1.</w:t>
      </w:r>
      <w:r>
        <w:tab/>
      </w:r>
      <w:r>
        <w:rPr>
          <w:noProof/>
        </w:rPr>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Pojam „akti koji proizvode pravne učinke” obuhvaća akte koji proizvode pravne učinke na temelju pravila međunarodnog prava kojima se uređuje predmetno tijelo. Obuhvaća i instrumente koji nemaju obvezujući učinak na temelju međunarodnog prava, ali postoji mogućnost da „presudno utječu na sadržaj propisa koje donese zakonodavac Unije”</w:t>
      </w:r>
      <w:r>
        <w:rPr>
          <w:rStyle w:val="FootnoteReference"/>
          <w:noProof/>
        </w:rPr>
        <w:footnoteReference w:id="4"/>
      </w:r>
      <w:r>
        <w:rPr>
          <w:noProof/>
        </w:rPr>
        <w:t>.</w:t>
      </w:r>
    </w:p>
    <w:p>
      <w:pPr>
        <w:pStyle w:val="ManualHeading3"/>
        <w:rPr>
          <w:noProof/>
        </w:rPr>
      </w:pPr>
      <w:r>
        <w:t>3.1.2.</w:t>
      </w:r>
      <w:r>
        <w:tab/>
      </w:r>
      <w:r>
        <w:rPr>
          <w:noProof/>
        </w:rPr>
        <w:t>Primjena na ovaj predmet</w:t>
      </w:r>
    </w:p>
    <w:p>
      <w:pPr>
        <w:rPr>
          <w:noProof/>
        </w:rPr>
      </w:pPr>
      <w:r>
        <w:rPr>
          <w:noProof/>
        </w:rPr>
        <w:t>Upravni odbor djeluje u okviru Carinske konvencije o međunarodnom prijevozu robe uz primjenu karneta TIR.</w:t>
      </w:r>
    </w:p>
    <w:p>
      <w:pPr>
        <w:rPr>
          <w:noProof/>
        </w:rPr>
      </w:pPr>
      <w:r>
        <w:rPr>
          <w:noProof/>
        </w:rPr>
        <w:lastRenderedPageBreak/>
        <w:t xml:space="preserve">Akt koji Upravni odbor treba donijeti akt je koji proizvodi pravne učinke. Predviđeni akt bit će obvezujući na temelju međunarodnog prava u skladu s člancima 59. i 60. Carinske konvencije o međunarodnom prijevozu robe uz primjenu karneta TIR. </w:t>
      </w:r>
    </w:p>
    <w:p>
      <w:pPr>
        <w:rPr>
          <w:noProof/>
        </w:rPr>
      </w:pPr>
      <w:r>
        <w:rPr>
          <w:noProof/>
        </w:rPr>
        <w:t>Predviđenim aktom ne dopunjuje se niti mijenja institucionalni okvir sporazuma.</w:t>
      </w:r>
    </w:p>
    <w:p>
      <w:pPr>
        <w:rPr>
          <w:noProof/>
        </w:rPr>
      </w:pPr>
      <w:r>
        <w:rPr>
          <w:noProof/>
        </w:rPr>
        <w:t>Stoga je postupovnopravna osnova za predloženu odluku članak 218. stavak 9. UFEU-a.</w:t>
      </w:r>
    </w:p>
    <w:p>
      <w:pPr>
        <w:pStyle w:val="ManualHeading2"/>
        <w:rPr>
          <w:noProof/>
        </w:rPr>
      </w:pPr>
      <w:r>
        <w:t>3.2.</w:t>
      </w:r>
      <w:r>
        <w:tab/>
      </w:r>
      <w:r>
        <w:rPr>
          <w:noProof/>
        </w:rPr>
        <w:t>Materijalnopravna osnova</w:t>
      </w:r>
    </w:p>
    <w:p>
      <w:pPr>
        <w:pStyle w:val="ManualHeading3"/>
        <w:rPr>
          <w:noProof/>
        </w:rPr>
      </w:pPr>
      <w:r>
        <w:t>3.2.1.</w:t>
      </w:r>
      <w:r>
        <w:tab/>
      </w:r>
      <w:r>
        <w:rPr>
          <w:noProof/>
        </w:rPr>
        <w:t>Načela</w:t>
      </w:r>
    </w:p>
    <w:p>
      <w:pPr>
        <w:rPr>
          <w:noProof/>
        </w:rPr>
      </w:pPr>
      <w:r>
        <w:rPr>
          <w:noProof/>
        </w:rPr>
        <w:t>Materijalnopravna osnova za odluku na temelju članka 218. stavka 9. UFEU-a prije svega ovisi o cilju i sadržaju predviđenog akta o kojemu se zauzima stajalište u ime Unije. Ako predviđeni akt ima dva cilja ili elementa te ako se može utvrditi da je jedan od ta dva cilja ili elementa glavni, a drugi samo sporedan, odluka na temelju članka 218. stavka 9. UFEU-a mora se temeljiti na samo jednoj materijalnopravnoj osnovi, naime onoj koju zahtijeva glavni ili prevladavajući cilj ili element.</w:t>
      </w:r>
    </w:p>
    <w:p>
      <w:pPr>
        <w:pStyle w:val="ManualHeading3"/>
        <w:rPr>
          <w:noProof/>
        </w:rPr>
      </w:pPr>
      <w:r>
        <w:t>3.2.2.</w:t>
      </w:r>
      <w:r>
        <w:tab/>
      </w:r>
      <w:r>
        <w:rPr>
          <w:noProof/>
        </w:rPr>
        <w:t>Primjena na ovaj predmet</w:t>
      </w:r>
    </w:p>
    <w:p>
      <w:pPr>
        <w:rPr>
          <w:noProof/>
        </w:rPr>
      </w:pPr>
      <w:r>
        <w:rPr>
          <w:noProof/>
        </w:rPr>
        <w:t xml:space="preserve">Glavni cilj i sadržaj predviđenog akta odnose se na zajedničku trgovinsku politiku. </w:t>
      </w:r>
    </w:p>
    <w:p>
      <w:pPr>
        <w:rPr>
          <w:i/>
          <w:noProof/>
        </w:rPr>
      </w:pPr>
      <w:r>
        <w:rPr>
          <w:noProof/>
        </w:rPr>
        <w:t>Stoga je materijalnopravna osnova predložene odluke članak 207. stavak 4. UFEU-a.</w:t>
      </w:r>
    </w:p>
    <w:p>
      <w:pPr>
        <w:pStyle w:val="ManualHeading2"/>
        <w:rPr>
          <w:noProof/>
        </w:rPr>
      </w:pPr>
      <w:r>
        <w:t>3.3.</w:t>
      </w:r>
      <w:r>
        <w:tab/>
      </w:r>
      <w:r>
        <w:rPr>
          <w:noProof/>
        </w:rPr>
        <w:t>Zaključak</w:t>
      </w:r>
    </w:p>
    <w:p>
      <w:pPr>
        <w:rPr>
          <w:noProof/>
        </w:rPr>
      </w:pPr>
      <w:r>
        <w:rPr>
          <w:noProof/>
        </w:rPr>
        <w:t>Pravna osnova predložene odluke trebao bi biti članak 207. stavak 4. prvi podstavak u vezi s člankom 218. stavkom 9. UFEU-a.</w:t>
      </w:r>
    </w:p>
    <w:p>
      <w:pPr>
        <w:pStyle w:val="ManualHeading1"/>
        <w:rPr>
          <w:noProof/>
        </w:rPr>
      </w:pPr>
      <w:r>
        <w:t>4.</w:t>
      </w:r>
      <w:r>
        <w:tab/>
      </w:r>
      <w:r>
        <w:rPr>
          <w:noProof/>
        </w:rPr>
        <w:t>Objava predviđenog akta</w:t>
      </w:r>
    </w:p>
    <w:p>
      <w:pPr>
        <w:rPr>
          <w:noProof/>
        </w:rPr>
      </w:pPr>
      <w:r>
        <w:rPr>
          <w:noProof/>
        </w:rPr>
        <w:t xml:space="preserve">Budući da će se aktom Upravnog odbora izmijeniti Carinska konvencija o međunarodnom prijevozu robe uz primjenu karneta TIR i njezini prilozi, primjereno ga je nakon donošenja objaviti u </w:t>
      </w:r>
      <w:r>
        <w:rPr>
          <w:i/>
          <w:noProof/>
        </w:rPr>
        <w:t>Službenom listu Europske unije</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2021/0011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treba zauzeti u ime Europske unije u Upravnom odboru za Carinsku konvenciju o međunarodnom prijevozu robe uz primjenu karneta TIR u pogledu prijedloga izmjene te konvencije</w:t>
      </w:r>
    </w:p>
    <w:p>
      <w:pPr>
        <w:pStyle w:val="Institutionquiagit"/>
        <w:rPr>
          <w:b/>
          <w:noProof/>
        </w:rPr>
      </w:pPr>
      <w:r>
        <w:rPr>
          <w:b/>
          <w:noProof/>
        </w:rPr>
        <w:t>VIJEĆE EUROPSKE UNIJE,</w:t>
      </w:r>
    </w:p>
    <w:p>
      <w:pPr>
        <w:rPr>
          <w:noProof/>
        </w:rPr>
      </w:pPr>
      <w:r>
        <w:rPr>
          <w:noProof/>
        </w:rPr>
        <w:t>uzimajući u obzir Ugovor o funkcioniranju Europske unije, a posebno njegov članak 207. stavak 4. prvi podstavak u vezi s člankom 218. stavkom 9.,</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Carinska konvencija o međunarodnom prijevozu robe uz primjenu karneta TIR od 14. studenoga 1975. („Konvencija TIR”) odobrena je u ime Europske ekonomske zajednice Uredbom Vijeća (EEZ) br. 2112/78</w:t>
      </w:r>
      <w:r>
        <w:rPr>
          <w:rStyle w:val="FootnoteReference"/>
          <w:noProof/>
        </w:rPr>
        <w:footnoteReference w:id="5"/>
      </w:r>
      <w:r>
        <w:rPr>
          <w:noProof/>
        </w:rPr>
        <w:t xml:space="preserve"> i stupila je na snagu u Zajednici 20. lipnja 1983.</w:t>
      </w:r>
      <w:r>
        <w:rPr>
          <w:rStyle w:val="FootnoteReference"/>
          <w:noProof/>
        </w:rPr>
        <w:footnoteReference w:id="6"/>
      </w:r>
    </w:p>
    <w:p>
      <w:pPr>
        <w:pStyle w:val="ManualConsidrant"/>
        <w:rPr>
          <w:noProof/>
        </w:rPr>
      </w:pPr>
      <w:r>
        <w:t>(2)</w:t>
      </w:r>
      <w:r>
        <w:tab/>
      </w:r>
      <w:r>
        <w:rPr>
          <w:noProof/>
        </w:rPr>
        <w:t xml:space="preserve">Konsolidirana verzija Konvencije TIR objavljena je kao Prilog Odluci Vijeća 2009/477/EZ, a Komisija u skladu s njom objavljuje buduće izmjene Konvencije u </w:t>
      </w:r>
      <w:r>
        <w:rPr>
          <w:i/>
          <w:noProof/>
        </w:rPr>
        <w:t>Službenom listu Europske unije</w:t>
      </w:r>
      <w:r>
        <w:rPr>
          <w:noProof/>
        </w:rPr>
        <w:t xml:space="preserve"> uz naznaku datuma stupanja na snagu.</w:t>
      </w:r>
    </w:p>
    <w:p>
      <w:pPr>
        <w:pStyle w:val="ManualConsidrant"/>
        <w:rPr>
          <w:noProof/>
        </w:rPr>
      </w:pPr>
      <w:r>
        <w:t>(3)</w:t>
      </w:r>
      <w:r>
        <w:tab/>
      </w:r>
      <w:r>
        <w:rPr>
          <w:noProof/>
        </w:rPr>
        <w:t>U skladu s člancima 59. i 60. Konvencije TIR Upravni odbor za Konvenciju TIR („Upravni odbor”) može donositi izmjene Konvencije TIR i njezinih priloga dvotrećinskom većinom ugovornih stranaka koje su prisutne i glasuju.</w:t>
      </w:r>
    </w:p>
    <w:p>
      <w:pPr>
        <w:pStyle w:val="ManualConsidrant"/>
        <w:rPr>
          <w:noProof/>
        </w:rPr>
      </w:pPr>
      <w:r>
        <w:t>(4)</w:t>
      </w:r>
      <w:r>
        <w:tab/>
      </w:r>
      <w:r>
        <w:rPr>
          <w:noProof/>
        </w:rPr>
        <w:t>Na svojoj sedamdeset četvrtoj sjednici od 9. do 12. veljače 2021. ili na kasnijoj sjednici Upravni odbor treba donijeti nekoliko izmjena Konvencije TIR i njezinih priloga.</w:t>
      </w:r>
    </w:p>
    <w:p>
      <w:pPr>
        <w:pStyle w:val="ManualConsidrant"/>
        <w:rPr>
          <w:noProof/>
        </w:rPr>
      </w:pPr>
      <w:r>
        <w:t>(5)</w:t>
      </w:r>
      <w:r>
        <w:tab/>
      </w:r>
      <w:r>
        <w:rPr>
          <w:noProof/>
        </w:rPr>
        <w:t>Primjereno je utvrditi stajalište koje treba zauzeti u ime Unije u okviru Upravnog odbora jer će te izmjene biti obvezujuće za Uniju.</w:t>
      </w:r>
    </w:p>
    <w:p>
      <w:pPr>
        <w:pStyle w:val="ManualConsidrant"/>
        <w:rPr>
          <w:noProof/>
        </w:rPr>
      </w:pPr>
      <w:r>
        <w:t>(6)</w:t>
      </w:r>
      <w:r>
        <w:tab/>
      </w:r>
      <w:r>
        <w:rPr>
          <w:noProof/>
        </w:rPr>
        <w:t xml:space="preserve">Kako bi se uzela u obzir prethodno donesena izmjena članka 18. Konvencije TIR kojom se povećao broj carinarnica koje mogu biti uključene u prijevoz TIR, potrebno je izmijeniti Prilog 1. Konvenciji TIR i ažurirati izgled inačice 1. i 2. obrasca karneta TIR. </w:t>
      </w:r>
    </w:p>
    <w:p>
      <w:pPr>
        <w:pStyle w:val="ManualConsidrant"/>
        <w:rPr>
          <w:noProof/>
        </w:rPr>
      </w:pPr>
      <w:r>
        <w:t>(7)</w:t>
      </w:r>
      <w:r>
        <w:tab/>
      </w:r>
      <w:r>
        <w:rPr>
          <w:noProof/>
        </w:rPr>
        <w:t xml:space="preserve">Stajalište koje Unija treba zauzeti u Upravnom odboru stoga bi se trebalo temeljiti na nacrtu izmjena priloženom ovoj Odluci. Time se ne dovodi u pitanje mogućnost da se predstavnici Unije u Upravnom odboru za Konvenciju TIR dogovore o nematerijalnim manjim promjenama nacrta izmjena bez druge odluke Vijeća. </w:t>
      </w:r>
    </w:p>
    <w:p>
      <w:pPr>
        <w:rPr>
          <w:noProof/>
        </w:rPr>
      </w:pPr>
    </w:p>
    <w:p>
      <w:pPr>
        <w:pStyle w:val="Formuledadoption"/>
        <w:rPr>
          <w:noProof/>
        </w:rPr>
      </w:pPr>
      <w:r>
        <w:rPr>
          <w:noProof/>
        </w:rPr>
        <w:lastRenderedPageBreak/>
        <w:t>DONIJELO JE OVU ODLUKU:</w:t>
      </w:r>
    </w:p>
    <w:p>
      <w:pPr>
        <w:pStyle w:val="Titrearticle"/>
        <w:rPr>
          <w:noProof/>
        </w:rPr>
      </w:pPr>
      <w:r>
        <w:rPr>
          <w:noProof/>
        </w:rPr>
        <w:t>Članak 1.</w:t>
      </w:r>
    </w:p>
    <w:p>
      <w:pPr>
        <w:rPr>
          <w:noProof/>
        </w:rPr>
      </w:pPr>
      <w:r>
        <w:rPr>
          <w:noProof/>
        </w:rPr>
        <w:t>Stajalište koje treba zauzeti u ime Unije na sedamdeset četvrtoj ili kasnijoj sjednici Upravnog odbora za carinsku konvenciju o međunarodnom prijevozu robe uz primjenu karneta TIR („Konvencija TIR”) temelji se na nacrtu izmjena koji je priložen ovoj Odluci.</w:t>
      </w:r>
    </w:p>
    <w:p>
      <w:pPr>
        <w:pStyle w:val="Titrearticle"/>
        <w:rPr>
          <w:noProof/>
        </w:rPr>
      </w:pPr>
      <w:r>
        <w:rPr>
          <w:noProof/>
        </w:rPr>
        <w:t>Članak 2.</w:t>
      </w:r>
    </w:p>
    <w:p>
      <w:pPr>
        <w:rPr>
          <w:noProof/>
        </w:rPr>
      </w:pPr>
      <w:r>
        <w:rPr>
          <w:noProof/>
        </w:rPr>
        <w:t xml:space="preserve">Stajalište iz članka 1. izražava Komisija. Države članice Unije izražavaju stajalište Unije tijekom službenog glasovanja u Upravnom odboru za Konvenciju TIR, djelujući zajednički u interesu Unije. </w:t>
      </w:r>
    </w:p>
    <w:p>
      <w:pPr>
        <w:pStyle w:val="Titrearticle"/>
        <w:rPr>
          <w:noProof/>
        </w:rPr>
      </w:pPr>
      <w:r>
        <w:rPr>
          <w:noProof/>
        </w:rPr>
        <w:t>Članak 3.</w:t>
      </w:r>
    </w:p>
    <w:p>
      <w:pPr>
        <w:rPr>
          <w:noProof/>
        </w:rPr>
      </w:pPr>
      <w:r>
        <w:rPr>
          <w:noProof/>
        </w:rPr>
        <w:t xml:space="preserve">Ova je Odluka upućena državama članicama i Komisiji. </w:t>
      </w:r>
    </w:p>
    <w:p>
      <w:pPr>
        <w:rPr>
          <w:noProof/>
        </w:rPr>
      </w:pP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„TIR” znači „Transports Internationaux Routiers”, odnosno „Međunarodni cestovni prijevoz”.</w:t>
      </w:r>
    </w:p>
  </w:footnote>
  <w:footnote w:id="2">
    <w:p>
      <w:pPr>
        <w:pStyle w:val="FootnoteText"/>
      </w:pPr>
      <w:r>
        <w:rPr>
          <w:rStyle w:val="FootnoteReference"/>
        </w:rPr>
        <w:footnoteRef/>
      </w:r>
      <w:r>
        <w:tab/>
        <w:t>Uredba Vijeća (EEZ) br. 2112/78 od 25. srpnja 1978. o sklapanju Carinske konvencije o međunarodnom prijevozu robe uz primjenu karneta TIR (Konvencija TIR) od 14. studenoga 1975. godine iz Ženeve, SL L 252/1.</w:t>
      </w:r>
    </w:p>
  </w:footnote>
  <w:footnote w:id="3">
    <w:p>
      <w:pPr>
        <w:pStyle w:val="FootnoteText"/>
      </w:pPr>
      <w:r>
        <w:rPr>
          <w:rStyle w:val="FootnoteReference"/>
        </w:rPr>
        <w:footnoteRef/>
      </w:r>
      <w:r>
        <w:tab/>
        <w:t xml:space="preserve">U Prilogu ovom prijedlogu dostupan je novi izgled karneta TIR: ako se ne pojavljuje u legiswriteu, provjerite DQC-om. </w:t>
      </w:r>
    </w:p>
  </w:footnote>
  <w:footnote w:id="4">
    <w:p>
      <w:pPr>
        <w:pStyle w:val="FootnoteText"/>
      </w:pPr>
      <w:r>
        <w:rPr>
          <w:rStyle w:val="FootnoteReference"/>
        </w:rPr>
        <w:footnoteRef/>
      </w:r>
      <w:r>
        <w:tab/>
        <w:t xml:space="preserve">Presuda Suda od 7. listopada 2014., Njemačka protiv Vijeća, C-399/12, ECLI:EU:C:2014:2258, t. 61.–64. </w:t>
      </w:r>
    </w:p>
  </w:footnote>
  <w:footnote w:id="5">
    <w:p>
      <w:pPr>
        <w:pStyle w:val="FootnoteText"/>
      </w:pPr>
      <w:r>
        <w:rPr>
          <w:rStyle w:val="FootnoteReference"/>
        </w:rPr>
        <w:footnoteRef/>
      </w:r>
      <w:r>
        <w:tab/>
        <w:t>Uredba Vijeća (EEZ) br. 2112/78 od 25. srpnja 1978. o sklapanju Carinske konvencije o međunarodnom prijevozu robe uz primjenu karneta TIR (Konvencija TIR) od 14. studenoga 1975. godine iz Ženeve (SL L 252, 14.9.1978., str. 1.).</w:t>
      </w:r>
    </w:p>
  </w:footnote>
  <w:footnote w:id="6">
    <w:p>
      <w:pPr>
        <w:pStyle w:val="FootnoteText"/>
      </w:pPr>
      <w:r>
        <w:rPr>
          <w:rStyle w:val="FootnoteReference"/>
        </w:rPr>
        <w:footnoteRef/>
      </w:r>
      <w:r>
        <w:tab/>
        <w:t>SL L 31, 2.2.1983., str.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326A3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F40F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FE1E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E7438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7FEF1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7255B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4A84B6"/>
    <w:lvl w:ilvl="0">
      <w:start w:val="1"/>
      <w:numFmt w:val="decimal"/>
      <w:pStyle w:val="ListNumber"/>
      <w:lvlText w:val="%1."/>
      <w:lvlJc w:val="left"/>
      <w:pPr>
        <w:tabs>
          <w:tab w:val="num" w:pos="360"/>
        </w:tabs>
        <w:ind w:left="360" w:hanging="360"/>
      </w:pPr>
    </w:lvl>
  </w:abstractNum>
  <w:abstractNum w:abstractNumId="7">
    <w:nsid w:val="FFFFFF89"/>
    <w:multiLevelType w:val="singleLevel"/>
    <w:tmpl w:val="BD34F9F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1 16:10: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53ED7C9-045A-41CA-BD0D-72CD0BC3DEEF"/>
    <w:docVar w:name="LW_COVERPAGE_TYPE" w:val="1"/>
    <w:docVar w:name="LW_CROSSREFERENCE" w:val="&lt;UNUSED&gt;"/>
    <w:docVar w:name="LW_DocType" w:val="COM"/>
    <w:docVar w:name="LW_EMISSION" w:val="22.1.2021."/>
    <w:docVar w:name="LW_EMISSION_ISODATE" w:val="2021-01-22"/>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11"/>
    <w:docVar w:name="LW_REF.II.NEW.CP_YEAR" w:val="2021"/>
    <w:docVar w:name="LW_REF.INST.NEW" w:val="COM"/>
    <w:docVar w:name="LW_REF.INST.NEW_ADOPTED" w:val="final"/>
    <w:docVar w:name="LW_REF.INST.NEW_TEXT" w:val="(2021)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stajali\u353?tu koje treba zauzeti u ime Europske unije u Upravnom odboru za Carinsku konvenciju o me\u273?unarodnom prijevozu robe uz primjenu karneta TIR u pogledu prijedloga izmjene te konvencije"/>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5184-0172-41B8-A2AD-09CB06C5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1448</Words>
  <Characters>8168</Characters>
  <Application>Microsoft Office Word</Application>
  <DocSecurity>0</DocSecurity>
  <Lines>154</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2021-01-15T16:01:00Z</dcterms:created>
  <dcterms:modified xsi:type="dcterms:W3CDTF">2021-01-21T15:10:00Z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