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15BC810-B324-4B5F-9BEA-6BFA8EC7302A"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rPr>
          <w:rFonts w:eastAsia="Arial Unicode MS"/>
          <w:noProof/>
        </w:rPr>
      </w:pPr>
      <w:r>
        <w:rPr>
          <w:noProof/>
        </w:rPr>
        <w:t>Dette forslag vedrører afgørelsen om fastlæggelse af den holdning, der skal indtages på Unionens vegne i det administrationsudvalg, der er nedsat ved toldkonventionen om international godstransport på grundlag af TIR-carneter</w:t>
      </w:r>
      <w:r>
        <w:rPr>
          <w:rStyle w:val="FootnoteReference"/>
          <w:rFonts w:eastAsia="Arial Unicode MS"/>
          <w:noProof/>
        </w:rPr>
        <w:footnoteReference w:id="1"/>
      </w:r>
      <w:r>
        <w:rPr>
          <w:noProof/>
        </w:rPr>
        <w:t xml:space="preserve"> ("TIR-konventionen"), i forbindelse med den planlagte vedtagelse af flere ændringer af TIR-konventionen.</w:t>
      </w:r>
    </w:p>
    <w:p>
      <w:pPr>
        <w:pStyle w:val="ManualHeading1"/>
        <w:rPr>
          <w:noProof/>
        </w:rPr>
      </w:pPr>
      <w:r>
        <w:t>2.</w:t>
      </w:r>
      <w:r>
        <w:tab/>
      </w:r>
      <w:r>
        <w:rPr>
          <w:noProof/>
        </w:rPr>
        <w:t>Baggrund for forslaget</w:t>
      </w:r>
    </w:p>
    <w:p>
      <w:pPr>
        <w:pStyle w:val="ManualHeading2"/>
        <w:rPr>
          <w:noProof/>
        </w:rPr>
      </w:pPr>
      <w:r>
        <w:t>2.1.</w:t>
      </w:r>
      <w:r>
        <w:tab/>
      </w:r>
      <w:r>
        <w:rPr>
          <w:noProof/>
        </w:rPr>
        <w:t>Toldkonventionen om international godstransport på grundlag af TIR-carneter</w:t>
      </w:r>
    </w:p>
    <w:p>
      <w:pPr>
        <w:rPr>
          <w:noProof/>
        </w:rPr>
      </w:pPr>
      <w:r>
        <w:rPr>
          <w:noProof/>
        </w:rPr>
        <w:t xml:space="preserve">Toldkonventionen om international godstransport på grundlag af TIR-carneter af 14. november 1975 ("TIR-konventionen") har til formål at fremme international godstransport fra toldafgangsstedet til bestemmelsestoldstedet og gennem så mange lande som muligt. Aftalen trådte i kraft i 1978. Pr. november 2020 var der 76 parter i konventionen — 75 stater og Den Europæiske Union. </w:t>
      </w:r>
    </w:p>
    <w:p>
      <w:pPr>
        <w:rPr>
          <w:rFonts w:eastAsia="Arial Unicode MS"/>
          <w:noProof/>
        </w:rPr>
      </w:pPr>
      <w:r>
        <w:rPr>
          <w:noProof/>
        </w:rPr>
        <w:t>Den Europæiske Union har været kontraherende part i TIR-konventionen</w:t>
      </w:r>
      <w:r>
        <w:rPr>
          <w:rStyle w:val="FootnoteReference"/>
          <w:rFonts w:eastAsia="Arial Unicode MS"/>
          <w:noProof/>
        </w:rPr>
        <w:footnoteReference w:id="2"/>
      </w:r>
      <w:r>
        <w:rPr>
          <w:noProof/>
        </w:rPr>
        <w:t xml:space="preserve"> siden den 20. juni 1983, og alle medlemsstaterne er kontraherende parter i konventionen.</w:t>
      </w:r>
    </w:p>
    <w:p>
      <w:pPr>
        <w:pStyle w:val="ManualHeading2"/>
        <w:rPr>
          <w:noProof/>
        </w:rPr>
      </w:pPr>
      <w:r>
        <w:t>2.2.</w:t>
      </w:r>
      <w:r>
        <w:tab/>
      </w:r>
      <w:r>
        <w:rPr>
          <w:noProof/>
        </w:rPr>
        <w:t>Administrationsudvalget</w:t>
      </w:r>
    </w:p>
    <w:p>
      <w:pPr>
        <w:rPr>
          <w:noProof/>
        </w:rPr>
      </w:pPr>
      <w:r>
        <w:rPr>
          <w:noProof/>
        </w:rPr>
        <w:t>Administrationsudvalget virker inden for rammerne af TIR-konventionen. Dets rolle er at undersøge og vedtage ændringer af TIR-konventionen. Forslag sættes under afstemning, og hver stat, der er part, og som er repræsenteret ved mødet i administrationsudvalget, har én stemme. Unionen har enekompetence på de toldområder, der er reguleret ved TIR-konventionen, men har som en toldunion og en økonomisk union ikke stemmeret samtidig med medlemsstaterne, jf. konventionens artikel 52, stk. 3. Samtlige medlemsstater er parter med stemmeret.</w:t>
      </w:r>
    </w:p>
    <w:p>
      <w:pPr>
        <w:rPr>
          <w:rFonts w:eastAsia="Arial Unicode MS"/>
          <w:noProof/>
        </w:rPr>
      </w:pPr>
      <w:r>
        <w:rPr>
          <w:noProof/>
        </w:rPr>
        <w:t>Ændringer af TIR-konventionen vedtages med to tredjedeles flertal blandt de parter, der er til stede og afgiver stemme. Mindst en tredjedel af de stater, som er part i konventionen, skal være til stede, for at der kan træffes en afgørelse.</w:t>
      </w:r>
    </w:p>
    <w:p>
      <w:pPr>
        <w:pStyle w:val="ManualHeading2"/>
        <w:rPr>
          <w:noProof/>
        </w:rPr>
      </w:pPr>
      <w:r>
        <w:t>2.3.</w:t>
      </w:r>
      <w:r>
        <w:tab/>
      </w:r>
      <w:r>
        <w:rPr>
          <w:noProof/>
        </w:rPr>
        <w:t>Den retsakt, der skal vedtages af administrationsudvalget</w:t>
      </w:r>
    </w:p>
    <w:p>
      <w:pPr>
        <w:rPr>
          <w:rFonts w:eastAsia="Arial Unicode MS"/>
          <w:noProof/>
        </w:rPr>
      </w:pPr>
      <w:r>
        <w:rPr>
          <w:noProof/>
        </w:rPr>
        <w:t>Administrationsudvalget skal på sit 74. møde i februar 2021 træffe afgørelse om vedtagelsen af de foreslåede ændringer af TIR-konventionen ("den påtænkte retsakt").</w:t>
      </w:r>
    </w:p>
    <w:p>
      <w:pPr>
        <w:rPr>
          <w:noProof/>
        </w:rPr>
      </w:pPr>
      <w:r>
        <w:rPr>
          <w:noProof/>
        </w:rPr>
        <w:t xml:space="preserve">Formålet med den påtænkte retsakt er at tilpasse TIR-carnetformularen til det øgede antal afgangs- og/eller bestemmelsestoldsteder, der må være omfattet af en TIR-transport. </w:t>
      </w:r>
    </w:p>
    <w:p>
      <w:pPr>
        <w:rPr>
          <w:noProof/>
        </w:rPr>
      </w:pPr>
      <w:r>
        <w:rPr>
          <w:noProof/>
        </w:rPr>
        <w:t xml:space="preserve">Den påtænkte retsakt får bindende virkning for parterne i henhold til TIR-konventionens artikel 59 og 60. </w:t>
      </w:r>
    </w:p>
    <w:p>
      <w:pPr>
        <w:rPr>
          <w:noProof/>
        </w:rPr>
      </w:pPr>
      <w:r>
        <w:rPr>
          <w:noProof/>
        </w:rPr>
        <w:t>Artikel 59 vedrører ændringer af TIR-konventionens korpus og fastsætter: "</w:t>
      </w:r>
      <w:r>
        <w:rPr>
          <w:i/>
          <w:noProof/>
        </w:rPr>
        <w:t xml:space="preserve">Uden at dette berører artikel 60, træder ethvert ændringsforslag, som fremsendes i overensstemmelse med foregående stykke, i kraft for alle kontraherende parter tre måneder efter udløbet af en periode på 12 måneder, der regnes fra den dato, ændringsforslaget blev bekendtgjort, og i hvilken periode ingen indsigelser til ændringsforslaget er fremsat til De Forenede Nationers </w:t>
      </w:r>
      <w:r>
        <w:rPr>
          <w:i/>
          <w:noProof/>
        </w:rPr>
        <w:lastRenderedPageBreak/>
        <w:t>generalsekretær af en stat, som er kontraherende part.</w:t>
      </w:r>
      <w:r>
        <w:rPr>
          <w:noProof/>
        </w:rPr>
        <w:t>"</w:t>
      </w:r>
      <w:r>
        <w:rPr>
          <w:i/>
          <w:noProof/>
        </w:rPr>
        <w:t xml:space="preserve"> Hvis en indsigelse mod ændringsforslaget er meddelt i overensstemmelse med denne artikels stk. 3, betragtes ændringen som ikke godkendt og uden virkning</w:t>
      </w:r>
      <w:r>
        <w:rPr>
          <w:noProof/>
        </w:rPr>
        <w:t xml:space="preserve">." </w:t>
      </w:r>
    </w:p>
    <w:p>
      <w:pPr>
        <w:rPr>
          <w:noProof/>
        </w:rPr>
      </w:pPr>
      <w:r>
        <w:rPr>
          <w:noProof/>
        </w:rPr>
        <w:t>Artikel 60 vedrører ændringer af bilagene til TIR-konventionen og fastsætter: "</w:t>
      </w:r>
      <w:r>
        <w:rPr>
          <w:i/>
          <w:noProof/>
        </w:rPr>
        <w:t>Ethvert ændringsforslag til bilag 1, 2, 3, 4, 5, 6, 7, 8, 9 og 10, der er behandlet i overensstemmelse med artikel 59, stk. 1 og 2, træder i kraft på en dato, som fastsættes af administrationsudvalget samtidig med, at dette vedtager ændringsforslaget, medmindre en femtedel af de stater, der er kontraherende parter, eller fem stater, der er kontraherende parter, alt efter hvilket antal er mindst, på en tidligere dato, der fastsættes samtidigt af administrationsudvalget, underretter De Forenede Nationers generalsekretær om deres indsigelse mod ændringen. De i dette stykke anførte datoer bestemmes af administrationsudvalget med to tredjedeles flertal af de medlemmer, som er til stede og afgiver deres stemme</w:t>
      </w:r>
      <w:r>
        <w:rPr>
          <w:noProof/>
        </w:rPr>
        <w:t>".</w:t>
      </w:r>
    </w:p>
    <w:p>
      <w:pPr>
        <w:rPr>
          <w:rFonts w:eastAsia="Arial Unicode MS"/>
          <w:noProof/>
        </w:rPr>
      </w:pPr>
      <w:r>
        <w:rPr>
          <w:noProof/>
        </w:rPr>
        <w:t>Den holdning, der skal indtages på Unionens vegne:</w:t>
      </w:r>
    </w:p>
    <w:p>
      <w:pPr>
        <w:rPr>
          <w:noProof/>
        </w:rPr>
      </w:pPr>
      <w:r>
        <w:rPr>
          <w:noProof/>
        </w:rPr>
        <w:t xml:space="preserve">Unionen støtter forslaget om en ændring af bilag 1 til TIR-konventionen og ajourføringen af TIR-carnetformularernes udformning, da dette er i overensstemmelse med tidligere vedtagne ændringer af artikel 18, hvorved det maksimale antal toldsteder, der må indgå i en TIR-transport, blev øget. </w:t>
      </w:r>
    </w:p>
    <w:p>
      <w:pPr>
        <w:rPr>
          <w:noProof/>
        </w:rPr>
      </w:pPr>
      <w:r>
        <w:rPr>
          <w:noProof/>
        </w:rPr>
        <w:t>Som foreslået af Europa-Kommissionen vil både udgave 1 og 2 af TIR-carnetformularen blive ajourført</w:t>
      </w:r>
      <w:r>
        <w:rPr>
          <w:rStyle w:val="FootnoteReference"/>
          <w:noProof/>
        </w:rPr>
        <w:footnoteReference w:id="3"/>
      </w:r>
      <w:r>
        <w:rPr>
          <w:noProof/>
        </w:rPr>
        <w:t xml:space="preserve">. Udgave 1 er den standardudgave af TIR-carnetet, der i øjeblikket anvendes i praksis, og udgave 2 er TIR-carnetet for tobak og alkohol, som ikke anvendes på nuværende tidspunkt. Af hensyn til sammenhængen og for at undgå yderligere ændringer i fremtiden bør de to formularer ændres samtidigt. De nye formularer vedlægges som bilag til forslaget til Rådets afgørelse. </w:t>
      </w:r>
    </w:p>
    <w:p>
      <w:pPr>
        <w:rPr>
          <w:noProof/>
        </w:rPr>
      </w:pPr>
      <w:r>
        <w:rPr>
          <w:noProof/>
        </w:rPr>
        <w:t xml:space="preserve">Disse ændringer vil have en positiv indvirkning i praksis, da de vil give de erhvervsdrivende større fleksibilitet i forbindelse med valget af deres afgangs- og bestemmelsestoldsted. </w:t>
      </w:r>
    </w:p>
    <w:p>
      <w:pPr>
        <w:rPr>
          <w:noProof/>
        </w:rPr>
      </w:pPr>
      <w:r>
        <w:rPr>
          <w:noProof/>
        </w:rPr>
        <w:t>Dette er en positiv udvikling, som vil gøre TIR-konventionen mere attraktiv. Den Europæiske Union støtter dette initiativ, som kan lette anvendelsen af den internationale forsendelsesprocedure.</w:t>
      </w:r>
    </w:p>
    <w:p>
      <w:pPr>
        <w:pStyle w:val="ManualHeading1"/>
        <w:rPr>
          <w:noProof/>
        </w:rPr>
      </w:pPr>
      <w:r>
        <w:t>3.</w:t>
      </w:r>
      <w:r>
        <w:tab/>
      </w:r>
      <w:r>
        <w:rPr>
          <w:noProof/>
        </w:rPr>
        <w:t>Retsgrundlag</w:t>
      </w:r>
    </w:p>
    <w:p>
      <w:pPr>
        <w:pStyle w:val="ManualHeading2"/>
        <w:rPr>
          <w:noProof/>
        </w:rPr>
      </w:pPr>
      <w:r>
        <w:t>3.1.</w:t>
      </w:r>
      <w:r>
        <w:tab/>
      </w:r>
      <w:r>
        <w:rPr>
          <w:noProof/>
        </w:rPr>
        <w:t>Proceduremæssigt retsgrundlag</w:t>
      </w:r>
    </w:p>
    <w:p>
      <w:pPr>
        <w:pStyle w:val="ManualHeading3"/>
        <w:rPr>
          <w:noProof/>
        </w:rPr>
      </w:pPr>
      <w:r>
        <w:t>3.1.1.</w:t>
      </w:r>
      <w:r>
        <w:tab/>
      </w:r>
      <w:r>
        <w:rPr>
          <w:noProof/>
        </w:rPr>
        <w:t>Principper</w:t>
      </w:r>
    </w:p>
    <w:p>
      <w:pPr>
        <w:rPr>
          <w:noProof/>
        </w:rPr>
      </w:pPr>
      <w:r>
        <w:rPr>
          <w:noProof/>
        </w:rPr>
        <w:t>I henhold til artikel 218, stk. 9, i traktaten om Den Europæiske Unions funktionsmåde (TEUF) vedtager Rådet afgørelser om "fastlæggelse af, hvilke holdninger der skal indtages på Unionens vegne i et organ nedsat ved en aftale, når dette organ skal vedtage retsakter, der har retsvirkninger, bortset fra retsakter, der supplerer eller ændrer den institutionelle ramme for aftalen".</w:t>
      </w:r>
    </w:p>
    <w:p>
      <w:pPr>
        <w:rPr>
          <w:noProof/>
        </w:rPr>
      </w:pPr>
      <w:r>
        <w:rPr>
          <w:noProof/>
        </w:rPr>
        <w:t xml:space="preserve">Begrebet "retsakter, der har retsvirkninger" omfatter retsakter, der har retsvirkninger i medfør af de folkeretlige regler, der gælder for det pågældende organ. Det omfatter også </w:t>
      </w:r>
      <w:r>
        <w:rPr>
          <w:noProof/>
        </w:rPr>
        <w:lastRenderedPageBreak/>
        <w:t>instrumenter, der ikke har bindende virkning i henhold til folkeretten, men som "vil kunne få afgørende indflydelse på indholdet af de regler, der vedtages af EU-lovgiver"</w:t>
      </w:r>
      <w:r>
        <w:rPr>
          <w:rStyle w:val="FootnoteReference"/>
          <w:noProof/>
        </w:rPr>
        <w:footnoteReference w:id="4"/>
      </w:r>
      <w:r>
        <w:rPr>
          <w:noProof/>
        </w:rPr>
        <w:t>.</w:t>
      </w:r>
    </w:p>
    <w:p>
      <w:pPr>
        <w:pStyle w:val="ManualHeading3"/>
        <w:rPr>
          <w:noProof/>
        </w:rPr>
      </w:pPr>
      <w:r>
        <w:t>3.1.2.</w:t>
      </w:r>
      <w:r>
        <w:tab/>
      </w:r>
      <w:r>
        <w:rPr>
          <w:noProof/>
        </w:rPr>
        <w:t>Princippernes anvendelse på det foreliggende tilfælde</w:t>
      </w:r>
    </w:p>
    <w:p>
      <w:pPr>
        <w:rPr>
          <w:noProof/>
        </w:rPr>
      </w:pPr>
      <w:r>
        <w:rPr>
          <w:noProof/>
        </w:rPr>
        <w:t>Administrationsudvalget er et organ, der er nedsat ved en aftale, nemlig TIR-konventionen.</w:t>
      </w:r>
    </w:p>
    <w:p>
      <w:pPr>
        <w:rPr>
          <w:noProof/>
        </w:rPr>
      </w:pPr>
      <w:r>
        <w:rPr>
          <w:noProof/>
        </w:rPr>
        <w:t xml:space="preserve">Den retsakt, som administrationsudvalget skal vedtage, er en retsakt, der har retsvirkninger. Den påtænkte retsakt får bindende virkning i henhold til folkeretten, jf. TIR-konventionens artikel 59 og 60. </w:t>
      </w:r>
    </w:p>
    <w:p>
      <w:pPr>
        <w:rPr>
          <w:noProof/>
        </w:rPr>
      </w:pPr>
      <w:r>
        <w:rPr>
          <w:noProof/>
        </w:rPr>
        <w:t>Den påtænkte retsakt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t>3.2.</w:t>
      </w:r>
      <w:r>
        <w:tab/>
      </w:r>
      <w:r>
        <w:rPr>
          <w:noProof/>
        </w:rPr>
        <w:t>Materielt retsgrundlag</w:t>
      </w:r>
    </w:p>
    <w:p>
      <w:pPr>
        <w:pStyle w:val="ManualHeading3"/>
        <w:rPr>
          <w:noProof/>
        </w:rPr>
      </w:pPr>
      <w:r>
        <w:t>3.2.1.</w:t>
      </w:r>
      <w:r>
        <w:tab/>
      </w:r>
      <w:r>
        <w:rPr>
          <w:noProof/>
        </w:rPr>
        <w:t>Principper</w:t>
      </w:r>
    </w:p>
    <w:p>
      <w:pPr>
        <w:rPr>
          <w:noProof/>
        </w:rPr>
      </w:pPr>
      <w:r>
        <w:rPr>
          <w:noProof/>
        </w:rPr>
        <w:t>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elementer, og det ene af disse formål eller elementer kan bestemmes som det primære, mens det andet kun er sekundært, skal den afgørelse, der vedtages i henhold til artikel 218, stk. 9, i TEUF, have et enkelt materielt retsgrundlag, nemlig det, der kræves af det primære eller fremherskende formål eller element.</w:t>
      </w:r>
    </w:p>
    <w:p>
      <w:pPr>
        <w:pStyle w:val="ManualHeading3"/>
        <w:rPr>
          <w:noProof/>
        </w:rPr>
      </w:pPr>
      <w:r>
        <w:t>3.2.2.</w:t>
      </w:r>
      <w:r>
        <w:tab/>
      </w:r>
      <w:r>
        <w:rPr>
          <w:noProof/>
        </w:rPr>
        <w:t>Princippernes anvendelse på det foreliggende tilfælde</w:t>
      </w:r>
    </w:p>
    <w:p>
      <w:pPr>
        <w:rPr>
          <w:noProof/>
        </w:rPr>
      </w:pPr>
      <w:r>
        <w:rPr>
          <w:noProof/>
        </w:rPr>
        <w:t xml:space="preserve">Den påtænkte retsakts primære formål og indhold vedrører den fælles handelspolitik. </w:t>
      </w:r>
    </w:p>
    <w:p>
      <w:pPr>
        <w:rPr>
          <w:i/>
          <w:noProof/>
        </w:rPr>
      </w:pPr>
      <w:r>
        <w:rPr>
          <w:noProof/>
        </w:rPr>
        <w:t>Det materielle retsgrundlag for den foreslåede afgørelse er derfor artikel 207, stk. 4, første afsnit, i TEUF.</w:t>
      </w:r>
    </w:p>
    <w:p>
      <w:pPr>
        <w:pStyle w:val="ManualHeading2"/>
        <w:rPr>
          <w:noProof/>
        </w:rPr>
      </w:pPr>
      <w:r>
        <w:t>3.3.</w:t>
      </w:r>
      <w:r>
        <w:tab/>
      </w:r>
      <w:r>
        <w:rPr>
          <w:noProof/>
        </w:rPr>
        <w:t>Konklusion</w:t>
      </w:r>
    </w:p>
    <w:p>
      <w:pPr>
        <w:rPr>
          <w:noProof/>
        </w:rPr>
      </w:pPr>
      <w:r>
        <w:rPr>
          <w:noProof/>
        </w:rPr>
        <w:t>Retsgrundlaget for den foreslåede afgørelse bør være artikel 207, stk. 4, første afsnit, i TEUF sammenholdt med artikel 218, stk. 9, i TEUF.</w:t>
      </w:r>
    </w:p>
    <w:p>
      <w:pPr>
        <w:pStyle w:val="ManualHeading1"/>
        <w:rPr>
          <w:noProof/>
        </w:rPr>
      </w:pPr>
      <w:r>
        <w:t>4.</w:t>
      </w:r>
      <w:r>
        <w:tab/>
      </w:r>
      <w:r>
        <w:rPr>
          <w:noProof/>
        </w:rPr>
        <w:t>Offentliggørelse af den påtænkte retsakt</w:t>
      </w:r>
    </w:p>
    <w:p>
      <w:pPr>
        <w:rPr>
          <w:noProof/>
        </w:rPr>
      </w:pPr>
      <w:r>
        <w:rPr>
          <w:noProof/>
        </w:rPr>
        <w:t>Da den retsakt, der skal vedtages af administrationsudvalget, ændrer TIR-konventionen og bilagene hertil, bør den offentliggøres i</w:t>
      </w:r>
      <w:r>
        <w:rPr>
          <w:i/>
          <w:noProof/>
        </w:rPr>
        <w:t xml:space="preserve"> Den Europæiske Unions Tidende</w:t>
      </w:r>
      <w:r>
        <w:rPr>
          <w:noProof/>
        </w:rPr>
        <w:t xml:space="preserve"> efter vedtagelsen.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 det administrationsudvalg, der er nedsat i henhold til toldkonventionen om international godstransport på grundlag af TIR-carneter, for så vidt angår forslaget om ændring af konventionen</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207, stk. 4, første afsnit,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Toldkonventionen om international godstransport på grundlag af TIR-carneter ("TIR-konventionen") af 14. november 1975 blev godkendt på Det Europæiske Økonomiske Fællesskabs vegne ved Rådets forordning (EØF) nr. 2112/78</w:t>
      </w:r>
      <w:r>
        <w:rPr>
          <w:rStyle w:val="FootnoteReference"/>
          <w:noProof/>
        </w:rPr>
        <w:footnoteReference w:id="5"/>
      </w:r>
      <w:r>
        <w:rPr>
          <w:noProof/>
        </w:rPr>
        <w:t xml:space="preserve"> og trådte i kraft i Fællesskabet den 20. juni 1983</w:t>
      </w:r>
      <w:r>
        <w:rPr>
          <w:rStyle w:val="FootnoteReference"/>
          <w:noProof/>
        </w:rPr>
        <w:footnoteReference w:id="6"/>
      </w:r>
      <w:r>
        <w:rPr>
          <w:noProof/>
        </w:rPr>
        <w:t>.</w:t>
      </w:r>
    </w:p>
    <w:p>
      <w:pPr>
        <w:pStyle w:val="ManualConsidrant"/>
        <w:rPr>
          <w:noProof/>
        </w:rPr>
      </w:pPr>
      <w:r>
        <w:t>(2)</w:t>
      </w:r>
      <w:r>
        <w:tab/>
      </w:r>
      <w:r>
        <w:rPr>
          <w:noProof/>
        </w:rPr>
        <w:t xml:space="preserve">En konsolideret udgave af TIR-konventionen blev offentliggjort som bilag til Rådets afgørelse 2009/477/EF, ifølge hvilken Kommissionen skal offentliggøre fremtidige ændringer til TIR-konventionen i </w:t>
      </w:r>
      <w:r>
        <w:rPr>
          <w:i/>
          <w:noProof/>
        </w:rPr>
        <w:t>Den Europæiske Unions Tidende</w:t>
      </w:r>
      <w:r>
        <w:rPr>
          <w:noProof/>
        </w:rPr>
        <w:t xml:space="preserve"> med angivelse af datoen for deres ikrafttræden.</w:t>
      </w:r>
    </w:p>
    <w:p>
      <w:pPr>
        <w:pStyle w:val="ManualConsidrant"/>
        <w:rPr>
          <w:noProof/>
        </w:rPr>
      </w:pPr>
      <w:r>
        <w:t>(3)</w:t>
      </w:r>
      <w:r>
        <w:tab/>
      </w:r>
      <w:r>
        <w:rPr>
          <w:noProof/>
        </w:rPr>
        <w:t>I henhold til TIR-konventionens artikel 59 og 60 kan TIR-konventionens administrationsudvalg vedtage ændringer til TIR-konventionen og bilagene hertil med to tredjedeles flertal blandt de medlemmer, der er til stede og afgiver stemme.</w:t>
      </w:r>
    </w:p>
    <w:p>
      <w:pPr>
        <w:pStyle w:val="ManualConsidrant"/>
        <w:rPr>
          <w:noProof/>
        </w:rPr>
      </w:pPr>
      <w:r>
        <w:t>(4)</w:t>
      </w:r>
      <w:r>
        <w:tab/>
      </w:r>
      <w:r>
        <w:rPr>
          <w:noProof/>
        </w:rPr>
        <w:t>Administrationsudvalget skal på sit 74. møde den 9.-12. februar 2021 eller på et efterfølgende møde vedtage flere ændringer af bilagene til TIR-konventionen.</w:t>
      </w:r>
    </w:p>
    <w:p>
      <w:pPr>
        <w:pStyle w:val="ManualConsidrant"/>
        <w:rPr>
          <w:noProof/>
        </w:rPr>
      </w:pPr>
      <w:r>
        <w:t>(5)</w:t>
      </w:r>
      <w:r>
        <w:tab/>
      </w:r>
      <w:r>
        <w:rPr>
          <w:noProof/>
        </w:rPr>
        <w:t>Den holdning, der skal indtages på Unionens vegne i administrationsudvalget, bør fastlægges, da ændringerne får bindende virkning for Unionen.</w:t>
      </w:r>
    </w:p>
    <w:p>
      <w:pPr>
        <w:pStyle w:val="ManualConsidrant"/>
        <w:rPr>
          <w:noProof/>
        </w:rPr>
      </w:pPr>
      <w:r>
        <w:t>(6)</w:t>
      </w:r>
      <w:r>
        <w:tab/>
      </w:r>
      <w:r>
        <w:rPr>
          <w:noProof/>
        </w:rPr>
        <w:t xml:space="preserve">For at tage hensyn til den tidligere vedtagne ændring af TIR-konventionens artikel 18, hvorved antallet af toldsteder, som en TIR-transport må omfatte, blev øget, er det nødvendigt at ændre bilag 1 til TIR-konventionen og ajourføre udformningen af udgave 1 og 2 af TIR-carnetformularerne. </w:t>
      </w:r>
    </w:p>
    <w:p>
      <w:pPr>
        <w:pStyle w:val="ManualConsidrant"/>
        <w:rPr>
          <w:noProof/>
        </w:rPr>
      </w:pPr>
      <w:r>
        <w:t>(7)</w:t>
      </w:r>
      <w:r>
        <w:tab/>
      </w:r>
      <w:r>
        <w:rPr>
          <w:noProof/>
        </w:rPr>
        <w:t xml:space="preserve">Den holdning, der skal indtages på Unionens vegne i administrationsudvalget, bør derfor baseres på det udkast til ændring, der er knyttet til denne afgørelse. Dette berører ikke muligheden for, at Unionens repræsentanter i TIR-konventionens administrationsudvalg kan vedtage mindre ikke-væsentlige ændringer af udkastet til ændringer, uden at Rådet skal træffe yderligere afgørelse — </w:t>
      </w:r>
    </w:p>
    <w:p>
      <w:pPr>
        <w:rPr>
          <w:noProof/>
        </w:rPr>
      </w:pPr>
    </w:p>
    <w:p>
      <w:pPr>
        <w:pStyle w:val="Formuledadoption"/>
        <w:rPr>
          <w:noProof/>
        </w:rPr>
      </w:pPr>
      <w:r>
        <w:rPr>
          <w:noProof/>
        </w:rPr>
        <w:t>VEDTAGET DENNE AFGØRELSE:</w:t>
      </w:r>
    </w:p>
    <w:p>
      <w:pPr>
        <w:pStyle w:val="Titrearticle"/>
        <w:rPr>
          <w:noProof/>
        </w:rPr>
      </w:pPr>
      <w:r>
        <w:rPr>
          <w:noProof/>
        </w:rPr>
        <w:t>Artikel 1</w:t>
      </w:r>
    </w:p>
    <w:p>
      <w:pPr>
        <w:rPr>
          <w:noProof/>
        </w:rPr>
      </w:pPr>
      <w:r>
        <w:rPr>
          <w:noProof/>
        </w:rPr>
        <w:t>Den holdning, der skal indtages på Unionens vegne på det 74. møde eller efterfølgende møder i administrationsudvalget for toldkonventionen om international godstransport på grundlag af TIR-carneter ("TIR-konventionen"), baseres på det udkast til ændringer, der er knyttet til denne afgørelse.</w:t>
      </w:r>
    </w:p>
    <w:p>
      <w:pPr>
        <w:pStyle w:val="Titrearticle"/>
        <w:rPr>
          <w:noProof/>
        </w:rPr>
      </w:pPr>
      <w:r>
        <w:rPr>
          <w:noProof/>
        </w:rPr>
        <w:t>Artikel 2</w:t>
      </w:r>
    </w:p>
    <w:p>
      <w:pPr>
        <w:rPr>
          <w:noProof/>
        </w:rPr>
      </w:pPr>
      <w:r>
        <w:rPr>
          <w:noProof/>
        </w:rPr>
        <w:t xml:space="preserve">Den holdning, der er omhandlet i artikel 1, udtrykkes af Kommissionen. Unionens holdning udtrykkes af EU-medlemsstaterne, som handler i fællesskab og i Unionens interesse, når der stemmes formelt i administrationsudvalget for TIR-konventionen. </w:t>
      </w:r>
    </w:p>
    <w:p>
      <w:pPr>
        <w:pStyle w:val="Titrearticle"/>
        <w:rPr>
          <w:noProof/>
        </w:rPr>
      </w:pPr>
      <w:r>
        <w:rPr>
          <w:noProof/>
        </w:rPr>
        <w:t>Artikel 3</w:t>
      </w:r>
    </w:p>
    <w:p>
      <w:pPr>
        <w:rPr>
          <w:noProof/>
        </w:rPr>
      </w:pPr>
      <w:r>
        <w:rPr>
          <w:noProof/>
        </w:rPr>
        <w:t xml:space="preserve">Denne afgørelse er rettet til medlemsstaterne og Kommissionen. </w:t>
      </w:r>
    </w:p>
    <w:p>
      <w:pPr>
        <w:rPr>
          <w:noProof/>
        </w:rPr>
      </w:pP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står for "Transports Internationaux Routiers" eller "International Road Transports".</w:t>
      </w:r>
    </w:p>
  </w:footnote>
  <w:footnote w:id="2">
    <w:p>
      <w:pPr>
        <w:pStyle w:val="FootnoteText"/>
      </w:pPr>
      <w:r>
        <w:rPr>
          <w:rStyle w:val="FootnoteReference"/>
        </w:rPr>
        <w:footnoteRef/>
      </w:r>
      <w:r>
        <w:tab/>
        <w:t>Rådets forordning (EØF) nr. 2112/78 af 25. juli 1978 om tiltrædelse af toldkonventionen om international godstransport på grundlag af TIR-carneter (TIR-konventionen) af 14. november 1975, Genève (EFT L 252 af 14.9.1978, s. 1).</w:t>
      </w:r>
    </w:p>
  </w:footnote>
  <w:footnote w:id="3">
    <w:p>
      <w:pPr>
        <w:pStyle w:val="FootnoteText"/>
      </w:pPr>
      <w:r>
        <w:rPr>
          <w:rStyle w:val="FootnoteReference"/>
        </w:rPr>
        <w:footnoteRef/>
      </w:r>
      <w:r>
        <w:tab/>
        <w:t xml:space="preserve">I bilaget til dette forslag findes de nye udformninger af TIR-carnetet: hvis de ikke åbner i legiswrite, foretages der en kontrol med DQC-værktøjerne. </w:t>
      </w:r>
    </w:p>
  </w:footnote>
  <w:footnote w:id="4">
    <w:p>
      <w:pPr>
        <w:pStyle w:val="FootnoteText"/>
      </w:pPr>
      <w:r>
        <w:rPr>
          <w:rStyle w:val="FootnoteReference"/>
        </w:rPr>
        <w:footnoteRef/>
      </w:r>
      <w:r>
        <w:tab/>
        <w:t xml:space="preserve">Domstolens dom af 7. oktober 2014 i sag C-399/12, Tyskland mod Rådet, ECLI:EU:C:2014:2258, præmis 61-64. </w:t>
      </w:r>
    </w:p>
  </w:footnote>
  <w:footnote w:id="5">
    <w:p>
      <w:pPr>
        <w:pStyle w:val="FootnoteText"/>
      </w:pPr>
      <w:r>
        <w:rPr>
          <w:rStyle w:val="FootnoteReference"/>
        </w:rPr>
        <w:footnoteRef/>
      </w:r>
      <w:r>
        <w:tab/>
        <w:t>Rådets forordning (EØF) nr. 2112/78 af 25. juli 1978 om tiltrædelse af toldkonventionen om international godstransport på grundlag af TIR-carneter (TIR-konvention) af 14. november 1975, Genève (EFT L 252 af 14.9.1978, s. 1).</w:t>
      </w:r>
    </w:p>
  </w:footnote>
  <w:footnote w:id="6">
    <w:p>
      <w:pPr>
        <w:pStyle w:val="FootnoteText"/>
      </w:pPr>
      <w:r>
        <w:rPr>
          <w:rStyle w:val="FootnoteReference"/>
        </w:rPr>
        <w:footnoteRef/>
      </w:r>
      <w:r>
        <w:tab/>
        <w:t>EFT L 31 af 2.2.1983,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26A3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0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FE1E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7438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FEF1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725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4A84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D34F9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6:10: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15BC810-B324-4B5F-9BEA-6BFA8EC7302A"/>
    <w:docVar w:name="LW_COVERPAGE_TYPE" w:val="1"/>
    <w:docVar w:name="LW_CROSSREFERENCE" w:val="&lt;UNUSED&gt;"/>
    <w:docVar w:name="LW_DocType" w:val="COM"/>
    <w:docVar w:name="LW_EMISSION" w:val="22.1.2021"/>
    <w:docVar w:name="LW_EMISSION_ISODATE" w:val="2021-01-22"/>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11"/>
    <w:docVar w:name="LW_REF.II.NEW.CP_YEAR" w:val="2021"/>
    <w:docVar w:name="LW_REF.INST.NEW" w:val="COM"/>
    <w:docVar w:name="LW_REF.INST.NEW_ADOPTED" w:val="final"/>
    <w:docVar w:name="LW_REF.INST.NEW_TEXT" w:val="(2021)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i det administrationsudvalg, der er nedsat i henhold til toldkonventionen om international godstransport på grundlag af TIR-carneter, for så vidt angår forslaget om ændring af konventione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C98D-9CB2-4CB0-B3EC-A0AE058E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1513</Words>
  <Characters>9185</Characters>
  <Application>Microsoft Office Word</Application>
  <DocSecurity>0</DocSecurity>
  <Lines>164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2021-01-15T09:18:00Z</dcterms:created>
  <dcterms:modified xsi:type="dcterms:W3CDTF">2021-01-21T15:10:00Z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