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5D4B6D6-64E1-4412-AE93-FF01A21DCC2F" style="width:450.4pt;height:397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 xml:space="preserve">1. STAJALIŠTE KOJE TREBA ZAUZETI </w:t>
      </w:r>
    </w:p>
    <w:p>
      <w:pPr>
        <w:rPr>
          <w:noProof/>
          <w:szCs w:val="24"/>
        </w:rPr>
      </w:pPr>
      <w:r>
        <w:rPr>
          <w:noProof/>
        </w:rPr>
        <w:t>A) U pogledu točke 6. podtočke (a) ICAO-va dopisa državama EC 6/3-20/71:</w:t>
      </w:r>
    </w:p>
    <w:p>
      <w:pPr>
        <w:rPr>
          <w:noProof/>
          <w:szCs w:val="24"/>
        </w:rPr>
      </w:pPr>
      <w:r>
        <w:rPr>
          <w:noProof/>
        </w:rPr>
        <w:t>stajalište koje treba zauzeti u ime Unije kao odgovor na dopis Međunarodne organizacije civilnog zrakoplovstva od 17. srpnja 2020. jest da ne bi trebalo prijaviti neslaganje u pogledu izmjene 28. odjeljka D poglavlja 9. Priloga 9. Čikaškoj konvenciji.</w:t>
      </w:r>
    </w:p>
    <w:p>
      <w:pPr>
        <w:rPr>
          <w:noProof/>
          <w:szCs w:val="24"/>
        </w:rPr>
      </w:pPr>
      <w:r>
        <w:rPr>
          <w:noProof/>
        </w:rPr>
        <w:t>B) U pogledu točke 6. podtočke (b) ICAO-va dopisa državama EC 6/3-20/71:</w:t>
      </w:r>
    </w:p>
    <w:p>
      <w:pPr>
        <w:rPr>
          <w:noProof/>
          <w:szCs w:val="24"/>
        </w:rPr>
      </w:pPr>
      <w:r>
        <w:rPr>
          <w:noProof/>
        </w:rPr>
        <w:t>stajalište koje treba zauzeti u ime Unije kao odgovor na dopis Međunarodne organizacije civilnog zrakoplovstva od 17. srpnja 2020. jest da bi trebalo dostaviti obavijest o razlici u odnosu na standard 9.34. u odjeljku D poglavlja 9. Priloga 9. Čikaškoj konvenciji.</w:t>
      </w:r>
    </w:p>
    <w:p>
      <w:pPr>
        <w:rPr>
          <w:noProof/>
          <w:szCs w:val="24"/>
        </w:rPr>
      </w:pPr>
      <w:r>
        <w:rPr>
          <w:noProof/>
        </w:rPr>
        <w:t xml:space="preserve"> 2. DETALJNO OBJAŠNJENJE  </w:t>
      </w:r>
    </w:p>
    <w:p>
      <w:pPr>
        <w:rPr>
          <w:noProof/>
          <w:szCs w:val="24"/>
        </w:rPr>
      </w:pPr>
      <w:r>
        <w:rPr>
          <w:noProof/>
        </w:rPr>
        <w:t>Razlika koju treba prijaviti prikazana je u sljedećoj izjavi i tablici:</w:t>
      </w:r>
    </w:p>
    <w:p>
      <w:pPr>
        <w:pStyle w:val="Text1"/>
        <w:ind w:left="0"/>
        <w:rPr>
          <w:noProof/>
        </w:rPr>
      </w:pPr>
      <w:r>
        <w:rPr>
          <w:noProof/>
        </w:rPr>
        <w:t>„Sljedeća će razlika postojati 28. veljače 2021. između propisa i/ili praksi [</w:t>
      </w:r>
      <w:r>
        <w:rPr>
          <w:i/>
          <w:noProof/>
        </w:rPr>
        <w:t>država članica</w:t>
      </w:r>
      <w:r>
        <w:rPr>
          <w:noProof/>
        </w:rPr>
        <w:t>] i odredaba Priloga 9., uključujući izmjenu 28.:”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  <w:sectPr>
          <w:footerReference w:type="default" r:id="rId16"/>
          <w:footerReference w:type="first" r:id="rId17"/>
          <w:pgSz w:w="11906" w:h="16838"/>
          <w:pgMar w:top="1020" w:right="1701" w:bottom="1020" w:left="1587" w:header="601" w:footer="1077" w:gutter="0"/>
          <w:cols w:space="720"/>
          <w:docGrid w:linePitch="326"/>
        </w:sect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6378"/>
      </w:tblGrid>
      <w:tr>
        <w:trPr>
          <w:trHeight w:val="416"/>
        </w:trPr>
        <w:tc>
          <w:tcPr>
            <w:tcW w:w="1384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lastRenderedPageBreak/>
              <w:t>Odredba</w:t>
            </w:r>
          </w:p>
        </w:tc>
        <w:tc>
          <w:tcPr>
            <w:tcW w:w="6521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Pojedinosti o razlici</w:t>
            </w:r>
          </w:p>
        </w:tc>
        <w:tc>
          <w:tcPr>
            <w:tcW w:w="6378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Napomene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Izmjena 28. standarda 9.34. u odjeljku D Priloga 9.</w:t>
            </w:r>
          </w:p>
        </w:tc>
        <w:tc>
          <w:tcPr>
            <w:tcW w:w="6521" w:type="dxa"/>
          </w:tcPr>
          <w:p>
            <w:pPr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Kategorija A – „Zahtjev države ugovornice stroži je ili premašuje SARP”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Standardom 9.34.(a) od država ugovornica zahtijeva se da ne ograničavaju ili sprečavaju prijenos podataka iz PNR-a drugoj državi ugovornici koja poštuje SARP-ove.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U standardu 9.34.(b) uzima se u obzir da države ugovornice zadržavaju mogućnost održavanja ili uvođenja viših razina zaštite u skladu sa svojim nacionalnim pravnim i upravnim okvirom te sklapanja dodatnih dogovora s drugim državama posebno kako bi se utvrdile detaljnije odredbe o prijenosu podataka iz PNR-a. 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U skladu s postojećim pravnim okvirom Europske unije, države članice moraju ispuniti zahtjeve koji su u nekim aspektima stroži od onih utvrđenih u izmjeni 28. za prijenose podataka iz PNR-a koji potječu iz Unije državama ugovornicama koje nisu države članice Europske unije. 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 tom kontekstu, trenutačni tekst standarda 9.34., sa stajališta Europske unije i njezinih država članica</w:t>
            </w:r>
            <w:r>
              <w:rPr>
                <w:rStyle w:val="FootnoteReference"/>
                <w:noProof/>
                <w:sz w:val="22"/>
                <w:lang w:eastAsia="en-GB"/>
              </w:rPr>
              <w:footnoteReference w:id="1"/>
            </w:r>
            <w:r>
              <w:rPr>
                <w:noProof/>
                <w:sz w:val="22"/>
              </w:rPr>
              <w:t>, ne izražava dovoljno jasno u pravnom smislu da države članice Unije nisu spriječene nametnuti te zahtjeve neovisno o standardu 9.34.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Stoga [</w:t>
            </w:r>
            <w:r>
              <w:rPr>
                <w:i/>
                <w:noProof/>
                <w:sz w:val="22"/>
              </w:rPr>
              <w:t>država članica</w:t>
            </w:r>
            <w:r>
              <w:rPr>
                <w:noProof/>
                <w:sz w:val="22"/>
              </w:rPr>
              <w:t xml:space="preserve">] smatra da bi u skladu s člankom 38. Čikaške konvencije trebalo obavijestiti o toj razlici kako bi joj se u slučaju prijenosa podataka iz PNR-a državama ugovornicama koje nisu države članice Europske unije omogućila primjena pravnih zahtjeva koji su u nekim aspektima stroži, a da se pritom ne narušavaju standardi utvrđeni u izmjeni 28. 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[</w:t>
            </w:r>
            <w:r>
              <w:rPr>
                <w:i/>
                <w:noProof/>
                <w:sz w:val="22"/>
              </w:rPr>
              <w:t>Država članica</w:t>
            </w:r>
            <w:r>
              <w:rPr>
                <w:noProof/>
                <w:sz w:val="22"/>
              </w:rPr>
              <w:t>] potvrđuje da se u slučaju nemogućnosti osiguravanja usklađenosti s tim zahtjevima prijenos koji obavljaju zračni prijevoznici ne može provoditi u skladu s pravom Unije.</w:t>
            </w:r>
          </w:p>
          <w:p>
            <w:pPr>
              <w:rPr>
                <w:noProof/>
                <w:sz w:val="22"/>
                <w:szCs w:val="24"/>
              </w:rPr>
            </w:pPr>
          </w:p>
        </w:tc>
        <w:tc>
          <w:tcPr>
            <w:tcW w:w="6378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[</w:t>
            </w:r>
            <w:r>
              <w:rPr>
                <w:i/>
                <w:noProof/>
                <w:sz w:val="22"/>
              </w:rPr>
              <w:t>Država članica</w:t>
            </w:r>
            <w:r>
              <w:rPr>
                <w:noProof/>
                <w:sz w:val="22"/>
              </w:rPr>
              <w:t>] želi naglasiti važnost rada ICAO-a i njegovih država ugovornica na ažuriranju standarda i preporučenih praksi u vezi s PNR-om te pozdravlja donošenje izmjene 28. u Vijeću ICAO-a u lipnju 2020.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[</w:t>
            </w:r>
            <w:r>
              <w:rPr>
                <w:i/>
                <w:noProof/>
                <w:sz w:val="22"/>
              </w:rPr>
              <w:t>Država članica</w:t>
            </w:r>
            <w:r>
              <w:rPr>
                <w:noProof/>
                <w:sz w:val="22"/>
              </w:rPr>
              <w:t>] ističe da se sadašnjom razlikom, prijavljenom pod kategorijom A u skladu s točkom 2.1. Dodatka E dopisu državama 2020 – 71, namjerava uz odgovarajuću transparentnost obavijestiti ICAO i njegove države ugovornice o načinu na koji će države članice Europske unije provoditi standarde u skladu s pravnim okvirom Europske unije.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 skladu s pravnim okvirom Europske unije, zračni prijevoznici prenose podatke iz PNR-a koji potječu iz Unije nadležnim tijelima treće zemlje na zakonit način ako su ispunjeni određeni zahtjevi koji su u nekim aspektima stroži od onih utvrđenih u izmjeni 28.</w:t>
            </w:r>
          </w:p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Takvi zahtjevi proizlaze iz Povelje Europske unije o temeljnim pravima, osobito članaka 7., 8. i 52. kako ih je protumačio Sud Europske unije u Mišljenju 1/15 o predviđenom sporazumu o PNR-u s Kanadom, te iz poglavlja V. Uredbe (EU) 2016/679. </w:t>
            </w:r>
          </w:p>
          <w:p>
            <w:pPr>
              <w:rPr>
                <w:noProof/>
                <w:sz w:val="22"/>
              </w:rPr>
            </w:pPr>
          </w:p>
        </w:tc>
      </w:tr>
    </w:tbl>
    <w:p>
      <w:pPr>
        <w:pStyle w:val="Copies"/>
        <w:ind w:left="0" w:firstLine="0"/>
        <w:rPr>
          <w:noProof/>
        </w:rPr>
      </w:pPr>
    </w:p>
    <w:p>
      <w:pPr>
        <w:rPr>
          <w:noProof/>
        </w:rPr>
      </w:pPr>
    </w:p>
    <w:sectPr>
      <w:headerReference w:type="default" r:id="rId18"/>
      <w:footerReference w:type="default" r:id="rId19"/>
      <w:headerReference w:type="first" r:id="rId20"/>
      <w:footerReference w:type="first" r:id="rId21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rPr>
          <w:sz w:val="18"/>
          <w:szCs w:val="18"/>
        </w:rPr>
      </w:pPr>
      <w:r>
        <w:rPr>
          <w:rStyle w:val="FootnoteReference"/>
        </w:rPr>
        <w:footnoteRef/>
      </w:r>
      <w:r>
        <w:tab/>
        <w:t>Tekst nacrta izmjene koji su države članice Europske unije predložile Vijeću ICAO-a u odgovoru na dopis EC 6/3-20/14 od 25. veljače 2020. (samo na engleskom jeziku)</w:t>
      </w:r>
      <w:r>
        <w:rPr>
          <w:sz w:val="18"/>
          <w:szCs w:val="18"/>
        </w:rPr>
        <w:t>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„9.34.: Države ugovornice:</w:t>
      </w:r>
      <w:r>
        <w:tab/>
        <w:t xml:space="preserve"> </w:t>
      </w:r>
      <w:r>
        <w:br/>
      </w:r>
      <w:r>
        <w:rPr>
          <w:sz w:val="18"/>
          <w:szCs w:val="18"/>
        </w:rPr>
        <w:t xml:space="preserve">(a) ne ograničavaju ili sprečavaju operatore zrakoplova ili druge relevantne stranke da prenose podatke iz PNR-a, ne kažnjavaju, ne nameću sankcije ili stvaraju nerazumne prepreke operatorima zrakoplova ili drugim relevantnim strankama koje prenose podatke iz PNR-a drugoj državi ugovornici, pod uvjetom da je sustav podataka iz PNR-a država ugovornica u skladu sa standardima iz odjeljka D poglavlja 9. Priloga 9.; </w:t>
      </w:r>
      <w:r>
        <w:rPr>
          <w:strike/>
          <w:sz w:val="18"/>
          <w:szCs w:val="18"/>
        </w:rPr>
        <w:t>i</w:t>
      </w:r>
      <w:r>
        <w:t xml:space="preserve"> </w:t>
      </w:r>
      <w:r>
        <w:br/>
      </w:r>
      <w:r>
        <w:rPr>
          <w:i/>
          <w:color w:val="FF0000"/>
          <w:sz w:val="18"/>
          <w:szCs w:val="18"/>
        </w:rPr>
        <w:t>ali</w:t>
      </w:r>
      <w:r>
        <w:t xml:space="preserve"> </w:t>
      </w:r>
      <w:r>
        <w:br/>
      </w:r>
      <w:r>
        <w:rPr>
          <w:sz w:val="18"/>
          <w:szCs w:val="18"/>
        </w:rPr>
        <w:t>(b) jednako tako zadržavaju mogućnost uvođenja ili održavanja viših razina zaštite podataka iz PNR-a, u skladu sa svojim pravnim i administrativnim okvirom, te sklapanja dodatnih dogovora s drugim državama ugovornicama</w:t>
      </w:r>
      <w:r>
        <w:rPr>
          <w:color w:val="FF0000"/>
          <w:sz w:val="18"/>
          <w:szCs w:val="18"/>
        </w:rPr>
        <w:t>,</w:t>
      </w:r>
      <w:r>
        <w:rPr>
          <w:sz w:val="18"/>
          <w:szCs w:val="18"/>
        </w:rPr>
        <w:t xml:space="preserve"> posebno radi: promicanja kolektivne sigurnosti; postizanja viših razina zaštite podataka iz PNR-a, među ostalim u pogledu </w:t>
      </w:r>
      <w:r>
        <w:rPr>
          <w:i/>
          <w:color w:val="FF0000"/>
          <w:sz w:val="18"/>
          <w:szCs w:val="18"/>
        </w:rPr>
        <w:t>prijenosa</w:t>
      </w:r>
      <w:r>
        <w:rPr>
          <w:color w:val="FF0000"/>
          <w:sz w:val="18"/>
          <w:szCs w:val="18"/>
        </w:rPr>
        <w:t xml:space="preserve"> </w:t>
      </w:r>
      <w:r>
        <w:rPr>
          <w:strike/>
          <w:sz w:val="18"/>
          <w:szCs w:val="18"/>
        </w:rPr>
        <w:t>zadržavanja</w:t>
      </w:r>
      <w:r>
        <w:rPr>
          <w:sz w:val="18"/>
          <w:szCs w:val="18"/>
        </w:rPr>
        <w:t xml:space="preserve"> podataka; ili utvrđivanja detaljnijih odredaba koje se odnose na prijenos podataka iz PNR-a, pod uvjetom da te mjere </w:t>
      </w:r>
      <w:r>
        <w:rPr>
          <w:i/>
          <w:color w:val="FF0000"/>
          <w:sz w:val="18"/>
          <w:szCs w:val="18"/>
        </w:rPr>
        <w:t>ne narušavaju standarde sadržane</w:t>
      </w:r>
      <w:r>
        <w:rPr>
          <w:color w:val="FF0000"/>
          <w:sz w:val="18"/>
          <w:szCs w:val="18"/>
        </w:rPr>
        <w:t xml:space="preserve"> </w:t>
      </w:r>
      <w:r>
        <w:rPr>
          <w:strike/>
          <w:sz w:val="18"/>
          <w:szCs w:val="18"/>
        </w:rPr>
        <w:t>nisu na drugi način protivne standardima sadržanima</w:t>
      </w:r>
      <w:r>
        <w:rPr>
          <w:sz w:val="18"/>
          <w:szCs w:val="18"/>
        </w:rPr>
        <w:t xml:space="preserve"> u odjeljku D poglavlja 9. Priloga 9.”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AB01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16A77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BA19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BC3C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3855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8627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D70DA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1422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2 16:57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5D4B6D6-64E1-4412-AE93-FF01A21DCC2F"/>
    <w:docVar w:name="LW_COVERPAGE_TYPE" w:val="1"/>
    <w:docVar w:name="LW_CROSSREFERENCE" w:val="&lt;UNUSED&gt;"/>
    <w:docVar w:name="LW_DocType" w:val="ANNEX"/>
    <w:docVar w:name="LW_EMISSION" w:val="12.1.2021."/>
    <w:docVar w:name="LW_EMISSION_ISODATE" w:val="2021-01-12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&lt;FMT:Bold&gt;o stajali\u353?tu koje u ime Europske unije treba zauzeti u Me\u273?unarodnoj organizaciji civilnog zrakoplovstva u pogledu izmjene 28. odjeljka D Priloga 9. Konvenciji o me\u273?unarodnom civilnom zrakoplovstvu&lt;/FMT&gt;"/>
    <w:docVar w:name="LW_OBJETACTEPRINCIPAL.CP" w:val="&lt;FMT:Bold&gt;o stajali\u353?tu koje u ime Europske unije treba zauzeti u Me\u273?unarodnoj organizaciji civilnog zrakoplovstva u pogledu izmjene 28. odjeljka D Priloga 9. Konvenciji o me\u273?unarodnom civilnom zrakoplovstvu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s">
    <w:name w:val="Copies"/>
    <w:basedOn w:val="Normal"/>
    <w:uiPriority w:val="99"/>
    <w:pPr>
      <w:tabs>
        <w:tab w:val="left" w:pos="5669"/>
      </w:tabs>
      <w:spacing w:before="480" w:after="0"/>
      <w:ind w:left="1984" w:hanging="1984"/>
      <w:contextualSpacing/>
      <w:jc w:val="left"/>
    </w:pPr>
    <w:rPr>
      <w:rFonts w:eastAsia="Times New Roman"/>
      <w:szCs w:val="20"/>
      <w:lang w:eastAsia="fr-B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s">
    <w:name w:val="Copies"/>
    <w:basedOn w:val="Normal"/>
    <w:uiPriority w:val="99"/>
    <w:pPr>
      <w:tabs>
        <w:tab w:val="left" w:pos="5669"/>
      </w:tabs>
      <w:spacing w:before="480" w:after="0"/>
      <w:ind w:left="1984" w:hanging="1984"/>
      <w:contextualSpacing/>
      <w:jc w:val="left"/>
    </w:pPr>
    <w:rPr>
      <w:rFonts w:eastAsia="Times New Roman"/>
      <w:szCs w:val="20"/>
      <w:lang w:eastAsia="fr-B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BF9E-C0C8-42BA-B3DC-51111B3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563</Words>
  <Characters>3153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 Giovanni (HOME)</dc:creator>
  <cp:keywords/>
  <dc:description/>
  <cp:lastModifiedBy>DIGIT/C6</cp:lastModifiedBy>
  <cp:revision>9</cp:revision>
  <dcterms:created xsi:type="dcterms:W3CDTF">2021-01-20T16:37:00Z</dcterms:created>
  <dcterms:modified xsi:type="dcterms:W3CDTF">2021-01-22T15:57:00Z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