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03DD9B9E-9A10-413F-8475-2D5CD487BE9F"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Anexă </w:t>
      </w:r>
    </w:p>
    <w:p>
      <w:pPr>
        <w:rPr>
          <w:noProof/>
          <w:szCs w:val="24"/>
        </w:rPr>
      </w:pPr>
    </w:p>
    <w:p>
      <w:pPr>
        <w:rPr>
          <w:noProof/>
          <w:szCs w:val="24"/>
        </w:rPr>
      </w:pPr>
    </w:p>
    <w:p>
      <w:pPr>
        <w:rPr>
          <w:noProof/>
          <w:szCs w:val="24"/>
        </w:rPr>
      </w:pPr>
      <w:r>
        <w:rPr>
          <w:noProof/>
        </w:rPr>
        <w:t xml:space="preserve">1. Poziția care urmează să fie adoptată </w:t>
      </w:r>
    </w:p>
    <w:p>
      <w:pPr>
        <w:rPr>
          <w:noProof/>
          <w:szCs w:val="24"/>
        </w:rPr>
      </w:pPr>
      <w:r>
        <w:rPr>
          <w:noProof/>
        </w:rPr>
        <w:t>a) În ceea ce privește punctul 6 litera (a) din scrisoarea OACI EC 6/3-20/71 adresată statelor:</w:t>
      </w:r>
    </w:p>
    <w:p>
      <w:pPr>
        <w:rPr>
          <w:noProof/>
          <w:szCs w:val="24"/>
        </w:rPr>
      </w:pPr>
      <w:r>
        <w:rPr>
          <w:noProof/>
        </w:rPr>
        <w:t>Poziția care urmează să fie adoptată în numele Uniunii ca răspuns la scrisoarea adresată statelor de către Organizația Aviației Civile Internaționale la 17 iulie 2020 este că nu ar trebui notificat niciun dezacord cu privire la amendamentul 28 la anexa 9 capitolul 9 secțiunea D la Convenția de la Chicago.</w:t>
      </w:r>
    </w:p>
    <w:p>
      <w:pPr>
        <w:rPr>
          <w:noProof/>
          <w:szCs w:val="24"/>
        </w:rPr>
      </w:pPr>
      <w:r>
        <w:rPr>
          <w:noProof/>
        </w:rPr>
        <w:t>b) În ceea ce privește punctul 6 litera (b) din scrisoarea OACI EC 6/3-20/71 adresată statelor:</w:t>
      </w:r>
    </w:p>
    <w:p>
      <w:pPr>
        <w:rPr>
          <w:noProof/>
          <w:szCs w:val="24"/>
        </w:rPr>
      </w:pPr>
      <w:r>
        <w:rPr>
          <w:noProof/>
        </w:rPr>
        <w:t>Poziția care urmează să fie adoptată în numele Uniunii ca răspuns la scrisoarea adresată statelor de către Organizația Aviației Civile Internaționale la 17 iulie 2020 este că ar trebui notificată o diferență în legătură cu standardul 9.34, anexa 9 capitolul 9 secțiunea D la Convenția de la Chicago.</w:t>
      </w:r>
    </w:p>
    <w:p>
      <w:pPr>
        <w:rPr>
          <w:noProof/>
          <w:szCs w:val="24"/>
        </w:rPr>
      </w:pPr>
      <w:r>
        <w:rPr>
          <w:noProof/>
        </w:rPr>
        <w:t xml:space="preserve"> 2. Explicație detaliată  </w:t>
      </w:r>
    </w:p>
    <w:p>
      <w:pPr>
        <w:rPr>
          <w:noProof/>
          <w:szCs w:val="24"/>
        </w:rPr>
      </w:pPr>
      <w:r>
        <w:rPr>
          <w:noProof/>
        </w:rPr>
        <w:t>Diferența care trebuie notificată este exprimată în următoarea declarație și în tabel:</w:t>
      </w:r>
    </w:p>
    <w:p>
      <w:pPr>
        <w:pStyle w:val="Text1"/>
        <w:ind w:left="0"/>
        <w:rPr>
          <w:noProof/>
        </w:rPr>
      </w:pPr>
      <w:r>
        <w:rPr>
          <w:noProof/>
        </w:rPr>
        <w:t>„La 28 februarie 2021, va exista următoarea diferență între reglementările și/sau practicile [</w:t>
      </w:r>
      <w:r>
        <w:rPr>
          <w:i/>
          <w:noProof/>
        </w:rPr>
        <w:t>statului membru</w:t>
      </w:r>
      <w:r>
        <w:rPr>
          <w:noProof/>
        </w:rPr>
        <w:t>] și dispozițiile anexei 9, inclusiv amendamentul 28:”</w:t>
      </w:r>
    </w:p>
    <w:p>
      <w:pPr>
        <w:rPr>
          <w:noProof/>
          <w:szCs w:val="24"/>
        </w:rPr>
      </w:pPr>
    </w:p>
    <w:p>
      <w:pPr>
        <w:rPr>
          <w:noProof/>
          <w:szCs w:val="24"/>
        </w:rPr>
        <w:sectPr>
          <w:footerReference w:type="default" r:id="rId16"/>
          <w:footerReference w:type="first" r:id="rId17"/>
          <w:pgSz w:w="11906" w:h="16838"/>
          <w:pgMar w:top="1020" w:right="1701" w:bottom="1020" w:left="1587" w:header="601" w:footer="1077" w:gutter="0"/>
          <w:cols w:space="720"/>
          <w:docGrid w:linePitch="326"/>
        </w:sectPr>
      </w:pPr>
    </w:p>
    <w:tbl>
      <w:tblPr>
        <w:tblStyle w:val="TableGrid"/>
        <w:tblW w:w="14283" w:type="dxa"/>
        <w:tblLayout w:type="fixed"/>
        <w:tblLook w:val="04A0" w:firstRow="1" w:lastRow="0" w:firstColumn="1" w:lastColumn="0" w:noHBand="0" w:noVBand="1"/>
      </w:tblPr>
      <w:tblGrid>
        <w:gridCol w:w="1384"/>
        <w:gridCol w:w="6521"/>
        <w:gridCol w:w="6378"/>
      </w:tblGrid>
      <w:tr>
        <w:trPr>
          <w:trHeight w:val="416"/>
        </w:trPr>
        <w:tc>
          <w:tcPr>
            <w:tcW w:w="1384" w:type="dxa"/>
          </w:tcPr>
          <w:p>
            <w:pPr>
              <w:rPr>
                <w:b/>
                <w:noProof/>
                <w:sz w:val="22"/>
                <w:szCs w:val="24"/>
              </w:rPr>
            </w:pPr>
            <w:r>
              <w:rPr>
                <w:b/>
                <w:noProof/>
                <w:sz w:val="22"/>
                <w:szCs w:val="24"/>
              </w:rPr>
              <w:t>Dispoziție</w:t>
            </w:r>
          </w:p>
        </w:tc>
        <w:tc>
          <w:tcPr>
            <w:tcW w:w="6521" w:type="dxa"/>
          </w:tcPr>
          <w:p>
            <w:pPr>
              <w:rPr>
                <w:b/>
                <w:noProof/>
                <w:sz w:val="22"/>
                <w:szCs w:val="24"/>
              </w:rPr>
            </w:pPr>
            <w:r>
              <w:rPr>
                <w:b/>
                <w:noProof/>
                <w:sz w:val="22"/>
                <w:szCs w:val="24"/>
              </w:rPr>
              <w:t>Detalii privind diferența</w:t>
            </w:r>
          </w:p>
        </w:tc>
        <w:tc>
          <w:tcPr>
            <w:tcW w:w="6378" w:type="dxa"/>
          </w:tcPr>
          <w:p>
            <w:pPr>
              <w:rPr>
                <w:b/>
                <w:noProof/>
                <w:sz w:val="22"/>
                <w:szCs w:val="24"/>
              </w:rPr>
            </w:pPr>
            <w:r>
              <w:rPr>
                <w:b/>
                <w:noProof/>
                <w:sz w:val="22"/>
                <w:szCs w:val="24"/>
              </w:rPr>
              <w:t>Observații</w:t>
            </w:r>
          </w:p>
        </w:tc>
      </w:tr>
      <w:tr>
        <w:trPr>
          <w:trHeight w:val="274"/>
        </w:trPr>
        <w:tc>
          <w:tcPr>
            <w:tcW w:w="1384" w:type="dxa"/>
          </w:tcPr>
          <w:p>
            <w:pPr>
              <w:rPr>
                <w:noProof/>
                <w:sz w:val="22"/>
              </w:rPr>
            </w:pPr>
            <w:r>
              <w:rPr>
                <w:noProof/>
                <w:sz w:val="22"/>
              </w:rPr>
              <w:t>Amendamentul 28 la anexa 9 secțiunea D standardul 9.34</w:t>
            </w:r>
          </w:p>
        </w:tc>
        <w:tc>
          <w:tcPr>
            <w:tcW w:w="6521" w:type="dxa"/>
          </w:tcPr>
          <w:p>
            <w:pPr>
              <w:rPr>
                <w:noProof/>
                <w:sz w:val="22"/>
                <w:u w:val="single"/>
              </w:rPr>
            </w:pPr>
            <w:r>
              <w:rPr>
                <w:noProof/>
                <w:sz w:val="22"/>
                <w:u w:val="single"/>
              </w:rPr>
              <w:t>Categoria A – „Cerințele impuse de un stat contractant sunt mai stricte sau depășesc standardul și practica recomandată”</w:t>
            </w:r>
          </w:p>
          <w:p>
            <w:pPr>
              <w:rPr>
                <w:noProof/>
                <w:sz w:val="22"/>
              </w:rPr>
            </w:pPr>
            <w:r>
              <w:rPr>
                <w:noProof/>
                <w:sz w:val="22"/>
              </w:rPr>
              <w:t>Standardul 9.34 litera (a) impune statelor contractante să nu interzică sau să împiedice transferul de date PNR către un alt stat contractant ce respectă standardele și practicile recomandate.</w:t>
            </w:r>
          </w:p>
          <w:p>
            <w:pPr>
              <w:rPr>
                <w:noProof/>
                <w:sz w:val="22"/>
              </w:rPr>
            </w:pPr>
            <w:r>
              <w:rPr>
                <w:noProof/>
                <w:sz w:val="22"/>
              </w:rPr>
              <w:t xml:space="preserve">Standardul 9.34 litera (b) ia în considerare faptul că statele contractante ar trebui să își păstreze capacitatea de a menține sau de a introduce niveluri de protecție mai ridicate în conformitate cu cadrul lor juridic și administrativ intern și de a încheia acorduri suplimentare cu alte state pentru a stabili, în special, dispoziții mai detaliate privind transferul de date PNR. </w:t>
            </w:r>
          </w:p>
          <w:p>
            <w:pPr>
              <w:rPr>
                <w:noProof/>
                <w:sz w:val="22"/>
              </w:rPr>
            </w:pPr>
            <w:r>
              <w:rPr>
                <w:noProof/>
                <w:sz w:val="22"/>
              </w:rPr>
              <w:t xml:space="preserve">În temeiul actualului cadru juridic al Uniunii Europene, statele membre trebuie să respecte cerințe care, în anumite privințe, sunt mai stricte decât cele prevăzute în amendamentul 28 pentru transferurile de date PNR care provin din Uniune către state contractante care nu sunt state membre ale Uniunii Europene. </w:t>
            </w:r>
          </w:p>
          <w:p>
            <w:pPr>
              <w:rPr>
                <w:noProof/>
                <w:sz w:val="22"/>
              </w:rPr>
            </w:pPr>
            <w:r>
              <w:rPr>
                <w:noProof/>
                <w:sz w:val="22"/>
              </w:rPr>
              <w:t>În acest context, formularea actuală a standardului 9.34 nu exprimă, din perspectiva Uniunii Europene și a statelor sale membre</w:t>
            </w:r>
            <w:r>
              <w:rPr>
                <w:rStyle w:val="FootnoteReference"/>
                <w:noProof/>
                <w:sz w:val="22"/>
                <w:lang w:eastAsia="en-GB"/>
              </w:rPr>
              <w:footnoteReference w:id="1"/>
            </w:r>
            <w:r>
              <w:rPr>
                <w:noProof/>
                <w:sz w:val="22"/>
              </w:rPr>
              <w:t>, suficient de clar din punct de vedere juridic faptul că statele membre ale Uniunii nu sunt împiedicate să impună aceste cerințe în pofida standardului 9.34.</w:t>
            </w:r>
          </w:p>
          <w:p>
            <w:pPr>
              <w:rPr>
                <w:noProof/>
                <w:sz w:val="22"/>
              </w:rPr>
            </w:pPr>
            <w:r>
              <w:rPr>
                <w:noProof/>
                <w:sz w:val="22"/>
              </w:rPr>
              <w:t>Din acest motiv, [</w:t>
            </w:r>
            <w:r>
              <w:rPr>
                <w:i/>
                <w:noProof/>
                <w:sz w:val="22"/>
              </w:rPr>
              <w:t>statul membru</w:t>
            </w:r>
            <w:r>
              <w:rPr>
                <w:noProof/>
                <w:sz w:val="22"/>
              </w:rPr>
              <w:t xml:space="preserve">] consideră că actuala diferență ar trebui notificată în temeiul articolului 38 din Convenția de la Chicago pentru a-i permite să aplice cerințe legale în cazul transferurilor de date PNR către state contractante care nu sunt state membre ale Uniunii Europene, cerințe care, în anumite privințe, sunt mai exigente, fără a aduce atingere standardelor prevăzute în amendamentul 28. </w:t>
            </w:r>
          </w:p>
          <w:p>
            <w:pPr>
              <w:rPr>
                <w:noProof/>
                <w:sz w:val="22"/>
              </w:rPr>
            </w:pPr>
            <w:r>
              <w:rPr>
                <w:noProof/>
                <w:sz w:val="22"/>
              </w:rPr>
              <w:t>[</w:t>
            </w:r>
            <w:r>
              <w:rPr>
                <w:i/>
                <w:noProof/>
                <w:sz w:val="22"/>
              </w:rPr>
              <w:t>Statul membru</w:t>
            </w:r>
            <w:r>
              <w:rPr>
                <w:noProof/>
                <w:sz w:val="22"/>
              </w:rPr>
              <w:t>] confirmă că, în absența posibilității de a asigura respectarea acestor cerințe, transferurile efectuate de transportatorii aerieni nu pot avea loc în conformitate cu dreptul Uniunii.</w:t>
            </w:r>
          </w:p>
          <w:p>
            <w:pPr>
              <w:rPr>
                <w:noProof/>
                <w:sz w:val="22"/>
                <w:szCs w:val="24"/>
              </w:rPr>
            </w:pPr>
          </w:p>
        </w:tc>
        <w:tc>
          <w:tcPr>
            <w:tcW w:w="6378" w:type="dxa"/>
          </w:tcPr>
          <w:p>
            <w:pPr>
              <w:rPr>
                <w:noProof/>
                <w:sz w:val="22"/>
              </w:rPr>
            </w:pPr>
            <w:r>
              <w:rPr>
                <w:noProof/>
                <w:sz w:val="22"/>
              </w:rPr>
              <w:t>[</w:t>
            </w:r>
            <w:r>
              <w:rPr>
                <w:i/>
                <w:noProof/>
                <w:sz w:val="22"/>
              </w:rPr>
              <w:t>Statul membru</w:t>
            </w:r>
            <w:r>
              <w:rPr>
                <w:noProof/>
                <w:sz w:val="22"/>
              </w:rPr>
              <w:t>] ar dori să sublinieze importanța activității desfășurate de OACI și de statele sale contractante în ceea ce privește actualizarea standardelor și practicilor recomandate privind PNR și salută adoptarea amendamentului 28 de către Consiliul OACI în iunie 2020.</w:t>
            </w:r>
          </w:p>
          <w:p>
            <w:pPr>
              <w:rPr>
                <w:noProof/>
                <w:sz w:val="22"/>
              </w:rPr>
            </w:pPr>
            <w:r>
              <w:rPr>
                <w:noProof/>
                <w:sz w:val="22"/>
              </w:rPr>
              <w:t>[</w:t>
            </w:r>
            <w:r>
              <w:rPr>
                <w:i/>
                <w:noProof/>
                <w:sz w:val="22"/>
              </w:rPr>
              <w:t>Statul membru</w:t>
            </w:r>
            <w:r>
              <w:rPr>
                <w:noProof/>
                <w:sz w:val="22"/>
              </w:rPr>
              <w:t>] subliniază că actuala diferență — înregistrată în categoria A în conformitate cu punctul 2.1 din apendicele E la scrisoarea 2020 – 71 adresată statelor — are rolul de a comunica, cu transparența necesară, OACI și statelor sale contractante modul în care statele membre ale Uniunii Europene vor pune în aplicare standardele în conformitate cu cadrul juridic al Uniunii Europene.</w:t>
            </w:r>
          </w:p>
          <w:p>
            <w:pPr>
              <w:rPr>
                <w:noProof/>
                <w:sz w:val="22"/>
              </w:rPr>
            </w:pPr>
            <w:r>
              <w:rPr>
                <w:noProof/>
                <w:sz w:val="22"/>
              </w:rPr>
              <w:t>Potrivit cadrului juridic al Uniunii Europene, transferul de date PNR care provin din Uniune de către transportatorii aerieni către autoritățile competente ale unei țări terțe este legal dacă sunt îndeplinite anumite cerințe, care, în anumite privințe, sunt mai exigente decât cele prevăzute în amendamentul 28.</w:t>
            </w:r>
          </w:p>
          <w:p>
            <w:pPr>
              <w:rPr>
                <w:noProof/>
                <w:sz w:val="22"/>
              </w:rPr>
            </w:pPr>
            <w:r>
              <w:rPr>
                <w:noProof/>
                <w:sz w:val="22"/>
              </w:rPr>
              <w:t xml:space="preserve">Astfel de cerințe decurg din Carta drepturilor fundamentale a Uniunii Europene, în special articolele 7, 8 și 52, astfel cum au fost interpretate de către Curtea de Justiție a Uniunii Europene în Avizul 1/15 privind acordul PNR preconizat cu Canada, precum și din capitolul V din Regulamentul (UE) 2016/679. </w:t>
            </w:r>
          </w:p>
          <w:p>
            <w:pPr>
              <w:rPr>
                <w:noProof/>
                <w:sz w:val="22"/>
              </w:rPr>
            </w:pPr>
          </w:p>
        </w:tc>
      </w:tr>
    </w:tbl>
    <w:p>
      <w:pPr>
        <w:pStyle w:val="Copies"/>
        <w:ind w:left="0" w:firstLine="0"/>
        <w:rPr>
          <w:noProof/>
        </w:rPr>
      </w:pPr>
    </w:p>
    <w:p>
      <w:pPr>
        <w:rPr>
          <w:noProof/>
        </w:rPr>
      </w:pPr>
    </w:p>
    <w:sectPr>
      <w:headerReference w:type="default" r:id="rId18"/>
      <w:footerReference w:type="default" r:id="rId19"/>
      <w:headerReference w:type="first" r:id="rId20"/>
      <w:footerReference w:type="first" r:id="rId21"/>
      <w:pgSz w:w="16839" w:h="11907" w:orient="landscape"/>
      <w:pgMar w:top="1417" w:right="1134" w:bottom="141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rPr>
          <w:sz w:val="18"/>
          <w:szCs w:val="18"/>
          <w:lang w:val="fr-BE"/>
        </w:rPr>
      </w:pPr>
      <w:r>
        <w:rPr>
          <w:rStyle w:val="FootnoteReference"/>
        </w:rPr>
        <w:footnoteRef/>
      </w:r>
      <w:r>
        <w:rPr>
          <w:lang w:val="fr-BE"/>
        </w:rPr>
        <w:tab/>
      </w:r>
      <w:r>
        <w:rPr>
          <w:sz w:val="18"/>
          <w:szCs w:val="18"/>
          <w:lang w:val="fr-BE"/>
        </w:rPr>
        <w:t>Text propus pentru Consiliul OACI de către statele membre ale Uniunii Europene ca răspuns la EC 6/3-20/14, din 25 februarie 2020, privind proiectul de modificare (doar în limba engleză):</w:t>
      </w:r>
    </w:p>
    <w:p>
      <w:pPr>
        <w:rPr>
          <w:sz w:val="18"/>
          <w:szCs w:val="18"/>
        </w:rPr>
      </w:pPr>
      <w:r>
        <w:rPr>
          <w:sz w:val="18"/>
          <w:szCs w:val="18"/>
        </w:rPr>
        <w:t>„9.34: Contracting states shall:</w:t>
      </w:r>
      <w:r>
        <w:tab/>
        <w:t xml:space="preserve"> </w:t>
      </w:r>
      <w:r>
        <w:br/>
      </w:r>
      <w:r>
        <w:rPr>
          <w:sz w:val="18"/>
          <w:szCs w:val="18"/>
        </w:rPr>
        <w:t xml:space="preserve">(a) not inhibit or prevent the transfer of PNR data by an aircraft operator or other relevant party, nor sanction, impose penalties or create unreasonable obstacles on aircraft operators or other relevant parties that transfer PNR data to another Contracting State provided that Contracting States’ PNR data system is compliant with the Standards contained in Section D, Chapter 9 of Annex 9; </w:t>
      </w:r>
      <w:r>
        <w:rPr>
          <w:strike/>
          <w:sz w:val="18"/>
          <w:szCs w:val="18"/>
        </w:rPr>
        <w:t>and</w:t>
      </w:r>
      <w:r>
        <w:t xml:space="preserve"> </w:t>
      </w:r>
      <w:r>
        <w:br/>
      </w:r>
      <w:r>
        <w:rPr>
          <w:i/>
          <w:color w:val="FF0000"/>
          <w:sz w:val="18"/>
          <w:szCs w:val="18"/>
        </w:rPr>
        <w:t>but</w:t>
      </w:r>
      <w:r>
        <w:t xml:space="preserve"> </w:t>
      </w:r>
      <w:r>
        <w:br/>
      </w:r>
      <w:r>
        <w:rPr>
          <w:sz w:val="18"/>
          <w:szCs w:val="18"/>
        </w:rPr>
        <w:t>(b) equally, retain the ability to introduce or maintain higher levels of protection of PNR data, in accordance with their legal and administrative framework, and to enter into additional arrangements with other Contracting States</w:t>
      </w:r>
      <w:r>
        <w:rPr>
          <w:color w:val="FF0000"/>
          <w:sz w:val="18"/>
          <w:szCs w:val="18"/>
        </w:rPr>
        <w:t>,</w:t>
      </w:r>
      <w:r>
        <w:rPr>
          <w:sz w:val="18"/>
          <w:szCs w:val="18"/>
        </w:rPr>
        <w:t xml:space="preserve"> in particular to: promote collective security; achieve higher levels of protection of PNR data, including on data </w:t>
      </w:r>
      <w:r>
        <w:rPr>
          <w:i/>
          <w:color w:val="FF0000"/>
          <w:sz w:val="18"/>
          <w:szCs w:val="18"/>
        </w:rPr>
        <w:t>transfers</w:t>
      </w:r>
      <w:r>
        <w:rPr>
          <w:color w:val="FF0000"/>
          <w:sz w:val="18"/>
          <w:szCs w:val="18"/>
        </w:rPr>
        <w:t xml:space="preserve"> </w:t>
      </w:r>
      <w:r>
        <w:rPr>
          <w:strike/>
          <w:sz w:val="18"/>
          <w:szCs w:val="18"/>
        </w:rPr>
        <w:t>retention</w:t>
      </w:r>
      <w:r>
        <w:rPr>
          <w:sz w:val="18"/>
          <w:szCs w:val="18"/>
        </w:rPr>
        <w:t xml:space="preserve">; or </w:t>
      </w:r>
      <w:r>
        <w:rPr>
          <w:i/>
          <w:color w:val="FF0000"/>
          <w:sz w:val="18"/>
          <w:szCs w:val="18"/>
        </w:rPr>
        <w:t>to</w:t>
      </w:r>
      <w:r>
        <w:rPr>
          <w:color w:val="FF0000"/>
          <w:sz w:val="18"/>
          <w:szCs w:val="18"/>
        </w:rPr>
        <w:t xml:space="preserve"> </w:t>
      </w:r>
      <w:r>
        <w:rPr>
          <w:sz w:val="18"/>
          <w:szCs w:val="18"/>
        </w:rPr>
        <w:t xml:space="preserve">establish more detailed provisions relating to the transfer of PNR data, provided those measures do not </w:t>
      </w:r>
      <w:r>
        <w:rPr>
          <w:i/>
          <w:color w:val="FF0000"/>
          <w:sz w:val="18"/>
          <w:szCs w:val="18"/>
        </w:rPr>
        <w:t>undermine</w:t>
      </w:r>
      <w:r>
        <w:rPr>
          <w:color w:val="FF0000"/>
          <w:sz w:val="18"/>
          <w:szCs w:val="18"/>
        </w:rPr>
        <w:t xml:space="preserve"> </w:t>
      </w:r>
      <w:r>
        <w:rPr>
          <w:strike/>
          <w:sz w:val="18"/>
          <w:szCs w:val="18"/>
        </w:rPr>
        <w:t>otherwise conflict with</w:t>
      </w:r>
      <w:r>
        <w:rPr>
          <w:sz w:val="18"/>
          <w:szCs w:val="18"/>
        </w:rPr>
        <w:t xml:space="preserve"> the Standards contained in Section D, Chapter 9 of Annex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B0155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16A77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4BA19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CABC3C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855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38627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D70DA32"/>
    <w:lvl w:ilvl="0">
      <w:start w:val="1"/>
      <w:numFmt w:val="decimal"/>
      <w:pStyle w:val="ListNumber"/>
      <w:lvlText w:val="%1."/>
      <w:lvlJc w:val="left"/>
      <w:pPr>
        <w:tabs>
          <w:tab w:val="num" w:pos="360"/>
        </w:tabs>
        <w:ind w:left="360" w:hanging="360"/>
      </w:pPr>
    </w:lvl>
  </w:abstractNum>
  <w:abstractNum w:abstractNumId="7">
    <w:nsid w:val="FFFFFF89"/>
    <w:multiLevelType w:val="singleLevel"/>
    <w:tmpl w:val="914226E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revisionView w:markup="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2 16:56:3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3"/>
    <w:docVar w:name="DQCStatus" w:val="Green"/>
    <w:docVar w:name="DQCVersion" w:val="3"/>
    <w:docVar w:name="DQCWithWarnings" w:val="0"/>
    <w:docVar w:name="LW_ACCOMPAGNANT" w:val="la"/>
    <w:docVar w:name="LW_ACCOMPAGNANT.CP" w:val="la"/>
    <w:docVar w:name="LW_ANNEX_NBR_FIRST" w:val="1"/>
    <w:docVar w:name="LW_ANNEX_NBR_LAST" w:val="1"/>
    <w:docVar w:name="LW_ANNEX_UNIQUE" w:val="1"/>
    <w:docVar w:name="LW_CORRIGENDUM" w:val="&lt;UNUSED&gt;"/>
    <w:docVar w:name="LW_COVERPAGE_EXISTS" w:val="True"/>
    <w:docVar w:name="LW_COVERPAGE_GUID" w:val="03DD9B9E-9A10-413F-8475-2D5CD487BE9F"/>
    <w:docVar w:name="LW_COVERPAGE_TYPE" w:val="1"/>
    <w:docVar w:name="LW_CROSSREFERENCE" w:val="&lt;UNUSED&gt;"/>
    <w:docVar w:name="LW_DocType" w:val="ANNEX"/>
    <w:docVar w:name="LW_EMISSION" w:val="12.1.2021"/>
    <w:docVar w:name="LW_EMISSION_ISODATE" w:val="2021-01-12"/>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lt;FMT:Bold&gt;privind pozi\u539?ia care urmeaz\u259? s\u259? fie adoptat\u259? în numele Uniunii Europene în cadrul Organiza\u539?iei Avia\u539?iei Civile Interna\u539?ionale în leg\u259?tur\u259? cu amendamentul 28 la anexa 9, sec\u539?iunea D la Conven\u539?ia privind avia\u539?ia civil\u259? interna\u539?ional\u259?&lt;/FMT&gt;"/>
    <w:docVar w:name="LW_OBJETACTEPRINCIPAL.CP" w:val="&lt;FMT:Bold&gt;privind pozi\u539?ia care urmeaz\u259? s\u259? fie adoptat\u259? în numele Uniunii Europene în cadrul Organiza\u539?iei Avia\u539?iei Civile Interna\u539?ionale în leg\u259?tur\u259? cu amendamentul 28 la anexa 9, sec\u539?iunea D la Conven\u539?ia privind avia\u539?ia civil\u259? interna\u539?ional\u259?&lt;/FMT&gt;"/>
    <w:docVar w:name="LW_PART_NBR" w:val="1"/>
    <w:docVar w:name="LW_PART_NBR_TOTAL" w:val="1"/>
    <w:docVar w:name="LW_REF.INST.NEW" w:val="COM"/>
    <w:docVar w:name="LW_REF.INST.NEW_ADOPTED" w:val="final"/>
    <w:docVar w:name="LW_REF.INST.NEW_TEXT" w:val="(2021) 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u258?"/>
    <w:docVar w:name="LW_TYPE.DOC.CP" w:val="ANEX\u258?"/>
    <w:docVar w:name="LW_TYPEACTEPRINCIPAL" w:val="Propunerea de Decizie a Consiliului"/>
    <w:docVar w:name="LW_TYPEACTEPRINCIPAL.CP" w:val="Propunerea de 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s">
    <w:name w:val="Copies"/>
    <w:basedOn w:val="Normal"/>
    <w:uiPriority w:val="99"/>
    <w:pPr>
      <w:tabs>
        <w:tab w:val="left" w:pos="5669"/>
      </w:tabs>
      <w:spacing w:before="480" w:after="0"/>
      <w:ind w:left="1984" w:hanging="1984"/>
      <w:contextualSpacing/>
      <w:jc w:val="left"/>
    </w:pPr>
    <w:rPr>
      <w:rFonts w:eastAsia="Times New Roman"/>
      <w:szCs w:val="20"/>
      <w:lang w:eastAsia="fr-BE"/>
    </w:r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s">
    <w:name w:val="Copies"/>
    <w:basedOn w:val="Normal"/>
    <w:uiPriority w:val="99"/>
    <w:pPr>
      <w:tabs>
        <w:tab w:val="left" w:pos="5669"/>
      </w:tabs>
      <w:spacing w:before="480" w:after="0"/>
      <w:ind w:left="1984" w:hanging="1984"/>
      <w:contextualSpacing/>
      <w:jc w:val="left"/>
    </w:pPr>
    <w:rPr>
      <w:rFonts w:eastAsia="Times New Roman"/>
      <w:szCs w:val="20"/>
      <w:lang w:eastAsia="fr-BE"/>
    </w:r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39D7-C61E-4F69-A8EC-43FE2FEE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669</Words>
  <Characters>3771</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MONGE Giovanni (HOME)</dc:creator>
  <cp:keywords/>
  <dc:description/>
  <cp:lastModifiedBy>WES PDFC Administrator</cp:lastModifiedBy>
  <cp:revision>9</cp:revision>
  <dcterms:created xsi:type="dcterms:W3CDTF">2021-01-21T09:16:00Z</dcterms:created>
  <dcterms:modified xsi:type="dcterms:W3CDTF">2021-01-22T15:56:00Z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