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6DE976A-EB3F-4E00-9B31-CC12AD758B7E"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spacing w:before="0" w:after="240"/>
        <w:rPr>
          <w:rFonts w:eastAsia="Arial Unicode MS"/>
          <w:noProof/>
        </w:rPr>
      </w:pPr>
      <w:r>
        <w:rPr>
          <w:noProof/>
        </w:rPr>
        <w:t>Eurostat već desetljećima izrađuje europsku poljoprivrednu statistiku o poljoprivredi EU-a. Njome su danas obuhvaćeni sljedeći aspekti: struktura poljoprivrednih gospodarstava, ekonomski računi u poljoprivredi, stočna i biljna proizvodnja, ekološka poljoprivreda, cijene u poljoprivredi, pesticidi, hranjiva i drugi poljoprivredno-okolišni aspekti. Glavni je cilj praćenje i evaluacija zajedničke poljoprivredne politike (ZPP) i drugih važnih politika EU-a te potpora oblikovanju politika.</w:t>
      </w:r>
    </w:p>
    <w:p>
      <w:pPr>
        <w:pBdr>
          <w:top w:val="nil"/>
          <w:left w:val="nil"/>
          <w:bottom w:val="nil"/>
          <w:right w:val="nil"/>
          <w:between w:val="nil"/>
          <w:bar w:val="nil"/>
        </w:pBdr>
        <w:spacing w:before="0" w:after="240"/>
        <w:rPr>
          <w:rFonts w:eastAsia="Arial Unicode MS"/>
          <w:noProof/>
        </w:rPr>
      </w:pPr>
      <w:r>
        <w:rPr>
          <w:noProof/>
        </w:rPr>
        <w:t>Prikupljanja podataka evaluirana su 2016.</w:t>
      </w:r>
      <w:r>
        <w:rPr>
          <w:rStyle w:val="FootnoteReference"/>
          <w:noProof/>
        </w:rPr>
        <w:footnoteReference w:id="1"/>
      </w:r>
      <w:r>
        <w:rPr>
          <w:noProof/>
        </w:rPr>
        <w:t xml:space="preserve"> te je zaključeno da ih je potrebno ažurirati kako bi se uzele u obzir promjene u poljoprivredi, ZPP-u i u drugim povezanim politikama EU-a. „Strategija za poljoprivrednu statistiku za 2020. i nadalje”</w:t>
      </w:r>
      <w:r>
        <w:rPr>
          <w:rStyle w:val="FootnoteReference"/>
          <w:noProof/>
        </w:rPr>
        <w:footnoteReference w:id="2"/>
      </w:r>
      <w:r>
        <w:rPr>
          <w:noProof/>
        </w:rPr>
        <w:t xml:space="preserve"> važan je program modernizacije poljoprivredne statistike Europske unije koji Europska komisija provodi u bliskoj suradnji s državama članicama. Podupire je Odbor za europski statistički sustav, dio je programa za primjerenost i učinkovitost propisa (REFIT) te se njome nastoji pojednostavniti i poboljšati Europski sustav poljoprivredne statistike (EASS). Njome se slijede i međunarodne preporuke kao što su smjernice za izvješćivanje o emisijama stakleničkih plinova Međuvladina panela o klimatskim promjenama i standardi Organizacije UN-a za hranu i poljoprivredu, a provodi se i Globalna strategija UN-a za poboljšanje poljoprivredne i ruralne statistike.</w:t>
      </w:r>
    </w:p>
    <w:p>
      <w:pPr>
        <w:pBdr>
          <w:top w:val="nil"/>
          <w:left w:val="nil"/>
          <w:bottom w:val="nil"/>
          <w:right w:val="nil"/>
          <w:between w:val="nil"/>
          <w:bar w:val="nil"/>
        </w:pBdr>
        <w:spacing w:before="0" w:after="240"/>
        <w:rPr>
          <w:rFonts w:eastAsia="Arial Unicode MS"/>
          <w:noProof/>
        </w:rPr>
      </w:pPr>
      <w:r>
        <w:rPr>
          <w:noProof/>
        </w:rPr>
        <w:t xml:space="preserve">Poljoprivreda je u gospodarskom pogledu relativno malen sektor, no obuhvaća približno polovinu površine EU-a i proizvodi većinu hrane u EU-u, osiguravajući sigurnost hrane i opskrbu hranom. Poljoprivreda znatno utječe na klimatske promjene i okoliš, a o njoj ovise i mnoge ruralne zajednice. EU-u su potrebne što točnije informacije o poljoprivredi koje mu omogućavaju da oblikuje politike od kojih koristi imaju svi građani Europske unije i da što učinkovitije i djelotvornije dodijeli znatna proračunska sredstva ZPP-a i povezanih mjera u različitim dimenzijama. Nadalje, poljoprivreda je okosnica europskog zelenog plana, a posebno njegove strategije „od polja do stola”. </w:t>
      </w:r>
    </w:p>
    <w:p>
      <w:pPr>
        <w:pBdr>
          <w:top w:val="nil"/>
          <w:left w:val="nil"/>
          <w:bottom w:val="nil"/>
          <w:right w:val="nil"/>
          <w:between w:val="nil"/>
          <w:bar w:val="nil"/>
        </w:pBdr>
        <w:spacing w:before="0" w:after="240"/>
        <w:rPr>
          <w:rFonts w:eastAsia="Arial Unicode MS"/>
          <w:noProof/>
        </w:rPr>
      </w:pPr>
      <w:r>
        <w:rPr>
          <w:noProof/>
        </w:rPr>
        <w:t xml:space="preserve">Izrazito je važno osigurati da stanovnici EU-a u svakom trenutku imaju siguran pristup dovoljnim količinama visokokvalitetne hrane. To znači da je nužna dostupnost redovite statistike o površinama i proizvodnji različitih usjeva te o životinjama i od njih dobivenim proizvodima. Poljoprivreda utječe i na okoliš. Taj se utjecaj ne može procijeniti bez informacija o unosu hranjiva i sredstava za zaštitu bilja. Uspješnost poljoprivrednog sektora u cjelini može se ocijeniti statistikom o cijenama poljoprivrednih inputa i outputa. Poljoprivreda pridonosi očuvanju ruralnih područja i krajolika u čitavom EU-u te održavanju vitalnosti ruralnog gospodarstva stvaranjem radnih mjesta u poduzećima koja pružaju robu i usluge za taj sektor te u poljoprivredno-prehrambenoj industriji i povezanim sektorima. Poljoprivredna statistika stoga mora obuhvaćati gospodarsku, ekološku i društvenu dimenziju poljoprivrede. </w:t>
      </w:r>
    </w:p>
    <w:p>
      <w:pPr>
        <w:pBdr>
          <w:top w:val="nil"/>
          <w:left w:val="nil"/>
          <w:bottom w:val="nil"/>
          <w:right w:val="nil"/>
          <w:between w:val="nil"/>
          <w:bar w:val="nil"/>
        </w:pBdr>
        <w:spacing w:before="0" w:after="240"/>
        <w:rPr>
          <w:rFonts w:eastAsia="Arial Unicode MS"/>
          <w:noProof/>
        </w:rPr>
      </w:pPr>
      <w:r>
        <w:rPr>
          <w:noProof/>
        </w:rPr>
        <w:t xml:space="preserve">Eurostat pruža statistiku o biljnoj i stočnoj proizvodnji od 1950-ih, a naknadno je dodao statistike o cijenama u poljoprivredi, o strukturi poljoprivrednih gospodarstava te o hranjivima i sredstvima za zaštitu bilja. Te su statistike uređene europskim zakonodavstvom koje se često </w:t>
      </w:r>
      <w:r>
        <w:rPr>
          <w:noProof/>
        </w:rPr>
        <w:lastRenderedPageBreak/>
        <w:t xml:space="preserve">ažurira ili džentlmenskim sporazumima i sporazumima u okviru europskog statističkog sustava (ESS). U evaluaciji sadašnjeg sustava poljoprivredne statistike izrazito je preporučena primjena sustavnog pristupa u čitavom sustavu poljoprivredne statistike. </w:t>
      </w:r>
    </w:p>
    <w:p>
      <w:pPr>
        <w:pBdr>
          <w:top w:val="nil"/>
          <w:left w:val="nil"/>
          <w:bottom w:val="nil"/>
          <w:right w:val="nil"/>
          <w:between w:val="nil"/>
          <w:bar w:val="nil"/>
        </w:pBdr>
        <w:spacing w:before="0" w:after="240"/>
        <w:rPr>
          <w:rFonts w:eastAsia="Arial Unicode MS"/>
          <w:noProof/>
        </w:rPr>
      </w:pPr>
      <w:r>
        <w:rPr>
          <w:noProof/>
        </w:rPr>
        <w:t>Najizvediviji scenarij od onih koji su analizirani u procjeni učinka i koji je potom predložen za izvođenje onaj je kojim se predviđa da sve poljoprivredne statistike budu obuhvaćene trima uredbama Europskog parlamenta i Vijeća o:</w:t>
      </w:r>
    </w:p>
    <w:p>
      <w:pPr>
        <w:pStyle w:val="Bullet0"/>
        <w:numPr>
          <w:ilvl w:val="0"/>
          <w:numId w:val="23"/>
        </w:numPr>
        <w:rPr>
          <w:noProof/>
        </w:rPr>
      </w:pPr>
      <w:r>
        <w:rPr>
          <w:noProof/>
        </w:rPr>
        <w:t xml:space="preserve">podacima na razini poljoprivrednog gospodarstva uz prijenos mikropodataka, utemeljen na modularnom pristupu s ključnim varijablama, modulima i satelitima, </w:t>
      </w:r>
    </w:p>
    <w:p>
      <w:pPr>
        <w:pStyle w:val="Bullet0"/>
        <w:rPr>
          <w:noProof/>
        </w:rPr>
      </w:pPr>
      <w:r>
        <w:rPr>
          <w:noProof/>
        </w:rPr>
        <w:t xml:space="preserve">ekonomskim računima u poljoprivredi, i </w:t>
      </w:r>
    </w:p>
    <w:p>
      <w:pPr>
        <w:pStyle w:val="Bullet0"/>
        <w:rPr>
          <w:noProof/>
        </w:rPr>
      </w:pPr>
      <w:r>
        <w:rPr>
          <w:noProof/>
        </w:rPr>
        <w:t>agregiranoj statistici poljoprivrednih inputa/outputa s tabličnim podacima.</w:t>
      </w:r>
    </w:p>
    <w:p>
      <w:pPr>
        <w:pBdr>
          <w:top w:val="nil"/>
          <w:left w:val="nil"/>
          <w:bottom w:val="nil"/>
          <w:right w:val="nil"/>
          <w:between w:val="nil"/>
          <w:bar w:val="nil"/>
        </w:pBdr>
        <w:spacing w:before="0" w:after="240"/>
        <w:rPr>
          <w:rFonts w:eastAsia="Arial Unicode MS"/>
          <w:noProof/>
        </w:rPr>
      </w:pPr>
      <w:r>
        <w:rPr>
          <w:noProof/>
        </w:rPr>
        <w:t>Prva uredba, Uredba o integriranoj statistici na razini poljoprivrednih gospodarstava (eng. Integrated Farm Statistics – IFS), donesena je 2018.</w:t>
      </w:r>
      <w:r>
        <w:rPr>
          <w:rStyle w:val="FootnoteReference"/>
          <w:rFonts w:eastAsia="Arial Unicode MS"/>
          <w:noProof/>
        </w:rPr>
        <w:footnoteReference w:id="3"/>
      </w:r>
      <w:r>
        <w:rPr>
          <w:noProof/>
        </w:rPr>
        <w:t>, dok je druga, Uredba o ekonomskim računima u poljoprivredi (ERP)</w:t>
      </w:r>
      <w:r>
        <w:rPr>
          <w:rStyle w:val="FootnoteReference"/>
          <w:noProof/>
        </w:rPr>
        <w:footnoteReference w:id="4"/>
      </w:r>
      <w:r>
        <w:rPr>
          <w:noProof/>
        </w:rPr>
        <w:t xml:space="preserve">, trenutačno u postupku modernizacije. </w:t>
      </w:r>
    </w:p>
    <w:p>
      <w:pPr>
        <w:pBdr>
          <w:top w:val="nil"/>
          <w:left w:val="nil"/>
          <w:bottom w:val="nil"/>
          <w:right w:val="nil"/>
          <w:between w:val="nil"/>
          <w:bar w:val="nil"/>
        </w:pBdr>
        <w:spacing w:before="0" w:after="240"/>
        <w:rPr>
          <w:rFonts w:eastAsia="Arial Unicode MS"/>
          <w:noProof/>
        </w:rPr>
      </w:pPr>
      <w:r>
        <w:rPr>
          <w:noProof/>
        </w:rPr>
        <w:t xml:space="preserve">Treća je uredba aktualni zakonodavni prijedlog o statistici poljoprivrednih inputa i outputa (eng. statistics on agricultural input and output – SAIO). </w:t>
      </w:r>
    </w:p>
    <w:p>
      <w:pPr>
        <w:pStyle w:val="ManualHeading2"/>
        <w:rPr>
          <w:rFonts w:eastAsia="Arial Unicode MS"/>
          <w:noProof/>
        </w:rPr>
      </w:pPr>
      <w:r>
        <w:rPr>
          <w:noProof/>
          <w:color w:val="000000"/>
          <w:u w:color="000000"/>
          <w:bdr w:val="nil"/>
        </w:rPr>
        <w:t>•</w:t>
      </w:r>
      <w:r>
        <w:rPr>
          <w:noProof/>
        </w:rPr>
        <w:tab/>
        <w:t>Dosljednost s postojećim odredbama politike u tom području</w:t>
      </w:r>
    </w:p>
    <w:p>
      <w:pPr>
        <w:pBdr>
          <w:top w:val="nil"/>
          <w:left w:val="nil"/>
          <w:bottom w:val="nil"/>
          <w:right w:val="nil"/>
          <w:between w:val="nil"/>
          <w:bar w:val="nil"/>
        </w:pBdr>
        <w:spacing w:before="0" w:after="240"/>
        <w:rPr>
          <w:noProof/>
        </w:rPr>
      </w:pPr>
      <w:r>
        <w:rPr>
          <w:noProof/>
        </w:rPr>
        <w:t>Kako bi tvorci politika, poduzeća i javnost mogli donositi odgovarajuće odluke koje se temelje na dokazima, statistika mora biti pouzdana i visokokvalitetna.</w:t>
      </w:r>
    </w:p>
    <w:p>
      <w:pPr>
        <w:pBdr>
          <w:top w:val="nil"/>
          <w:left w:val="nil"/>
          <w:bottom w:val="nil"/>
          <w:right w:val="nil"/>
          <w:between w:val="nil"/>
          <w:bar w:val="nil"/>
        </w:pBdr>
        <w:spacing w:before="0" w:after="240"/>
        <w:rPr>
          <w:noProof/>
        </w:rPr>
      </w:pPr>
      <w:r>
        <w:rPr>
          <w:noProof/>
        </w:rPr>
        <w:t>Prethodno spomenuta strategija za poljoprivrednu statistiku za 2020. uključuje sljedeće ključne ciljeve:</w:t>
      </w:r>
    </w:p>
    <w:p>
      <w:pPr>
        <w:pStyle w:val="Bullet0"/>
        <w:rPr>
          <w:noProof/>
        </w:rPr>
      </w:pPr>
      <w:r>
        <w:rPr>
          <w:noProof/>
        </w:rPr>
        <w:t>proizvesti visokokvalitetne statistike kojima se djelotvorno i učinkovito zadovoljavaju potrebe korisnika, i</w:t>
      </w:r>
    </w:p>
    <w:p>
      <w:pPr>
        <w:pStyle w:val="Bullet0"/>
        <w:rPr>
          <w:noProof/>
        </w:rPr>
      </w:pPr>
      <w:r>
        <w:rPr>
          <w:noProof/>
        </w:rPr>
        <w:t>unaprijediti usklađenost i dosljednost europske poljoprivredne statistike.</w:t>
      </w:r>
    </w:p>
    <w:p>
      <w:pPr>
        <w:pBdr>
          <w:top w:val="nil"/>
          <w:left w:val="nil"/>
          <w:bottom w:val="nil"/>
          <w:right w:val="nil"/>
          <w:between w:val="nil"/>
          <w:bar w:val="nil"/>
        </w:pBdr>
        <w:spacing w:before="0" w:after="240"/>
        <w:rPr>
          <w:noProof/>
        </w:rPr>
      </w:pPr>
      <w:r>
        <w:rPr>
          <w:noProof/>
        </w:rPr>
        <w:t>Ti su ciljevi izravno obuhvaćeni ovim prijedlogom.</w:t>
      </w:r>
    </w:p>
    <w:p>
      <w:pPr>
        <w:pStyle w:val="ManualHeading2"/>
        <w:rPr>
          <w:rFonts w:eastAsia="Arial Unicode MS"/>
          <w:noProof/>
        </w:rPr>
      </w:pPr>
      <w:r>
        <w:rPr>
          <w:noProof/>
          <w:color w:val="000000"/>
          <w:u w:color="000000"/>
          <w:bdr w:val="nil"/>
        </w:rPr>
        <w:t>•</w:t>
      </w:r>
      <w:r>
        <w:rPr>
          <w:noProof/>
        </w:rPr>
        <w:tab/>
        <w:t>Dosljednost u odnosu na druge politike Unije</w:t>
      </w:r>
    </w:p>
    <w:p>
      <w:pPr>
        <w:pBdr>
          <w:top w:val="nil"/>
          <w:left w:val="nil"/>
          <w:bottom w:val="nil"/>
          <w:right w:val="nil"/>
          <w:between w:val="nil"/>
          <w:bar w:val="nil"/>
        </w:pBdr>
        <w:spacing w:before="0" w:after="240"/>
        <w:rPr>
          <w:noProof/>
        </w:rPr>
      </w:pPr>
      <w:r>
        <w:rPr>
          <w:noProof/>
        </w:rPr>
        <w:t>Osiguravanje kvalitetne statistike kojom se podupiru europske politike glavni je pokretač europskog statističkog programa od 2013. do 2017.</w:t>
      </w:r>
      <w:r>
        <w:rPr>
          <w:rStyle w:val="FootnoteReference"/>
          <w:noProof/>
        </w:rPr>
        <w:footnoteReference w:id="5"/>
      </w:r>
      <w:r>
        <w:rPr>
          <w:noProof/>
        </w:rPr>
        <w:t xml:space="preserve"> (produljen na razdoblje od 2018. do 2020.</w:t>
      </w:r>
      <w:r>
        <w:rPr>
          <w:rStyle w:val="FootnoteReference"/>
          <w:noProof/>
        </w:rPr>
        <w:footnoteReference w:id="6"/>
      </w:r>
      <w:r>
        <w:rPr>
          <w:noProof/>
        </w:rPr>
        <w:t>). Okolišna i poljoprivredna statistika jedan je od triju stupova za izradu statistike u okviru tog programa. Relevantni ciljevi programa uključuju „preispitivanje i pojednostavnjenje prikupljanja poljoprivrednih podataka u skladu s preispitivanjem ZPP-a nakon 2013. i preoblikovanje postupaka prikupljanja poljoprivrednih podataka, posebno radi poboljšanja kvalitete i pravodobnosti podataka”. Ovom se inicijativom provodi taj cilj.</w:t>
      </w:r>
    </w:p>
    <w:p>
      <w:pPr>
        <w:pBdr>
          <w:top w:val="nil"/>
          <w:left w:val="nil"/>
          <w:bottom w:val="nil"/>
          <w:right w:val="nil"/>
          <w:between w:val="nil"/>
          <w:bar w:val="nil"/>
        </w:pBdr>
        <w:spacing w:before="0" w:after="240"/>
        <w:rPr>
          <w:noProof/>
        </w:rPr>
      </w:pPr>
      <w:r>
        <w:rPr>
          <w:noProof/>
        </w:rPr>
        <w:lastRenderedPageBreak/>
        <w:t xml:space="preserve">Pružanjem boljih podataka za procjenu održivosti tog sektora u odnosu na okoliš, ljude, regije i gospodarstvo, Europski sustav poljoprivredne statistike pridonijet će barem dvama od šest prioriteta Komisije Ursule von der Leyen, a to su: </w:t>
      </w:r>
    </w:p>
    <w:p>
      <w:pPr>
        <w:pStyle w:val="Bullet0"/>
        <w:rPr>
          <w:noProof/>
        </w:rPr>
      </w:pPr>
      <w:r>
        <w:rPr>
          <w:noProof/>
        </w:rPr>
        <w:t>europski zeleni plan i njegova temeljna strategija „od polja do stola” i strategija za biološku raznolikost,</w:t>
      </w:r>
    </w:p>
    <w:p>
      <w:pPr>
        <w:pStyle w:val="Bullet0"/>
        <w:rPr>
          <w:noProof/>
        </w:rPr>
      </w:pPr>
      <w:r>
        <w:rPr>
          <w:noProof/>
        </w:rPr>
        <w:t>gospodarstvo u interesu građana.</w:t>
      </w:r>
    </w:p>
    <w:p>
      <w:pPr>
        <w:pBdr>
          <w:top w:val="nil"/>
          <w:left w:val="nil"/>
          <w:bottom w:val="nil"/>
          <w:right w:val="nil"/>
          <w:between w:val="nil"/>
          <w:bar w:val="nil"/>
        </w:pBdr>
        <w:spacing w:before="0" w:after="240"/>
        <w:rPr>
          <w:noProof/>
        </w:rPr>
      </w:pPr>
      <w:r>
        <w:rPr>
          <w:noProof/>
        </w:rPr>
        <w:t xml:space="preserve">Poljoprivredne statistike korisne su i za druge prioritete Unije ili država članica koji utječu na, ili na koje utječu poljoprivreda i ruralni razvoj. </w:t>
      </w:r>
    </w:p>
    <w:p>
      <w:pPr>
        <w:pBdr>
          <w:top w:val="nil"/>
          <w:left w:val="nil"/>
          <w:bottom w:val="nil"/>
          <w:right w:val="nil"/>
          <w:between w:val="nil"/>
          <w:bar w:val="nil"/>
        </w:pBdr>
        <w:spacing w:before="0" w:after="240"/>
        <w:rPr>
          <w:noProof/>
        </w:rPr>
      </w:pPr>
      <w:r>
        <w:rPr>
          <w:noProof/>
        </w:rPr>
        <w:t>Osim toga, prijedlog programa jedinstvenog tržišta</w:t>
      </w:r>
      <w:r>
        <w:rPr>
          <w:rStyle w:val="FootnoteReference"/>
          <w:noProof/>
        </w:rPr>
        <w:footnoteReference w:id="7"/>
      </w:r>
      <w:r>
        <w:rPr>
          <w:noProof/>
        </w:rPr>
        <w:t xml:space="preserve"> koji se trenutačno razmatra na međuinstitucijskoj razini sadržava okvir za financiranje razvoja, izrade i diseminacije europske statistike. Za provedbu politika Unije potrebne su visokokvalitetne, usporedive i pouzdane statističke informacije o gospodarskoj, društvenoj, teritorijalnoj i ekološkoj situaciji u Uniji. Europske statistike europskim građanima omogućuju i da razumiju demokratski proces i raspravu o trenutačnom stanju i budućnosti Unije te da u njima sudjeluju. Poljoprivredna statistika usmjerena je na pružanje pravodobnih i relevantnih podataka za potrebe zajedničke poljoprivredne politike, zajedničke ribarstvene politike te politika koje se odnose na okoliš, sigurnost opskrbe hranom i dobrobit životinja.</w:t>
      </w:r>
    </w:p>
    <w:p>
      <w:pPr>
        <w:pBdr>
          <w:top w:val="nil"/>
          <w:left w:val="nil"/>
          <w:bottom w:val="nil"/>
          <w:right w:val="nil"/>
          <w:between w:val="nil"/>
          <w:bar w:val="nil"/>
        </w:pBdr>
        <w:spacing w:before="0" w:after="240"/>
        <w:rPr>
          <w:noProof/>
        </w:rPr>
      </w:pPr>
      <w:r>
        <w:rPr>
          <w:noProof/>
        </w:rPr>
        <w:t>Poljoprivredna statistika pruža visokokvalitetne statističke dokaze za provedbu i praćenje ZPP-a. ZPP je važan pokretač zapošljavanja i pametnog, održivog i uključivog rasta u Uniji. Politikom ruralnog razvoja, koja je sastavni dio ZPP-a te uključuje i društvene ciljeve, nastoje se poboljšati konkurentnost i održivost poljoprivredne proizvodnje. ZPP čini više od 37 % ukupnog proračuna Unije u kontekstu višegodišnjeg financijskog okvira (VFO) za razdoblje 2014.–2020.</w:t>
      </w:r>
    </w:p>
    <w:p>
      <w:pPr>
        <w:pBdr>
          <w:top w:val="nil"/>
          <w:left w:val="nil"/>
          <w:bottom w:val="nil"/>
          <w:right w:val="nil"/>
          <w:between w:val="nil"/>
          <w:bar w:val="nil"/>
        </w:pBdr>
        <w:spacing w:before="0" w:after="240"/>
        <w:rPr>
          <w:noProof/>
        </w:rPr>
      </w:pPr>
      <w:r>
        <w:rPr>
          <w:noProof/>
        </w:rPr>
        <w:t>Poljoprivredna statistika sve je potrebnija i za druge ključne politike Unije kao što su europski zeleni plan, politike o okolišu i klimatskim promjenama, trgovinska politika, socijalna politika, regionalna politika itd.</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osnova</w:t>
      </w:r>
    </w:p>
    <w:p>
      <w:pPr>
        <w:pBdr>
          <w:top w:val="nil"/>
          <w:left w:val="nil"/>
          <w:bottom w:val="nil"/>
          <w:right w:val="nil"/>
          <w:between w:val="nil"/>
          <w:bar w:val="nil"/>
        </w:pBdr>
        <w:spacing w:before="0" w:after="240"/>
        <w:rPr>
          <w:noProof/>
        </w:rPr>
      </w:pPr>
      <w:r>
        <w:rPr>
          <w:noProof/>
        </w:rPr>
        <w:t>Članak 338. Ugovora o funkcioniranju Europske unije (UFEU) pruža pravnu osnovu za europsku statistiku. U skladu s redovnim zakonodavnim postupkom Europski parlament i Vijeće donose mjere za statistiku o proizvodnji kada je Uniji potrebna za izvršavanje svojih zadaća. U članku 338. utvrđuju se zahtjevi za izradu europske statistike i navodi se da ona mora ispunjavati standarde nepristranosti, pouzdanosti, objektivnosti, znanstvene nezavisnosti, troškovne učinkovitosti i statističke povjerljivosti.</w:t>
      </w:r>
      <w:r>
        <w:rPr>
          <w:noProof/>
        </w:rPr>
        <w:tab/>
      </w:r>
    </w:p>
    <w:p>
      <w:pPr>
        <w:pBdr>
          <w:top w:val="nil"/>
          <w:left w:val="nil"/>
          <w:bottom w:val="nil"/>
          <w:right w:val="nil"/>
          <w:between w:val="nil"/>
          <w:bar w:val="nil"/>
        </w:pBdr>
        <w:spacing w:before="0" w:after="240"/>
        <w:rPr>
          <w:noProof/>
        </w:rPr>
      </w:pPr>
      <w:r>
        <w:rPr>
          <w:noProof/>
        </w:rPr>
        <w:t>Pravna je osnova za izvješća o kvaliteti članak 12. Uredbe (EZ) br. 223/2009 Europskog parlamenta i Vijeća</w:t>
      </w:r>
      <w:r>
        <w:rPr>
          <w:rStyle w:val="FootnoteReference"/>
          <w:noProof/>
        </w:rPr>
        <w:footnoteReference w:id="8"/>
      </w:r>
      <w:r>
        <w:rPr>
          <w:noProof/>
        </w:rPr>
        <w:t xml:space="preserve">.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 xml:space="preserve">Supsidijarnost (za neisključivu nadležnost) </w:t>
      </w:r>
    </w:p>
    <w:p>
      <w:pPr>
        <w:pBdr>
          <w:top w:val="nil"/>
          <w:left w:val="nil"/>
          <w:bottom w:val="nil"/>
          <w:right w:val="nil"/>
          <w:between w:val="nil"/>
          <w:bar w:val="nil"/>
        </w:pBdr>
        <w:tabs>
          <w:tab w:val="left" w:pos="720"/>
        </w:tabs>
        <w:spacing w:before="0" w:after="240"/>
        <w:rPr>
          <w:rFonts w:eastAsia="Arial Unicode MS"/>
          <w:noProof/>
        </w:rPr>
      </w:pPr>
      <w:r>
        <w:rPr>
          <w:noProof/>
        </w:rPr>
        <w:t>Načelo supsidijarnosti primjenjuje se ako prijedlog nije u isključivoj nadležnosti Unije. ESS-om se osigurava infrastruktura za statističke informacije. Sustav je osmišljen tako da zadovolji potrebe brojnih korisnika u pogledu donošenja odluka u demokratskim društvima. Prijedlog ove Uredbe sastavljen je tako da se zaštite ključne aktivnosti partnera ESS-a uz istodobno bolje osiguravanje kvalitete i usporedivosti poljoprivredne statistike.</w:t>
      </w:r>
    </w:p>
    <w:p>
      <w:pPr>
        <w:pBdr>
          <w:top w:val="nil"/>
          <w:left w:val="nil"/>
          <w:bottom w:val="nil"/>
          <w:right w:val="nil"/>
          <w:between w:val="nil"/>
          <w:bar w:val="nil"/>
        </w:pBdr>
        <w:tabs>
          <w:tab w:val="left" w:pos="720"/>
        </w:tabs>
        <w:spacing w:before="0" w:after="240"/>
        <w:rPr>
          <w:rFonts w:eastAsia="Arial Unicode MS"/>
          <w:noProof/>
        </w:rPr>
      </w:pPr>
      <w:r>
        <w:rPr>
          <w:noProof/>
        </w:rPr>
        <w:t xml:space="preserve">Usklađenost i usporedivost podataka među glavnim su kriterijima koje statistički podaci moraju zadovoljiti. Države članice ne mogu postići potrebnu usklađenost i usporedivost bez jasnog europskog okvira, tj. zakonodavstva Unije kojim se utvrđuju zajednički statistički koncepti, formati izvješćivanja i zahtjevi kvalitete. </w:t>
      </w:r>
    </w:p>
    <w:p>
      <w:pPr>
        <w:pBdr>
          <w:top w:val="nil"/>
          <w:left w:val="nil"/>
          <w:bottom w:val="nil"/>
          <w:right w:val="nil"/>
          <w:between w:val="nil"/>
          <w:bar w:val="nil"/>
        </w:pBdr>
        <w:tabs>
          <w:tab w:val="left" w:pos="720"/>
        </w:tabs>
        <w:spacing w:before="0" w:after="240"/>
        <w:rPr>
          <w:rFonts w:eastAsia="Arial Unicode MS"/>
          <w:noProof/>
        </w:rPr>
      </w:pPr>
      <w:r>
        <w:rPr>
          <w:noProof/>
        </w:rPr>
        <w:t>Zahtjev usporedivosti vrlo je važan za poljoprivrednu statistiku zbog ZPP-a. Cilj predloženog djelovanja ne može se postići ako države članice djeluju samostalno. Djelovanje se može djelotvornije provesti na razini Unije, i to na temelju pravnog akta Unije kojim se osigurava usporedivost statističkih informacija u statističkim područjima koja su obuhvaćena predloženim aktom. Samo prikupljanje podataka pritom mogu izvoditi države članice.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Proporcionalnost</w:t>
      </w:r>
    </w:p>
    <w:p>
      <w:pPr>
        <w:tabs>
          <w:tab w:val="left" w:pos="720"/>
        </w:tabs>
        <w:rPr>
          <w:rFonts w:eastAsia="Calibri"/>
          <w:noProof/>
          <w:szCs w:val="24"/>
        </w:rPr>
      </w:pPr>
      <w:r>
        <w:rPr>
          <w:noProof/>
        </w:rPr>
        <w:t>Prijedlog je u skladu s načelom proporcionalnosti s obzirom na navedeno u nastavku.</w:t>
      </w:r>
    </w:p>
    <w:p>
      <w:pPr>
        <w:tabs>
          <w:tab w:val="left" w:pos="720"/>
        </w:tabs>
        <w:rPr>
          <w:rFonts w:eastAsia="Arial Unicode MS"/>
          <w:noProof/>
        </w:rPr>
      </w:pPr>
      <w:r>
        <w:rPr>
          <w:noProof/>
        </w:rPr>
        <w:t>Njime će se osigurati kvaliteta i usporedivost europske poljoprivredne statistike koja će se u svim državama članicama prikupljati i izrađivati primjenom istih načela. Na sličan se način osigurava relevantnost europskih poljoprivrednih statistika i njihovo prilagođavanje potrebama korisnika. Zahvaljujući uredbi izrada statistike bit će troškovno učinkovitija, a istodobno će se poštovati posebnosti sustavâ država članica.</w:t>
      </w:r>
    </w:p>
    <w:p>
      <w:pPr>
        <w:tabs>
          <w:tab w:val="left" w:pos="720"/>
        </w:tabs>
        <w:rPr>
          <w:rFonts w:eastAsia="Calibri"/>
          <w:noProof/>
          <w:szCs w:val="24"/>
        </w:rPr>
      </w:pPr>
      <w:r>
        <w:rPr>
          <w:noProof/>
        </w:rPr>
        <w:t xml:space="preserve">U skladu s načelom proporcionalnosti predložena uredba ograničava se na minimum koji je potreban za postizanje njezina cilja i ne prelazi ono što je potrebno za ostvarivanje te svrhe. </w:t>
      </w:r>
    </w:p>
    <w:p>
      <w:pPr>
        <w:pStyle w:val="ManualHeading2"/>
        <w:rPr>
          <w:rFonts w:eastAsia="Arial Unicode MS"/>
          <w:noProof/>
          <w:u w:color="000000"/>
          <w:bdr w:val="nil"/>
        </w:rPr>
      </w:pPr>
      <w:r>
        <w:rPr>
          <w:noProof/>
          <w:u w:color="000000"/>
          <w:bdr w:val="nil"/>
        </w:rPr>
        <w:t>•</w:t>
      </w:r>
      <w:r>
        <w:rPr>
          <w:noProof/>
        </w:rPr>
        <w:tab/>
      </w:r>
      <w:r>
        <w:rPr>
          <w:noProof/>
          <w:u w:color="000000"/>
          <w:bdr w:val="nil"/>
        </w:rPr>
        <w:t>Odabir instrumenta</w:t>
      </w:r>
    </w:p>
    <w:p>
      <w:pPr>
        <w:pBdr>
          <w:top w:val="nil"/>
          <w:left w:val="nil"/>
          <w:bottom w:val="nil"/>
          <w:right w:val="nil"/>
          <w:between w:val="nil"/>
          <w:bar w:val="nil"/>
        </w:pBdr>
        <w:tabs>
          <w:tab w:val="left" w:pos="720"/>
        </w:tabs>
        <w:spacing w:before="0" w:after="240"/>
        <w:rPr>
          <w:rFonts w:eastAsia="Arial Unicode MS"/>
          <w:noProof/>
        </w:rPr>
      </w:pPr>
      <w:r>
        <w:rPr>
          <w:noProof/>
        </w:rPr>
        <w:t>Predloženi instrument: uredba.</w:t>
      </w:r>
    </w:p>
    <w:p>
      <w:pPr>
        <w:pBdr>
          <w:top w:val="nil"/>
          <w:left w:val="nil"/>
          <w:bottom w:val="nil"/>
          <w:right w:val="nil"/>
          <w:between w:val="nil"/>
          <w:bar w:val="nil"/>
        </w:pBdr>
        <w:tabs>
          <w:tab w:val="left" w:pos="720"/>
        </w:tabs>
        <w:spacing w:before="0" w:after="240"/>
        <w:rPr>
          <w:rFonts w:eastAsia="Calibri"/>
          <w:noProof/>
        </w:rPr>
      </w:pPr>
      <w:r>
        <w:rPr>
          <w:noProof/>
        </w:rPr>
        <w:t xml:space="preserve">Uredba je najprimjereniji instrument s obzirom na ciljeve i sadržaj prijedloga. Važne zajedničke politike EU-a kao što je ZPP ovise o usporedivim, usklađenim i visokokvalitetnim poljoprivrednim statistikama na europskoj razini. To se najbolje može osigurati uredbama, koje su izravno primjenjive u državama članicama i koje nije potrebno prethodno prenijeti u nacionalno pravo. </w:t>
      </w:r>
    </w:p>
    <w:p>
      <w:pPr>
        <w:pStyle w:val="ManualHeading1"/>
        <w:rPr>
          <w:noProof/>
        </w:rPr>
      </w:pPr>
      <w:r>
        <w:rPr>
          <w:noProof/>
        </w:rPr>
        <w:t>3.</w:t>
      </w:r>
      <w:r>
        <w:rPr>
          <w:noProof/>
        </w:rPr>
        <w:tab/>
        <w:t xml:space="preserve">REZULTATI </w:t>
      </w:r>
      <w:r>
        <w:rPr>
          <w:i/>
          <w:iCs/>
          <w:noProof/>
        </w:rPr>
        <w:t>EX POST</w:t>
      </w:r>
      <w:r>
        <w:rPr>
          <w:noProof/>
        </w:rPr>
        <w:t xml:space="preserve"> EVALUACIJA, SAVJETOVANJA S DIONICIMA I PROCJENA UČINKA</w:t>
      </w:r>
    </w:p>
    <w:p>
      <w:pPr>
        <w:pStyle w:val="ManualHeading2"/>
        <w:rPr>
          <w:rFonts w:eastAsia="Arial Unicode MS"/>
          <w:noProof/>
          <w:u w:color="000000"/>
          <w:bdr w:val="nil"/>
        </w:rPr>
      </w:pPr>
      <w:r>
        <w:rPr>
          <w:noProof/>
          <w:u w:color="000000"/>
          <w:bdr w:val="nil"/>
        </w:rPr>
        <w:t>•</w:t>
      </w:r>
      <w:r>
        <w:rPr>
          <w:noProof/>
        </w:rPr>
        <w:tab/>
      </w:r>
      <w:r>
        <w:rPr>
          <w:i/>
          <w:noProof/>
          <w:u w:color="000000"/>
          <w:bdr w:val="nil"/>
        </w:rPr>
        <w:t>Ex post</w:t>
      </w:r>
      <w:r>
        <w:rPr>
          <w:noProof/>
          <w:u w:color="000000"/>
          <w:bdr w:val="nil"/>
        </w:rPr>
        <w:t xml:space="preserve"> evaluacije/provjere primjerenosti postojećeg zakonodavstva</w:t>
      </w:r>
    </w:p>
    <w:p>
      <w:pPr>
        <w:pBdr>
          <w:top w:val="nil"/>
          <w:left w:val="nil"/>
          <w:bottom w:val="nil"/>
          <w:right w:val="nil"/>
          <w:between w:val="nil"/>
          <w:bar w:val="nil"/>
        </w:pBdr>
        <w:tabs>
          <w:tab w:val="left" w:pos="720"/>
        </w:tabs>
        <w:spacing w:before="0" w:after="240"/>
        <w:rPr>
          <w:rFonts w:eastAsia="Arial Unicode MS"/>
          <w:noProof/>
        </w:rPr>
      </w:pPr>
      <w:r>
        <w:rPr>
          <w:noProof/>
        </w:rPr>
        <w:t xml:space="preserve">Evaluacijom Europskog sustava poljoprivredne statistike za strategiju za poljoprivrednu statistiku za 2020. i nadalje istaknuta je potreba za sustavnijim pristupom u svim područjima.  </w:t>
      </w:r>
    </w:p>
    <w:p>
      <w:pPr>
        <w:pBdr>
          <w:top w:val="nil"/>
          <w:left w:val="nil"/>
          <w:bottom w:val="nil"/>
          <w:right w:val="nil"/>
          <w:between w:val="nil"/>
          <w:bar w:val="nil"/>
        </w:pBdr>
        <w:tabs>
          <w:tab w:val="left" w:pos="720"/>
        </w:tabs>
        <w:spacing w:before="0" w:after="240"/>
        <w:rPr>
          <w:rFonts w:eastAsia="Arial Unicode MS"/>
          <w:noProof/>
        </w:rPr>
      </w:pPr>
      <w:r>
        <w:rPr>
          <w:noProof/>
        </w:rPr>
        <w:t>Evaluacija poljoprivrednih statistika pokazala je sljedeće:</w:t>
      </w:r>
    </w:p>
    <w:p>
      <w:pPr>
        <w:pStyle w:val="Bullet0"/>
        <w:rPr>
          <w:noProof/>
        </w:rPr>
      </w:pPr>
      <w:r>
        <w:rPr>
          <w:noProof/>
        </w:rPr>
        <w:t xml:space="preserve">sadašnjim zakonodavstvom o poljoprivrednoj statistici ne mogu se na odgovarajući način ispuniti nove i nadolazeće potrebe za podacima jer njihovo ispunjavanje nije </w:t>
      </w:r>
      <w:r>
        <w:rPr>
          <w:noProof/>
        </w:rPr>
        <w:lastRenderedPageBreak/>
        <w:t>uključeno u to zakonodavstvo. Osim toga, pravni akti nisu dovoljno fleksibilni ni integrirani da bi se njima pravodobno odgovorilo na nove potrebe,</w:t>
      </w:r>
    </w:p>
    <w:p>
      <w:pPr>
        <w:pStyle w:val="Bullet0"/>
        <w:rPr>
          <w:noProof/>
        </w:rPr>
      </w:pPr>
      <w:r>
        <w:rPr>
          <w:noProof/>
        </w:rPr>
        <w:t>EASS nije dovoljno fleksibilan i ne reagira dovoljno brzo na nadolazeće potrebe, dijelom zbog svojstvenog funkcioniranja statistike i načina na koji su oblikovani propisi, ali i zbog nedostatka proračunskih sredstava i ljudskih resursa,</w:t>
      </w:r>
    </w:p>
    <w:p>
      <w:pPr>
        <w:pStyle w:val="Bullet0"/>
        <w:rPr>
          <w:noProof/>
        </w:rPr>
      </w:pPr>
      <w:r>
        <w:rPr>
          <w:noProof/>
        </w:rPr>
        <w:t>prikupljanja podataka nisu usklađena i dosljedna u zadovoljavajućoj mjeri jer se pojavljuju nove potrebe za podacima, zakonodavstvo se dugo razvijalo odvojeno, a u različitim poljoprivrednim područjima katkad se upotrebljavaju različite definicije i koncepti,</w:t>
      </w:r>
    </w:p>
    <w:p>
      <w:pPr>
        <w:pStyle w:val="Bullet0"/>
        <w:rPr>
          <w:noProof/>
        </w:rPr>
      </w:pPr>
      <w:r>
        <w:rPr>
          <w:noProof/>
        </w:rPr>
        <w:t>statistika bi se mogla učinkovitije izrađivati ako se zakonodavstvo prilagodi tako da se omogući upotreba različitih izvora informacija i ako se države članice prilagode modernoj tehnologiji.</w:t>
      </w:r>
    </w:p>
    <w:p>
      <w:pPr>
        <w:tabs>
          <w:tab w:val="left" w:pos="720"/>
        </w:tabs>
        <w:rPr>
          <w:rFonts w:eastAsia="Calibri"/>
          <w:noProof/>
        </w:rPr>
      </w:pPr>
      <w:r>
        <w:rPr>
          <w:noProof/>
        </w:rPr>
        <w:t>Za potrebe evaluacije provedeno je javno savjetovanje, a rezultati su podrobno opisani u zasebnom izvješću</w:t>
      </w:r>
      <w:r>
        <w:rPr>
          <w:rStyle w:val="FootnoteReference"/>
          <w:noProof/>
        </w:rPr>
        <w:footnoteReference w:id="9"/>
      </w:r>
      <w:r>
        <w:rPr>
          <w:noProof/>
        </w:rPr>
        <w:t>.</w:t>
      </w:r>
    </w:p>
    <w:p>
      <w:pPr>
        <w:pBdr>
          <w:top w:val="nil"/>
          <w:left w:val="nil"/>
          <w:bottom w:val="nil"/>
          <w:right w:val="nil"/>
          <w:between w:val="nil"/>
          <w:bar w:val="nil"/>
        </w:pBdr>
        <w:tabs>
          <w:tab w:val="left" w:pos="720"/>
        </w:tabs>
        <w:spacing w:before="0" w:after="240"/>
        <w:rPr>
          <w:rFonts w:eastAsia="Arial Unicode MS"/>
          <w:noProof/>
        </w:rPr>
      </w:pPr>
      <w:r>
        <w:rPr>
          <w:noProof/>
        </w:rPr>
        <w:t xml:space="preserve">U naknadnoj strategiji za poljoprivrednu statistiku zaključeno je da poljoprivredna statistika treba biti oblikovana i funkcionirati kao sustav čiji su dijelovi međusobno usklađeni i čiji su rezultati značajniji od njihova zbroja. Poljoprivredna statistika mora se usto bez poteškoća uklopiti u cijeli ESS. Izvori podataka trebaju biti raznovrsni. Ako je moguće, trebaju se upotrebljavati i drugi izvori podataka; potrebno je integrirati informacijske i komunikacijske tehnologije (IKT) i druge nove tehnologije (npr. velike količine podataka, inovacije koje se temelje na istraživanjima); moraju se ocijeniti djelotvornost i učinkovitost metoda prikupljanja podataka u odnosu na potrebe za podacima i kriterije kvalitete, a postojeće okomite tokove informacija trebalo bi ukloniti. </w:t>
      </w:r>
    </w:p>
    <w:p>
      <w:pPr>
        <w:pStyle w:val="ManualHeading2"/>
        <w:rPr>
          <w:rFonts w:eastAsia="Arial Unicode MS"/>
          <w:noProof/>
          <w:u w:color="000000"/>
          <w:bdr w:val="nil"/>
        </w:rPr>
      </w:pPr>
      <w:r>
        <w:rPr>
          <w:noProof/>
          <w:u w:color="000000"/>
          <w:bdr w:val="nil"/>
        </w:rPr>
        <w:t>•</w:t>
      </w:r>
      <w:r>
        <w:rPr>
          <w:noProof/>
        </w:rPr>
        <w:tab/>
      </w:r>
      <w:r>
        <w:rPr>
          <w:noProof/>
          <w:u w:color="000000"/>
          <w:bdr w:val="nil"/>
        </w:rPr>
        <w:t>Savjetovanja s dionicima</w:t>
      </w:r>
    </w:p>
    <w:p>
      <w:pPr>
        <w:pBdr>
          <w:top w:val="nil"/>
          <w:left w:val="nil"/>
          <w:bottom w:val="nil"/>
          <w:right w:val="nil"/>
          <w:between w:val="nil"/>
          <w:bar w:val="nil"/>
        </w:pBdr>
        <w:tabs>
          <w:tab w:val="left" w:pos="720"/>
        </w:tabs>
        <w:spacing w:before="0" w:after="240"/>
        <w:rPr>
          <w:rFonts w:eastAsia="Arial Unicode MS"/>
          <w:noProof/>
        </w:rPr>
      </w:pPr>
      <w:r>
        <w:rPr>
          <w:noProof/>
        </w:rPr>
        <w:t>Eurostat razvija, izrađuje i diseminira europske poljoprivredne statistike u okviru bliske, koordinirane i redovite suradnje u ESS-u, koja se temelji na dugotrajnom partnerstvu s nacionalnim zavodima za statistiku (NZS) i drugim relevantnim tijelima.</w:t>
      </w:r>
    </w:p>
    <w:p>
      <w:pPr>
        <w:pBdr>
          <w:top w:val="nil"/>
          <w:left w:val="nil"/>
          <w:bottom w:val="nil"/>
          <w:right w:val="nil"/>
          <w:between w:val="nil"/>
          <w:bar w:val="nil"/>
        </w:pBdr>
        <w:tabs>
          <w:tab w:val="left" w:pos="720"/>
        </w:tabs>
        <w:spacing w:before="0" w:after="240"/>
        <w:rPr>
          <w:rFonts w:eastAsia="Arial Unicode MS"/>
          <w:noProof/>
        </w:rPr>
      </w:pPr>
      <w:r>
        <w:rPr>
          <w:noProof/>
        </w:rPr>
        <w:t xml:space="preserve">Ukupno gledajući i s obzirom na „Strategiju za poljoprivrednu statistiku za 2020. i nadalje”, glavne kategorije dionika europske poljoprivredne statistike uključuju izrađivače podataka (NZS-i i druga nacionalna tijela te Eurostat), davatelje podataka (poljoprivrednici, organizacije poljoprivrednika i poduzeća) i korisnike (istraživači, novinari te javni i privatni donositelji odluka, posebno ostali odjeli Komisije). S tim je dionicima obavljeno iscrpno savjetovanje o problemima i željenim promjenama trenutačnog stanja, njihovim potrebama za podacima i prioritetima, mogućnostima politike za rješavanje problema, učincima predloženih mjera, a posebno o oblikovanju strategije. Glavni forumi za savjetovanja bili su i. sastanci i seminari Stalnog odbora za poljoprivrednu statistiku (CPSA) i njegova nasljednika, skupine direktora za poljoprivrednu statistiku (DGAS) (čiji su članovi direktori poljoprivredne statistike u NZS-ima), na kojima su odjeli Komisije, međunarodne organizacije i organizacije poljoprivrednika vrlo aktivni; ii. sastanci Odbora za europski statistički sustav (čiji su članovi direktori NZS-a) te iii. savjetovanja i saslušanja koja se redovito održavaju u odjelima Komisije. Nadalje, plan prijedloga o statistici poljoprivrednih inputa i outputa bio je četiri </w:t>
      </w:r>
      <w:r>
        <w:rPr>
          <w:noProof/>
        </w:rPr>
        <w:lastRenderedPageBreak/>
        <w:t>tjedna prisutan na platformi Europske komisije „Iznesite svoje mišljenje” i u tom je razdoblju bilo moguće iznijeti povratne informacije.</w:t>
      </w:r>
    </w:p>
    <w:p>
      <w:pPr>
        <w:pBdr>
          <w:top w:val="nil"/>
          <w:left w:val="nil"/>
          <w:bottom w:val="nil"/>
          <w:right w:val="nil"/>
          <w:between w:val="nil"/>
          <w:bar w:val="nil"/>
        </w:pBdr>
        <w:tabs>
          <w:tab w:val="left" w:pos="720"/>
        </w:tabs>
        <w:spacing w:before="0" w:after="240"/>
        <w:rPr>
          <w:rFonts w:eastAsia="Arial Unicode MS"/>
          <w:noProof/>
        </w:rPr>
      </w:pPr>
      <w:r>
        <w:rPr>
          <w:noProof/>
        </w:rPr>
        <w:t>Rezultati svih savjetovanja uzeti su u obzir u prethodno navedenoj evaluaciji i u svim fazama izrade prijedloga.</w:t>
      </w:r>
    </w:p>
    <w:p>
      <w:pPr>
        <w:pStyle w:val="ManualHeading2"/>
        <w:rPr>
          <w:rFonts w:eastAsia="Arial Unicode MS"/>
          <w:noProof/>
          <w:u w:color="000000"/>
          <w:bdr w:val="nil"/>
        </w:rPr>
      </w:pPr>
      <w:r>
        <w:rPr>
          <w:noProof/>
          <w:u w:color="000000"/>
          <w:bdr w:val="nil"/>
        </w:rPr>
        <w:t>•</w:t>
      </w:r>
      <w:r>
        <w:rPr>
          <w:noProof/>
        </w:rPr>
        <w:tab/>
      </w:r>
      <w:r>
        <w:rPr>
          <w:noProof/>
          <w:u w:color="000000"/>
          <w:bdr w:val="nil"/>
        </w:rPr>
        <w:t>Prikupljanje i primjena stručnog znanja</w:t>
      </w:r>
    </w:p>
    <w:p>
      <w:pPr>
        <w:pBdr>
          <w:top w:val="nil"/>
          <w:left w:val="nil"/>
          <w:bottom w:val="nil"/>
          <w:right w:val="nil"/>
          <w:between w:val="nil"/>
          <w:bar w:val="nil"/>
        </w:pBdr>
        <w:tabs>
          <w:tab w:val="left" w:pos="720"/>
        </w:tabs>
        <w:spacing w:before="0" w:after="240"/>
        <w:rPr>
          <w:rFonts w:eastAsia="Arial Unicode MS"/>
          <w:noProof/>
        </w:rPr>
      </w:pPr>
      <w:r>
        <w:rPr>
          <w:noProof/>
        </w:rPr>
        <w:t xml:space="preserve">Eurostat je održao iscrpne rasprave o sadržaju prijedloga s NZS-ima u okviru posebnih i postojećih stručnih skupina, među ostalim na direktorskoj razini. </w:t>
      </w:r>
    </w:p>
    <w:p>
      <w:pPr>
        <w:pBdr>
          <w:top w:val="nil"/>
          <w:left w:val="nil"/>
          <w:bottom w:val="nil"/>
          <w:right w:val="nil"/>
          <w:between w:val="nil"/>
          <w:bar w:val="nil"/>
        </w:pBdr>
        <w:tabs>
          <w:tab w:val="left" w:pos="720"/>
        </w:tabs>
        <w:spacing w:before="0" w:after="240"/>
        <w:rPr>
          <w:rFonts w:eastAsia="Arial Unicode MS"/>
          <w:noProof/>
        </w:rPr>
      </w:pPr>
      <w:r>
        <w:rPr>
          <w:noProof/>
        </w:rPr>
        <w:t xml:space="preserve">Prijedlog je u listopadu 2020. predstavljen i Odboru za europski statistički sustav. </w:t>
      </w:r>
    </w:p>
    <w:p>
      <w:pPr>
        <w:pStyle w:val="ManualHeading2"/>
        <w:rPr>
          <w:rFonts w:eastAsia="Arial Unicode MS"/>
          <w:noProof/>
          <w:u w:color="000000"/>
          <w:bdr w:val="nil"/>
        </w:rPr>
      </w:pPr>
      <w:r>
        <w:rPr>
          <w:noProof/>
          <w:u w:color="000000"/>
          <w:bdr w:val="nil"/>
        </w:rPr>
        <w:t>•</w:t>
      </w:r>
      <w:r>
        <w:rPr>
          <w:noProof/>
        </w:rPr>
        <w:tab/>
      </w:r>
      <w:r>
        <w:rPr>
          <w:noProof/>
          <w:u w:color="000000"/>
          <w:bdr w:val="nil"/>
        </w:rPr>
        <w:t>Procjena učinka</w:t>
      </w:r>
    </w:p>
    <w:p>
      <w:pPr>
        <w:pBdr>
          <w:top w:val="nil"/>
          <w:left w:val="nil"/>
          <w:bottom w:val="nil"/>
          <w:right w:val="nil"/>
          <w:between w:val="nil"/>
          <w:bar w:val="nil"/>
        </w:pBdr>
        <w:tabs>
          <w:tab w:val="left" w:pos="720"/>
        </w:tabs>
        <w:rPr>
          <w:rFonts w:eastAsia="Calibri"/>
          <w:noProof/>
        </w:rPr>
      </w:pPr>
      <w:r>
        <w:rPr>
          <w:noProof/>
        </w:rPr>
        <w:t>Procjena učinka strategije za poljoprivrednu statistiku za 2020. i nadalje</w:t>
      </w:r>
      <w:r>
        <w:rPr>
          <w:rStyle w:val="FootnoteReference"/>
          <w:noProof/>
        </w:rPr>
        <w:footnoteReference w:id="10"/>
      </w:r>
      <w:r>
        <w:rPr>
          <w:noProof/>
        </w:rPr>
        <w:t>, koju čini i statistika poljoprivrednih inputa i outputa, dobila je pozitivno mišljenje Odbora za nadzor regulative</w:t>
      </w:r>
      <w:r>
        <w:rPr>
          <w:rStyle w:val="FootnoteReference"/>
          <w:noProof/>
        </w:rPr>
        <w:footnoteReference w:id="11"/>
      </w:r>
      <w:r>
        <w:rPr>
          <w:noProof/>
        </w:rPr>
        <w:t>.</w:t>
      </w:r>
    </w:p>
    <w:p>
      <w:pPr>
        <w:pBdr>
          <w:top w:val="nil"/>
          <w:left w:val="nil"/>
          <w:bottom w:val="nil"/>
          <w:right w:val="nil"/>
          <w:between w:val="nil"/>
          <w:bar w:val="nil"/>
        </w:pBdr>
        <w:tabs>
          <w:tab w:val="left" w:pos="720"/>
        </w:tabs>
        <w:spacing w:before="0" w:after="240"/>
        <w:rPr>
          <w:rFonts w:eastAsia="Calibri"/>
          <w:noProof/>
          <w:szCs w:val="24"/>
        </w:rPr>
      </w:pPr>
      <w:r>
        <w:rPr>
          <w:noProof/>
        </w:rPr>
        <w:t xml:space="preserve">Ta procjena učinka provedena je na razini strategije radi sustavnog pristupa u čitavom sustavu poljoprivredne statistike kako bi se osigurala međusobna usklađenost svih dijelova.  </w:t>
      </w:r>
    </w:p>
    <w:p>
      <w:pPr>
        <w:pBdr>
          <w:top w:val="nil"/>
          <w:left w:val="nil"/>
          <w:bottom w:val="nil"/>
          <w:right w:val="nil"/>
          <w:between w:val="nil"/>
          <w:bar w:val="nil"/>
        </w:pBdr>
        <w:tabs>
          <w:tab w:val="left" w:pos="720"/>
        </w:tabs>
        <w:spacing w:before="0" w:after="240"/>
        <w:rPr>
          <w:rFonts w:eastAsia="Calibri"/>
          <w:noProof/>
          <w:szCs w:val="24"/>
        </w:rPr>
      </w:pPr>
      <w:r>
        <w:rPr>
          <w:noProof/>
        </w:rPr>
        <w:t>Razmotrene su četiri glavne mogućnosti:</w:t>
      </w:r>
    </w:p>
    <w:p>
      <w:pPr>
        <w:pStyle w:val="Point0"/>
        <w:rPr>
          <w:noProof/>
        </w:rPr>
      </w:pPr>
      <w:r>
        <w:t>(1)</w:t>
      </w:r>
      <w:r>
        <w:tab/>
      </w:r>
      <w:r>
        <w:rPr>
          <w:noProof/>
        </w:rPr>
        <w:t xml:space="preserve">osnovni scenarij – EU ne poduzima mjere u području strukturnih podataka o poljoprivredi: time bi prikupljanje podataka bilo prepušteno državama članicama, što bi rezultiralo mnoštvom različitih pristupa i kvaliteta; </w:t>
      </w:r>
    </w:p>
    <w:p>
      <w:pPr>
        <w:pStyle w:val="Point0"/>
        <w:rPr>
          <w:noProof/>
        </w:rPr>
      </w:pPr>
      <w:r>
        <w:t>(2)</w:t>
      </w:r>
      <w:r>
        <w:tab/>
      </w:r>
      <w:r>
        <w:rPr>
          <w:noProof/>
        </w:rPr>
        <w:t>produljenje Uredbe (EZ) br. 1166/2008: tom bi se opcijom zadržalo trenutačno stanje;</w:t>
      </w:r>
    </w:p>
    <w:p>
      <w:pPr>
        <w:pStyle w:val="Point0"/>
        <w:rPr>
          <w:noProof/>
        </w:rPr>
      </w:pPr>
      <w:r>
        <w:t>(3)</w:t>
      </w:r>
      <w:r>
        <w:tab/>
      </w:r>
      <w:r>
        <w:rPr>
          <w:noProof/>
        </w:rPr>
        <w:t>jedinstveni pravni okvir za sve poljoprivredne statistike: ovom bi se mogućnošću prikupljanje svih statističkih podataka o poljoprivredi integriralo u jedinstvenu novu okvirnu uredbu;</w:t>
      </w:r>
    </w:p>
    <w:p>
      <w:pPr>
        <w:pStyle w:val="Point0"/>
        <w:rPr>
          <w:noProof/>
        </w:rPr>
      </w:pPr>
      <w:r>
        <w:t>(4)</w:t>
      </w:r>
      <w:r>
        <w:tab/>
      </w:r>
      <w:r>
        <w:rPr>
          <w:noProof/>
        </w:rPr>
        <w:t>integracija poljoprivredne statistike u dva koraka: time bi se zadržale prednosti 3. mogućnosti uz istodobno povećanje fleksibilnosti i smanjenje pritiska zbog vremenskih rokova jer bi se donijele dvije nove okvirne uredbe u dvjema zasebnim fazama.</w:t>
      </w:r>
    </w:p>
    <w:p>
      <w:pPr>
        <w:pBdr>
          <w:top w:val="nil"/>
          <w:left w:val="nil"/>
          <w:bottom w:val="nil"/>
          <w:right w:val="nil"/>
          <w:between w:val="nil"/>
          <w:bar w:val="nil"/>
        </w:pBdr>
        <w:tabs>
          <w:tab w:val="left" w:pos="720"/>
        </w:tabs>
        <w:spacing w:before="0" w:after="240"/>
        <w:rPr>
          <w:rFonts w:eastAsia="Calibri"/>
          <w:noProof/>
          <w:szCs w:val="24"/>
        </w:rPr>
      </w:pPr>
      <w:r>
        <w:rPr>
          <w:noProof/>
        </w:rPr>
        <w:t>Odabrana je četvrta mogućnost jer se njome nudi najbolji način za postizanje ciljeva.</w:t>
      </w:r>
    </w:p>
    <w:p>
      <w:pPr>
        <w:pBdr>
          <w:top w:val="nil"/>
          <w:left w:val="nil"/>
          <w:bottom w:val="nil"/>
          <w:right w:val="nil"/>
          <w:between w:val="nil"/>
          <w:bar w:val="nil"/>
        </w:pBdr>
        <w:tabs>
          <w:tab w:val="left" w:pos="720"/>
        </w:tabs>
        <w:spacing w:before="0" w:after="240"/>
        <w:rPr>
          <w:rFonts w:eastAsia="Calibri"/>
          <w:noProof/>
          <w:szCs w:val="24"/>
        </w:rPr>
      </w:pPr>
      <w:r>
        <w:rPr>
          <w:noProof/>
        </w:rPr>
        <w:t xml:space="preserve">U procjeni učinka zaključeno je da je najpoželjnija opcija da EASS u konačnici bude obuhvaćen trima uredbama. Dvije bi bile nove i zamijenile nekoliko starijih uredbi EU-a o </w:t>
      </w:r>
      <w:r>
        <w:rPr>
          <w:noProof/>
        </w:rPr>
        <w:lastRenderedPageBreak/>
        <w:t>poljoprivrednoj statistici. Prva od njih, Uredba (EU) 2018/1091 o integriranoj statistici na razini poljoprivrednih gospodarstava (IFS), kojom su obuhvaćeni podaci o strukturi poljoprivrednih gospodarstava, voćnjaka i vinograda, donesena je 2018. Druga je ovaj prijedlog uredbe o statistici poljoprivrednih inputa i outputa kojim su obuhvaćeni inputi i outputi poljoprivrednog sektora: poljoprivredna proizvodnja (biljna i stočna), među ostalim ekološka poljoprivreda, cijene u poljoprivredi, hranjiva i sredstva za zaštitu bilja. Trećom uredbom, kako je navedena u procjeni učinka, izmijenit će se Uredba (EZ) br. 138/2004 o ekonomskim računima u poljoprivredi (ERP). Budući da su ERP-i satelitski računi nacionalnih računa i da su makroekonomskog karaktera, nije predloženo njihovo uključivanje u nove okvirne uredbe. Umjesto toga, predloženo je da i dalje podliježu nezavisnom zakonodavstvu, kao što je to bio slučaj kad je Uredba o ERP-ima tek stupila na snagu 2004., i da se moderniziraju istodobno s razvojem statistike poljoprivrednih inputa i outputa.</w:t>
      </w:r>
    </w:p>
    <w:p>
      <w:pPr>
        <w:pBdr>
          <w:top w:val="nil"/>
          <w:left w:val="nil"/>
          <w:bottom w:val="nil"/>
          <w:right w:val="nil"/>
          <w:between w:val="nil"/>
          <w:bar w:val="nil"/>
        </w:pBdr>
        <w:tabs>
          <w:tab w:val="left" w:pos="720"/>
        </w:tabs>
        <w:spacing w:before="0" w:after="240"/>
        <w:rPr>
          <w:rFonts w:eastAsia="Calibri"/>
          <w:noProof/>
          <w:szCs w:val="24"/>
        </w:rPr>
      </w:pPr>
      <w:r>
        <w:rPr>
          <w:noProof/>
        </w:rPr>
        <w:t xml:space="preserve">Statističko zakonodavstvo prvenstveno je upravno zakonodavstvo kojim se utječe na korisnike podataka (uglavnom odjeli Komisije koji rade na politikama), izrađivače podataka (NZS-i) i davatelje podataka (poljoprivrednici). Stoga ima ograničen učinak na gospodarstvo, društvo i okoliš. Glavni izravni troškovi za dionike povezani su s prilagođavanjem novim statističkim i tehničkim sustavima. Očekivalo se da će mjere modernizacije u srednjoročnom do dugoročnom razdoblju dovesti do nešto nižeg opterećenja i uštede troškova. Većina ušteda ostvarila bi se zbog smanjenih zahtjeva opsega primjene Uredbe (EU) 2018/1091. Troškovi statistike moraju se razmotriti u odnosu na društvene koristi, ali i u odnosu na troškove u slučaju nepostojanja statistike ili postojanja samo niskokvalitetne statistike. </w:t>
      </w:r>
    </w:p>
    <w:p>
      <w:pPr>
        <w:pStyle w:val="ManualHeading2"/>
        <w:rPr>
          <w:rFonts w:eastAsia="Arial Unicode MS"/>
          <w:noProof/>
          <w:u w:color="000000"/>
          <w:bdr w:val="nil"/>
        </w:rPr>
      </w:pPr>
      <w:r>
        <w:rPr>
          <w:noProof/>
          <w:u w:color="000000"/>
          <w:bdr w:val="nil"/>
        </w:rPr>
        <w:t>•</w:t>
      </w:r>
      <w:r>
        <w:rPr>
          <w:noProof/>
        </w:rPr>
        <w:tab/>
      </w:r>
      <w:r>
        <w:rPr>
          <w:noProof/>
          <w:u w:color="000000"/>
          <w:bdr w:val="nil"/>
        </w:rPr>
        <w:t>Primjerenost i pojednostavnjenje propisa</w:t>
      </w:r>
    </w:p>
    <w:p>
      <w:pPr>
        <w:pBdr>
          <w:top w:val="nil"/>
          <w:left w:val="nil"/>
          <w:bottom w:val="nil"/>
          <w:right w:val="nil"/>
          <w:between w:val="nil"/>
          <w:bar w:val="nil"/>
        </w:pBdr>
        <w:tabs>
          <w:tab w:val="left" w:pos="720"/>
        </w:tabs>
        <w:spacing w:before="0" w:after="240"/>
        <w:rPr>
          <w:rFonts w:eastAsia="Arial Unicode MS"/>
          <w:noProof/>
        </w:rPr>
      </w:pPr>
      <w:r>
        <w:rPr>
          <w:noProof/>
        </w:rPr>
        <w:t xml:space="preserve">Ovaj je prijedlog dio strategije za poljoprivrednu statistiku za 2020. i nadalje, važnog programa modernizacije poljoprivredne statistike Europske unije koji provodi Europska komisija u bliskoj suradnji s državama članicama EU-a. Tom se strategijom prije svega želi pojednostavniti i poboljšati EASS; podupire je i Odbor za europski statistički sustav te je dio Programa za primjerenost i učinkovitost propisa (REFIT), kojim se nastoji pojednostavniti i poboljšati EASS. </w:t>
      </w:r>
    </w:p>
    <w:p>
      <w:pPr>
        <w:pBdr>
          <w:top w:val="nil"/>
          <w:left w:val="nil"/>
          <w:bottom w:val="nil"/>
          <w:right w:val="nil"/>
          <w:between w:val="nil"/>
          <w:bar w:val="nil"/>
        </w:pBdr>
        <w:tabs>
          <w:tab w:val="left" w:pos="720"/>
        </w:tabs>
        <w:spacing w:before="0" w:after="240"/>
        <w:rPr>
          <w:rFonts w:eastAsia="Arial Unicode MS"/>
          <w:noProof/>
        </w:rPr>
      </w:pPr>
      <w:r>
        <w:rPr>
          <w:noProof/>
        </w:rPr>
        <w:t xml:space="preserve">Poljoprivredna statistika trenutačno se temelji na nekoliko različitih zakonodavnih akata i sporazuma. Trebalo bi ih objediniti kako bi se razvio sustavan pristup. Time će se pojednostavniti sustavi koji služe za prikupljanje statističkih podataka. Postoje i planovi kojima bi se omogućila upotreba različitih izvora podataka, među ostalim daljinsko istraživanje, čime bi se smanjilo opterećenje davateljâ podataka. </w:t>
      </w:r>
    </w:p>
    <w:p>
      <w:pPr>
        <w:pBdr>
          <w:top w:val="nil"/>
          <w:left w:val="nil"/>
          <w:bottom w:val="nil"/>
          <w:right w:val="nil"/>
          <w:between w:val="nil"/>
          <w:bar w:val="nil"/>
        </w:pBdr>
        <w:tabs>
          <w:tab w:val="left" w:pos="720"/>
        </w:tabs>
        <w:spacing w:before="0" w:after="240"/>
        <w:rPr>
          <w:rFonts w:eastAsia="Arial Unicode MS"/>
          <w:noProof/>
        </w:rPr>
      </w:pPr>
      <w:r>
        <w:rPr>
          <w:noProof/>
        </w:rPr>
        <w:t xml:space="preserve">Ovim je prijedlogom obuhvaćena ukupna poljoprivredna proizvodnja (biljna i stočna), koja uključuje ekološku poljoprivredu, cijene u poljoprivredi, hranjiva i sredstva za zaštitu bilja. Radi se o poljoprivrednim inputima (cijene sjemena, pesticida, hrane za životinje itd.) i outputima (proizvodnja i cijene bilja i životinja). Podaci se mogu prikupljati na poljoprivrednim gospodarstvima, iz administrativnih izvora, od posrednika (mljekare itd.), subjekata za trgovinu na veliko i tržišnih organizacija, a često obuhvaćaju i određen stupanj stručnih procjena. Uvođenjem dosljednog okvira ponajprije će se omogućiti razvoj integrirane pravne arhitekture, ali i boljeg planiranja i usklađenosti istraživanja i drugih oblika prikupljanja podataka. </w:t>
      </w:r>
    </w:p>
    <w:p>
      <w:pPr>
        <w:pStyle w:val="ManualHeading2"/>
        <w:rPr>
          <w:rFonts w:eastAsia="Arial Unicode MS"/>
          <w:noProof/>
          <w:u w:color="000000"/>
          <w:bdr w:val="nil"/>
        </w:rPr>
      </w:pPr>
      <w:r>
        <w:rPr>
          <w:noProof/>
          <w:u w:color="000000"/>
          <w:bdr w:val="nil"/>
        </w:rPr>
        <w:t>•</w:t>
      </w:r>
      <w:r>
        <w:rPr>
          <w:noProof/>
        </w:rPr>
        <w:tab/>
      </w:r>
      <w:r>
        <w:rPr>
          <w:noProof/>
          <w:u w:color="000000"/>
          <w:bdr w:val="nil"/>
        </w:rPr>
        <w:t>Temeljna prava</w:t>
      </w:r>
    </w:p>
    <w:p>
      <w:pPr>
        <w:pBdr>
          <w:top w:val="nil"/>
          <w:left w:val="nil"/>
          <w:bottom w:val="nil"/>
          <w:right w:val="nil"/>
          <w:between w:val="nil"/>
          <w:bar w:val="nil"/>
        </w:pBdr>
        <w:tabs>
          <w:tab w:val="left" w:pos="720"/>
        </w:tabs>
        <w:spacing w:before="0" w:after="240"/>
        <w:rPr>
          <w:rFonts w:eastAsia="Arial Unicode MS"/>
          <w:noProof/>
        </w:rPr>
      </w:pPr>
      <w:r>
        <w:rPr>
          <w:noProof/>
        </w:rPr>
        <w:t xml:space="preserve">Prijedlog ne utječe na zaštitu temeljnih prava. </w:t>
      </w:r>
    </w:p>
    <w:p>
      <w:pPr>
        <w:pStyle w:val="ManualHeading1"/>
        <w:rPr>
          <w:noProof/>
        </w:rPr>
      </w:pPr>
      <w:r>
        <w:rPr>
          <w:noProof/>
        </w:rPr>
        <w:lastRenderedPageBreak/>
        <w:t>4.</w:t>
      </w:r>
      <w:r>
        <w:rPr>
          <w:noProof/>
        </w:rPr>
        <w:tab/>
        <w:t>UTJECAJ NA PRORAČUN</w:t>
      </w:r>
    </w:p>
    <w:p>
      <w:pPr>
        <w:pBdr>
          <w:top w:val="nil"/>
          <w:left w:val="nil"/>
          <w:bottom w:val="nil"/>
          <w:right w:val="nil"/>
          <w:between w:val="nil"/>
          <w:bar w:val="nil"/>
        </w:pBdr>
        <w:tabs>
          <w:tab w:val="left" w:pos="720"/>
        </w:tabs>
        <w:spacing w:before="0" w:after="240"/>
        <w:rPr>
          <w:rFonts w:eastAsia="Calibri"/>
          <w:noProof/>
        </w:rPr>
      </w:pPr>
      <w:r>
        <w:rPr>
          <w:noProof/>
        </w:rPr>
        <w:t xml:space="preserve">Financijski učinak prijedloga neograničenog je trajanja. Prijedlog ne uključuje financiranje prikupljanja redovnih podataka, ali njime se predviđa da Unija sufinancira prikupljanje </w:t>
      </w:r>
      <w:r>
        <w:rPr>
          <w:i/>
          <w:iCs/>
          <w:noProof/>
        </w:rPr>
        <w:t>ad hoc</w:t>
      </w:r>
      <w:r>
        <w:rPr>
          <w:noProof/>
        </w:rPr>
        <w:t xml:space="preserve"> podataka, čiji vremenski raspored nije poznat. Prva prikupljanja </w:t>
      </w:r>
      <w:r>
        <w:rPr>
          <w:i/>
          <w:noProof/>
        </w:rPr>
        <w:t>ad hoc</w:t>
      </w:r>
      <w:r>
        <w:rPr>
          <w:noProof/>
        </w:rPr>
        <w:t xml:space="preserve"> podataka mogu se očekivati najranije dvije godine nakon što planirana uredba stupi na snagu. S obzirom na to da ta prikupljanja podataka nisu unaprijed poznata, ne mogu se dati informacije o njihovu utjecaju na proračun. Jednom kad takva </w:t>
      </w:r>
      <w:r>
        <w:rPr>
          <w:i/>
          <w:noProof/>
        </w:rPr>
        <w:t>ad hoc</w:t>
      </w:r>
      <w:r>
        <w:rPr>
          <w:noProof/>
        </w:rPr>
        <w:t xml:space="preserve"> prikupljanja podataka budu potrebna, predmetni troškovi bit će evaluirani i detaljnije objašnjeni tijekom postupka izrade delegiranih i provedbenih akata te će u svakom slučaju biti pokriveni odobrenim sredstvima koja se dodjeljuju financijskoj omotnici odgovarajućih programa uvrštenih u proračun EU-a. </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Planovi provedbe i mehanizmi praćenja, evaluacije i izvješćivanja</w:t>
      </w:r>
    </w:p>
    <w:p>
      <w:pPr>
        <w:pBdr>
          <w:top w:val="nil"/>
          <w:left w:val="nil"/>
          <w:bottom w:val="nil"/>
          <w:right w:val="nil"/>
          <w:between w:val="nil"/>
          <w:bar w:val="nil"/>
        </w:pBdr>
        <w:tabs>
          <w:tab w:val="left" w:pos="720"/>
        </w:tabs>
        <w:spacing w:before="0" w:after="240"/>
        <w:rPr>
          <w:rFonts w:eastAsia="Arial Unicode MS"/>
          <w:noProof/>
        </w:rPr>
      </w:pPr>
      <w:r>
        <w:rPr>
          <w:noProof/>
        </w:rPr>
        <w:t>Očekuje se da će Europski parlament i Vijeće donijeti predloženu uredbu 2022. i da će Komisija ubrzo nakon toga donijeti provedbene mjere. Uredba će se izravno primjenjivati u svim državama članicama EU-a i neće biti potreban plan provedbe.</w:t>
      </w:r>
    </w:p>
    <w:p>
      <w:pPr>
        <w:pBdr>
          <w:top w:val="nil"/>
          <w:left w:val="nil"/>
          <w:bottom w:val="nil"/>
          <w:right w:val="nil"/>
          <w:between w:val="nil"/>
          <w:bar w:val="nil"/>
        </w:pBdr>
        <w:tabs>
          <w:tab w:val="left" w:pos="720"/>
        </w:tabs>
        <w:spacing w:before="0" w:after="240"/>
        <w:rPr>
          <w:rFonts w:eastAsia="Arial Unicode MS"/>
          <w:noProof/>
        </w:rPr>
      </w:pPr>
      <w:r>
        <w:rPr>
          <w:noProof/>
        </w:rPr>
        <w:t xml:space="preserve">Očekuje se da će države članice 2023. početi dostavljati podatke Komisiji na temelju nove uredbe. </w:t>
      </w:r>
    </w:p>
    <w:p>
      <w:pPr>
        <w:pBdr>
          <w:top w:val="nil"/>
          <w:left w:val="nil"/>
          <w:bottom w:val="nil"/>
          <w:right w:val="nil"/>
          <w:between w:val="nil"/>
          <w:bar w:val="nil"/>
        </w:pBdr>
        <w:tabs>
          <w:tab w:val="left" w:pos="720"/>
        </w:tabs>
        <w:spacing w:before="0" w:after="240"/>
        <w:rPr>
          <w:rFonts w:eastAsia="Arial Unicode MS"/>
          <w:noProof/>
        </w:rPr>
      </w:pPr>
      <w:r>
        <w:rPr>
          <w:noProof/>
        </w:rPr>
        <w:t>Predloženi zakonodavni instrument dio je EASS-a te će se redovito evaluirati kako bi se, među ostalim, procijenilo koliko je učinkovit i djelotvoran u ostvarivanju ciljeva i kako bi se odlučilo jesu li potrebne nove mjere ili izmjene.</w:t>
      </w:r>
    </w:p>
    <w:p>
      <w:pPr>
        <w:pStyle w:val="ManualHeading2"/>
        <w:rPr>
          <w:rFonts w:eastAsia="Arial Unicode MS"/>
          <w:noProof/>
          <w:u w:color="000000"/>
          <w:bdr w:val="nil"/>
        </w:rPr>
      </w:pPr>
      <w:r>
        <w:rPr>
          <w:noProof/>
          <w:u w:color="000000"/>
          <w:bdr w:val="nil"/>
        </w:rPr>
        <w:t>•</w:t>
      </w:r>
      <w:r>
        <w:rPr>
          <w:noProof/>
        </w:rPr>
        <w:tab/>
      </w:r>
      <w:r>
        <w:rPr>
          <w:noProof/>
          <w:u w:color="000000"/>
          <w:bdr w:val="nil"/>
        </w:rPr>
        <w:t>Nadzor usklađenosti izrađenih statistika</w:t>
      </w:r>
    </w:p>
    <w:p>
      <w:pPr>
        <w:pBdr>
          <w:top w:val="nil"/>
          <w:left w:val="nil"/>
          <w:bottom w:val="nil"/>
          <w:right w:val="nil"/>
          <w:between w:val="nil"/>
          <w:bar w:val="nil"/>
        </w:pBdr>
        <w:tabs>
          <w:tab w:val="left" w:pos="720"/>
        </w:tabs>
        <w:spacing w:before="0" w:after="240"/>
        <w:rPr>
          <w:rFonts w:eastAsia="Arial Unicode MS"/>
          <w:noProof/>
        </w:rPr>
      </w:pPr>
      <w:r>
        <w:rPr>
          <w:noProof/>
        </w:rPr>
        <w:t xml:space="preserve">Eurostat provodi redovite procjene usklađenosti. U njih je uključen pregled dostupnosti, kvalitete i točnosti podataka i daljnjeg djelovanja u slučaju neusklađenosti. </w:t>
      </w:r>
    </w:p>
    <w:p>
      <w:pPr>
        <w:pBdr>
          <w:top w:val="nil"/>
          <w:left w:val="nil"/>
          <w:bottom w:val="nil"/>
          <w:right w:val="nil"/>
          <w:between w:val="nil"/>
          <w:bar w:val="nil"/>
        </w:pBdr>
        <w:tabs>
          <w:tab w:val="left" w:pos="720"/>
        </w:tabs>
        <w:spacing w:before="0" w:after="240"/>
        <w:rPr>
          <w:rFonts w:eastAsia="Arial Unicode MS"/>
          <w:noProof/>
        </w:rPr>
      </w:pPr>
      <w:r>
        <w:rPr>
          <w:noProof/>
        </w:rPr>
        <w:t xml:space="preserve">U skladu sa zahtjevima zakonodavstva Unije države članice dužne su Komisiji dostavljati važne podatke o poljoprivrednoj statistici. Ti podaci podliježu strogim rokovima za dostavu koji se moraju poštovati radi dobrog upravljanja europskom statistikom, njezine diseminacije i korisnosti jer se podacima koji nedostaju ili koji su nepotpuni negativno utječe na dostupnost informacija (tj. nije moguće izračunati agregirane podatke Unije i objaviti podatke u planiranim rokovima). </w:t>
      </w:r>
    </w:p>
    <w:p>
      <w:pPr>
        <w:pBdr>
          <w:top w:val="nil"/>
          <w:left w:val="nil"/>
          <w:bottom w:val="nil"/>
          <w:right w:val="nil"/>
          <w:between w:val="nil"/>
          <w:bar w:val="nil"/>
        </w:pBdr>
        <w:tabs>
          <w:tab w:val="left" w:pos="720"/>
        </w:tabs>
        <w:spacing w:before="0" w:after="240"/>
        <w:rPr>
          <w:rFonts w:eastAsia="Arial Unicode MS"/>
          <w:noProof/>
        </w:rPr>
      </w:pPr>
      <w:r>
        <w:rPr>
          <w:noProof/>
        </w:rPr>
        <w:t xml:space="preserve">Uredba (EZ) br. 223/2009 temeljni je pravni okvir za funkcioniranje europskog statističkog sustava i za cjelokupno sektorsko zakonodavstvo za izradu europske statistike. </w:t>
      </w:r>
    </w:p>
    <w:p>
      <w:pPr>
        <w:pBdr>
          <w:top w:val="nil"/>
          <w:left w:val="nil"/>
          <w:bottom w:val="nil"/>
          <w:right w:val="nil"/>
          <w:between w:val="nil"/>
          <w:bar w:val="nil"/>
        </w:pBdr>
        <w:tabs>
          <w:tab w:val="left" w:pos="720"/>
        </w:tabs>
        <w:spacing w:before="0" w:after="240"/>
        <w:rPr>
          <w:rFonts w:eastAsia="Arial Unicode MS"/>
          <w:noProof/>
        </w:rPr>
      </w:pPr>
      <w:r>
        <w:rPr>
          <w:noProof/>
        </w:rPr>
        <w:t>Iako su rokovi, točnost i potpunost već sada važni čimbenici u kontekstu procjena usklađenosti kojima se osigurava pravodobna diseminacija poljoprivrednih statistika, više će se pozornosti posvetiti tim i drugim dimenzijama kvalitete kako bi se osiguralo povjerenje u statistiku koju izrađuju Eurostat i ESS.</w:t>
      </w:r>
    </w:p>
    <w:p>
      <w:pPr>
        <w:pBdr>
          <w:top w:val="nil"/>
          <w:left w:val="nil"/>
          <w:bottom w:val="nil"/>
          <w:right w:val="nil"/>
          <w:between w:val="nil"/>
          <w:bar w:val="nil"/>
        </w:pBdr>
        <w:tabs>
          <w:tab w:val="left" w:pos="720"/>
        </w:tabs>
        <w:spacing w:before="0" w:after="240"/>
        <w:rPr>
          <w:rFonts w:eastAsia="Arial Unicode MS"/>
          <w:b/>
          <w:noProof/>
        </w:rPr>
      </w:pPr>
      <w:r>
        <w:rPr>
          <w:noProof/>
        </w:rPr>
        <w:t>•</w:t>
      </w:r>
      <w:r>
        <w:rPr>
          <w:noProof/>
        </w:rPr>
        <w:tab/>
      </w:r>
      <w:r>
        <w:rPr>
          <w:b/>
          <w:noProof/>
        </w:rPr>
        <w:t>Kontinuirano poboljšanje EASS-a: prepoznavanje novih potreba za podacima i njihovih izvora, poboljšanje usklađenosti, smanjenje opterećenja</w:t>
      </w:r>
    </w:p>
    <w:p>
      <w:pPr>
        <w:pBdr>
          <w:top w:val="nil"/>
          <w:left w:val="nil"/>
          <w:bottom w:val="nil"/>
          <w:right w:val="nil"/>
          <w:between w:val="nil"/>
          <w:bar w:val="nil"/>
        </w:pBdr>
        <w:tabs>
          <w:tab w:val="left" w:pos="720"/>
        </w:tabs>
        <w:spacing w:before="0" w:after="240"/>
        <w:rPr>
          <w:rFonts w:eastAsia="Arial Unicode MS"/>
          <w:noProof/>
        </w:rPr>
      </w:pPr>
      <w:r>
        <w:rPr>
          <w:noProof/>
        </w:rPr>
        <w:t>Eurostat trenutačno provodi godišnja saslušanja s ostalim odjelima Komisije. Važan je dio tih saslušanja razmjena informacija o programima rada. Oni pružaju formalnu platformu za utvrđivanje nadolazećih potreba za novim statistikama i pregled korisnosti raspoloživih statistika.</w:t>
      </w:r>
    </w:p>
    <w:p>
      <w:pPr>
        <w:pBdr>
          <w:top w:val="nil"/>
          <w:left w:val="nil"/>
          <w:bottom w:val="nil"/>
          <w:right w:val="nil"/>
          <w:between w:val="nil"/>
          <w:bar w:val="nil"/>
        </w:pBdr>
        <w:tabs>
          <w:tab w:val="left" w:pos="720"/>
        </w:tabs>
        <w:spacing w:before="0" w:after="240"/>
        <w:rPr>
          <w:rFonts w:eastAsia="Arial Unicode MS"/>
          <w:noProof/>
        </w:rPr>
      </w:pPr>
      <w:r>
        <w:rPr>
          <w:noProof/>
        </w:rPr>
        <w:lastRenderedPageBreak/>
        <w:t>Daljnja suradnja s drugim odjelima Komisije, NZS-ima i drugim nacionalnim tijelima odvijat će se na različitim hijerarhijskim razinama na redovitim sastancima i seminarima stručnih skupina, sastancima skupine direktora, sastancima Odbora za europski statistički sustav i u okviru učestalih bilateralnih razmjena. Posebna će se pozornost posvetiti utvrđivanju administrativnih podataka i drugih izvora informacija koji se prikupljaju na temelju zakonodavstva Unije i procjeni njihove primjerenosti za izradu statistike kako bi se postigli dogovori za njihovu stabilnost, dostupnost i moguću prilagodbu, čime se bolje ispunjavaju statistički zahtjevi. Nadalje, provodit će se periodična statistička istraživanja i analize kako bi se utvrdili potencijali za poboljšanje europske poljoprivredne statistike i smanjenje opterećenja.</w:t>
      </w:r>
    </w:p>
    <w:p>
      <w:pPr>
        <w:pBdr>
          <w:top w:val="nil"/>
          <w:left w:val="nil"/>
          <w:bottom w:val="nil"/>
          <w:right w:val="nil"/>
          <w:between w:val="nil"/>
          <w:bar w:val="nil"/>
        </w:pBdr>
        <w:tabs>
          <w:tab w:val="left" w:pos="720"/>
        </w:tabs>
        <w:spacing w:before="0" w:after="240"/>
        <w:rPr>
          <w:rFonts w:eastAsia="Arial Unicode MS"/>
          <w:noProof/>
        </w:rPr>
      </w:pPr>
      <w:r>
        <w:rPr>
          <w:noProof/>
        </w:rPr>
        <w:t xml:space="preserve">Te prilagodbe i ukupno funkcioniranje pravnog okvira bit će nadzirani i procijenjeni, osobito prema ranije navedenim ciljevima strategije. </w:t>
      </w:r>
    </w:p>
    <w:p>
      <w:pPr>
        <w:pBdr>
          <w:top w:val="nil"/>
          <w:left w:val="nil"/>
          <w:bottom w:val="nil"/>
          <w:right w:val="nil"/>
          <w:between w:val="nil"/>
          <w:bar w:val="nil"/>
        </w:pBdr>
        <w:tabs>
          <w:tab w:val="left" w:pos="720"/>
        </w:tabs>
        <w:spacing w:before="0" w:after="240"/>
        <w:rPr>
          <w:rFonts w:eastAsia="Arial Unicode MS"/>
          <w:b/>
          <w:noProof/>
        </w:rPr>
      </w:pPr>
      <w:r>
        <w:rPr>
          <w:noProof/>
        </w:rPr>
        <w:t>•</w:t>
      </w:r>
      <w:r>
        <w:rPr>
          <w:noProof/>
        </w:rPr>
        <w:tab/>
      </w:r>
      <w:r>
        <w:rPr>
          <w:b/>
          <w:noProof/>
        </w:rPr>
        <w:t>Trogodišnja izvješća o nadzoru</w:t>
      </w:r>
    </w:p>
    <w:p>
      <w:pPr>
        <w:pBdr>
          <w:top w:val="nil"/>
          <w:left w:val="nil"/>
          <w:bottom w:val="nil"/>
          <w:right w:val="nil"/>
          <w:between w:val="nil"/>
          <w:bar w:val="nil"/>
        </w:pBdr>
        <w:tabs>
          <w:tab w:val="left" w:pos="720"/>
        </w:tabs>
        <w:spacing w:before="0" w:after="240"/>
        <w:rPr>
          <w:rFonts w:eastAsia="Arial Unicode MS"/>
          <w:noProof/>
        </w:rPr>
      </w:pPr>
      <w:r>
        <w:rPr>
          <w:noProof/>
        </w:rPr>
        <w:t xml:space="preserve">Kako bi se pratilo funkcioniranje ažuriranog EASS-a i osiguralo da ispunjava REFIT-ove ciljeve pojednostavnjenja i smanjenja opterećenja, svake tri godine provodit će se redovito izvješćivanje o funkcioniranju cjelokupnog sustava. </w:t>
      </w:r>
    </w:p>
    <w:p>
      <w:pPr>
        <w:keepNext/>
        <w:pBdr>
          <w:top w:val="nil"/>
          <w:left w:val="nil"/>
          <w:bottom w:val="nil"/>
          <w:right w:val="nil"/>
          <w:between w:val="nil"/>
          <w:bar w:val="nil"/>
        </w:pBdr>
        <w:tabs>
          <w:tab w:val="left" w:pos="720"/>
        </w:tabs>
        <w:spacing w:before="0" w:after="240"/>
        <w:rPr>
          <w:rFonts w:eastAsia="Arial Unicode MS"/>
          <w:b/>
          <w:noProof/>
        </w:rPr>
      </w:pPr>
      <w:r>
        <w:rPr>
          <w:noProof/>
        </w:rPr>
        <w:t>•</w:t>
      </w:r>
      <w:r>
        <w:rPr>
          <w:noProof/>
        </w:rPr>
        <w:tab/>
      </w:r>
      <w:r>
        <w:rPr>
          <w:b/>
          <w:noProof/>
        </w:rPr>
        <w:t>Evaluacija</w:t>
      </w:r>
    </w:p>
    <w:p>
      <w:pPr>
        <w:pBdr>
          <w:top w:val="nil"/>
          <w:left w:val="nil"/>
          <w:bottom w:val="nil"/>
          <w:right w:val="nil"/>
          <w:between w:val="nil"/>
          <w:bar w:val="nil"/>
        </w:pBdr>
        <w:tabs>
          <w:tab w:val="left" w:pos="720"/>
        </w:tabs>
        <w:spacing w:before="0" w:after="240"/>
        <w:rPr>
          <w:rFonts w:eastAsia="Arial Unicode MS"/>
          <w:noProof/>
        </w:rPr>
      </w:pPr>
      <w:r>
        <w:rPr>
          <w:noProof/>
        </w:rPr>
        <w:t>Drugo trogodišnje izvješće o praćenju zamijenit će se retrospektivnom evaluacijom ažuriranog EASS-a, provedenom prema smjernicama Komisije za evaluaciju. To bi, prema potrebi, mogao biti i temelj budućih revizija zakonodavstva.</w:t>
      </w:r>
    </w:p>
    <w:p>
      <w:pPr>
        <w:keepNext/>
        <w:tabs>
          <w:tab w:val="left" w:pos="720"/>
          <w:tab w:val="left" w:pos="850"/>
        </w:tabs>
        <w:ind w:left="850" w:hanging="850"/>
        <w:outlineLvl w:val="1"/>
        <w:rPr>
          <w:rFonts w:eastAsia="Arial Unicode MS"/>
          <w:b/>
          <w:noProof/>
          <w:u w:color="000000"/>
          <w:bdr w:val="nil"/>
        </w:rPr>
      </w:pPr>
      <w:bookmarkStart w:id="1" w:name="_Toc46138675"/>
      <w:r>
        <w:rPr>
          <w:b/>
          <w:noProof/>
          <w:u w:color="000000"/>
          <w:bdr w:val="nil"/>
        </w:rPr>
        <w:t>•</w:t>
      </w:r>
      <w:r>
        <w:rPr>
          <w:noProof/>
        </w:rPr>
        <w:tab/>
      </w:r>
      <w:r>
        <w:rPr>
          <w:b/>
          <w:noProof/>
          <w:u w:color="000000"/>
          <w:bdr w:val="nil"/>
        </w:rPr>
        <w:t>Detaljno obrazloženje posebnih odredaba prijedloga</w:t>
      </w:r>
      <w:bookmarkEnd w:id="1"/>
    </w:p>
    <w:p>
      <w:pPr>
        <w:pBdr>
          <w:top w:val="nil"/>
          <w:left w:val="nil"/>
          <w:bottom w:val="nil"/>
          <w:right w:val="nil"/>
          <w:between w:val="nil"/>
          <w:bar w:val="nil"/>
        </w:pBdr>
        <w:tabs>
          <w:tab w:val="left" w:pos="720"/>
        </w:tabs>
        <w:spacing w:before="0" w:after="240"/>
        <w:rPr>
          <w:rFonts w:eastAsia="Arial Unicode MS"/>
          <w:noProof/>
        </w:rPr>
      </w:pPr>
      <w:r>
        <w:rPr>
          <w:noProof/>
        </w:rPr>
        <w:t xml:space="preserve">U predloženoj uredbi utvrđuje se sadržaj statistike poljoprivrednih inputa i outputa. Navodi se da države članice moraju dostavljati statističke podatke o četiri područja i 12 povezanih tema. Ta su područja statistika o stočnoj proizvodnji, statistika o biljnoj proizvodnji, statistika o cijenama u poljoprivredi i statistika o hranjivima i sredstvima za zaštitu bilja. Njih podupiru članci koji se odnose na predmet, definicije, statističku populaciju i jedinice promatranja, opseg, učestalost dostave podataka, izvore podataka i metode, referentna razdoblja, specifikacije kvalitete i potencijalne financijske doprinose. Nadalje, uredbom se predviđa mogućnost uvođenja posebnih </w:t>
      </w:r>
      <w:r>
        <w:rPr>
          <w:i/>
          <w:noProof/>
        </w:rPr>
        <w:t>ad hoc</w:t>
      </w:r>
      <w:r>
        <w:rPr>
          <w:noProof/>
        </w:rPr>
        <w:t xml:space="preserve"> tema povezanih s poljoprivrednim inputima i outputima kojima se dopunjuju podaci koji se redovito prikupljaju.  </w:t>
      </w:r>
    </w:p>
    <w:p>
      <w:pPr>
        <w:pBdr>
          <w:top w:val="nil"/>
          <w:left w:val="nil"/>
          <w:bottom w:val="nil"/>
          <w:right w:val="nil"/>
          <w:between w:val="nil"/>
          <w:bar w:val="nil"/>
        </w:pBdr>
        <w:tabs>
          <w:tab w:val="left" w:pos="720"/>
        </w:tabs>
        <w:spacing w:before="0" w:after="240"/>
        <w:rPr>
          <w:rFonts w:eastAsia="Arial Unicode MS"/>
          <w:noProof/>
        </w:rPr>
      </w:pPr>
      <w:r>
        <w:rPr>
          <w:noProof/>
        </w:rPr>
        <w:t xml:space="preserve">Detaljni skupovi podataka bit će utvrđeni u provedbenim aktima (uredbama). </w:t>
      </w:r>
    </w:p>
    <w:p>
      <w:pPr>
        <w:pBdr>
          <w:top w:val="nil"/>
          <w:left w:val="nil"/>
          <w:bottom w:val="nil"/>
          <w:right w:val="nil"/>
          <w:between w:val="nil"/>
          <w:bar w:val="nil"/>
        </w:pBdr>
        <w:spacing w:before="0" w:after="240"/>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2021/0020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 xml:space="preserve">o statistici poljoprivrednih inputa i outputa i o stavljanju izvan snage uredaba (EZ) br. 1165/2008, (EZ) br. 543/2009, (EZ) br. 1185/2009 i Direktive Vijeća 96/16/EZ </w:t>
      </w:r>
      <w:r>
        <w:rPr>
          <w:noProof/>
        </w:rPr>
        <w:br/>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338. stavak 1.,</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 xml:space="preserve">Baza statističkih podataka potrebna je za oblikovanje, provedbu, praćenje, evaluaciju i reviziju politika koje se odnose na poljoprivredu u Uniji, osobito zajedničke poljoprivredne politike (ZPP), uključujući mjere ruralnog razvoja i politike Unije koje se odnose, među ostalim, na okoliš, klimatske promjene, upotrebu zemljišta, regije, javno zdravlje i ciljeve održivog razvoja Ujedinjenih naroda. </w:t>
      </w:r>
    </w:p>
    <w:p>
      <w:pPr>
        <w:pStyle w:val="ManualConsidrant"/>
        <w:rPr>
          <w:noProof/>
        </w:rPr>
      </w:pPr>
      <w:r>
        <w:t>(2)</w:t>
      </w:r>
      <w:r>
        <w:tab/>
      </w:r>
      <w:r>
        <w:rPr>
          <w:noProof/>
        </w:rPr>
        <w:t xml:space="preserve">Cilj prikupljanja statističkih podataka, posebno o poljoprivrednim inputima i outputima, trebao bi, među ostalim, biti osiguravanje ažuriranih podataka za postupak donošenja odluka kako bi se poduprli europski zeleni plan, povezana strategija „od polja do stola” i strategija za biološku raznolikost, te buduće reforme ZPP-a. </w:t>
      </w:r>
    </w:p>
    <w:p>
      <w:pPr>
        <w:pStyle w:val="ManualConsidrant"/>
        <w:rPr>
          <w:noProof/>
        </w:rPr>
      </w:pPr>
      <w:r>
        <w:t>(3)</w:t>
      </w:r>
      <w:r>
        <w:tab/>
      </w:r>
      <w:r>
        <w:rPr>
          <w:noProof/>
        </w:rPr>
        <w:t xml:space="preserve">Visokokvalitetni usklađeni statistički podaci važni su za procjenu stanja i kretanja poljoprivrednih inputa i outputa u Uniji, funkcioniranja tržišta i sigurnosti opskrbe hranom, ali i za procjenu održivosti i učinaka politika Unije i nacionalnih politika na okoliš, gospodarstvo i društvo. Oni uključuju, no nisu ograničeni na, statistiku o stočarstvu i mesu, proizvodnju i upotrebu jaja te proizvodnju i upotrebu mlijeka i mliječnih proizvoda. Važna je i statistika o površinama, prinosu i proizvodnji ratarskih kultura, povrću, različitim trajnim nasadima i travnjacima te robnim bilancama. Sve je veća potreba za statističkim podacima o prodaji i upotrebi sredstava za zaštitu bilja i gnojiva. </w:t>
      </w:r>
    </w:p>
    <w:p>
      <w:pPr>
        <w:pStyle w:val="ManualConsidrant"/>
        <w:rPr>
          <w:noProof/>
        </w:rPr>
      </w:pPr>
      <w:r>
        <w:t>(4)</w:t>
      </w:r>
      <w:r>
        <w:tab/>
      </w:r>
      <w:r>
        <w:rPr>
          <w:noProof/>
        </w:rPr>
        <w:t xml:space="preserve">Na temelju međunarodne evaluacije poljoprivredne statistike nastala je globalna strategija za poboljšanje poljoprivredne i ruralne statistike Organizacije za hranu i poljoprivredu Ujedinjenih naroda koju je 2010. podržao Odbor za statistiku Ujedinjenih naroda. Europska poljoprivredna statistika trebala bi prema potrebi slijediti preporuke iz te globalne strategije. </w:t>
      </w:r>
    </w:p>
    <w:p>
      <w:pPr>
        <w:pStyle w:val="ManualConsidrant"/>
        <w:rPr>
          <w:noProof/>
        </w:rPr>
      </w:pPr>
      <w:r>
        <w:lastRenderedPageBreak/>
        <w:t>(5)</w:t>
      </w:r>
      <w:r>
        <w:tab/>
      </w:r>
      <w:r>
        <w:rPr>
          <w:noProof/>
        </w:rPr>
        <w:t>Uredbom (EZ) br. 223/2009 Europskog parlamenta i Vijeća </w:t>
      </w:r>
      <w:r>
        <w:rPr>
          <w:noProof/>
          <w:vertAlign w:val="superscript"/>
        </w:rPr>
        <w:t>(</w:t>
      </w:r>
      <w:r>
        <w:rPr>
          <w:rStyle w:val="FootnoteReference"/>
          <w:noProof/>
        </w:rPr>
        <w:footnoteReference w:id="12"/>
      </w:r>
      <w:r>
        <w:rPr>
          <w:noProof/>
          <w:vertAlign w:val="superscript"/>
        </w:rPr>
        <w:t>)</w:t>
      </w:r>
      <w:r>
        <w:rPr>
          <w:noProof/>
        </w:rPr>
        <w:t xml:space="preserve"> predviđa se okvir za razvoj, proizvodnju i diseminaciju europskih statistika na temelju zajedničkih statističkih načela. Uredbom (EZ) br. 223/2009 utvrđuju se kriteriji kvalitete i navodi se da je potrebno što više smanjiti troškove i opterećenja za davatelje podataka te pridonijeti općenitijem cilju smanjenja administrativnih opterećenja. </w:t>
      </w:r>
    </w:p>
    <w:p>
      <w:pPr>
        <w:pStyle w:val="ManualConsidrant"/>
        <w:rPr>
          <w:noProof/>
        </w:rPr>
      </w:pPr>
      <w:r>
        <w:t>(6)</w:t>
      </w:r>
      <w:r>
        <w:tab/>
      </w:r>
      <w:r>
        <w:rPr>
          <w:noProof/>
        </w:rPr>
        <w:t>Strategijom za poljoprivrednu statistiku za 2020. i nadalje </w:t>
      </w:r>
      <w:r>
        <w:rPr>
          <w:noProof/>
          <w:vertAlign w:val="superscript"/>
        </w:rPr>
        <w:t>(</w:t>
      </w:r>
      <w:r>
        <w:rPr>
          <w:rStyle w:val="FootnoteReference"/>
          <w:noProof/>
        </w:rPr>
        <w:footnoteReference w:id="13"/>
      </w:r>
      <w:r>
        <w:rPr>
          <w:noProof/>
          <w:vertAlign w:val="superscript"/>
        </w:rPr>
        <w:t>)</w:t>
      </w:r>
      <w:r>
        <w:rPr>
          <w:noProof/>
        </w:rPr>
        <w:t>, koju je u studenome 2015. donio Odbor za europski statistički sustav (ESSC), predviđa se donošenje dviju okvirnih uredbi kojima će se obuhvatiti svi aspekti zakonodavstva EU-a o poljoprivrednoj statistici, osim ekonomskih računa u poljoprivredi. Ova je Uredba jedna od tih dviju okvirnih uredaba i njome bi se trebala nadopuniti već donesena okvirna Uredba (EU) 2018/1091 </w:t>
      </w:r>
      <w:r>
        <w:rPr>
          <w:noProof/>
          <w:vertAlign w:val="superscript"/>
        </w:rPr>
        <w:t>(</w:t>
      </w:r>
      <w:r>
        <w:rPr>
          <w:rStyle w:val="FootnoteReference"/>
          <w:noProof/>
        </w:rPr>
        <w:footnoteReference w:id="14"/>
      </w:r>
      <w:r>
        <w:rPr>
          <w:noProof/>
          <w:vertAlign w:val="superscript"/>
        </w:rPr>
        <w:t>)</w:t>
      </w:r>
      <w:r>
        <w:rPr>
          <w:noProof/>
        </w:rPr>
        <w:t xml:space="preserve">. </w:t>
      </w:r>
    </w:p>
    <w:p>
      <w:pPr>
        <w:pStyle w:val="ManualConsidrant"/>
        <w:rPr>
          <w:noProof/>
        </w:rPr>
      </w:pPr>
      <w:r>
        <w:t>(7)</w:t>
      </w:r>
      <w:r>
        <w:tab/>
      </w:r>
      <w:r>
        <w:rPr>
          <w:noProof/>
        </w:rPr>
        <w:t>Europska statistika poljoprivrednih inputa i outputa trenutačno se prikuplja, izrađuje i diseminira na temelju brojnih pravnih akata. Tom se strukturom ne osigurava odgovarajuća dosljednost među pojedinačnim statističkim područjima niti se njome promiče integrirani pristup razvoju, izradi i diseminaciji poljoprivredne statistike. Ovom bi se Uredbom trebali zamijeniti ti pravni akti kako bi se postigla usklađenost i usporedivost informacija te osigurale dosljednost i koordinacija svih područja europske poljoprivredne statistike, olakšali integracija i pojednostavnjenje odgovarajućih statističkih postupaka i omogućio sveobuhvatniji pristup. Stoga je potrebno staviti izvan snage uredbe (EZ) br. 1165/2008 </w:t>
      </w:r>
      <w:r>
        <w:rPr>
          <w:noProof/>
          <w:vertAlign w:val="superscript"/>
        </w:rPr>
        <w:t>(</w:t>
      </w:r>
      <w:r>
        <w:rPr>
          <w:rStyle w:val="FootnoteReference"/>
          <w:noProof/>
        </w:rPr>
        <w:footnoteReference w:id="15"/>
      </w:r>
      <w:r>
        <w:rPr>
          <w:noProof/>
          <w:vertAlign w:val="superscript"/>
        </w:rPr>
        <w:t>)</w:t>
      </w:r>
      <w:r>
        <w:rPr>
          <w:noProof/>
        </w:rPr>
        <w:t>, (EZ) br. 543/2009 </w:t>
      </w:r>
      <w:r>
        <w:rPr>
          <w:noProof/>
          <w:vertAlign w:val="superscript"/>
        </w:rPr>
        <w:t>(</w:t>
      </w:r>
      <w:r>
        <w:rPr>
          <w:rStyle w:val="FootnoteReference"/>
          <w:noProof/>
        </w:rPr>
        <w:footnoteReference w:id="16"/>
      </w:r>
      <w:r>
        <w:rPr>
          <w:noProof/>
          <w:vertAlign w:val="superscript"/>
        </w:rPr>
        <w:t>)</w:t>
      </w:r>
      <w:r>
        <w:rPr>
          <w:noProof/>
        </w:rPr>
        <w:t xml:space="preserve"> i (EZ) br. 1185/2009 Europskog parlamenta i Vijeća </w:t>
      </w:r>
      <w:r>
        <w:rPr>
          <w:noProof/>
          <w:vertAlign w:val="superscript"/>
        </w:rPr>
        <w:t>(</w:t>
      </w:r>
      <w:r>
        <w:rPr>
          <w:rStyle w:val="FootnoteReference"/>
          <w:noProof/>
        </w:rPr>
        <w:footnoteReference w:id="17"/>
      </w:r>
      <w:r>
        <w:rPr>
          <w:noProof/>
          <w:vertAlign w:val="superscript"/>
        </w:rPr>
        <w:t>)</w:t>
      </w:r>
      <w:r>
        <w:rPr>
          <w:noProof/>
        </w:rPr>
        <w:t xml:space="preserve"> i Direktivu Vijeća 96/16/EZ </w:t>
      </w:r>
      <w:r>
        <w:rPr>
          <w:noProof/>
          <w:vertAlign w:val="superscript"/>
        </w:rPr>
        <w:t>(</w:t>
      </w:r>
      <w:r>
        <w:rPr>
          <w:rStyle w:val="FootnoteReference"/>
          <w:noProof/>
        </w:rPr>
        <w:footnoteReference w:id="18"/>
      </w:r>
      <w:r>
        <w:rPr>
          <w:noProof/>
          <w:vertAlign w:val="superscript"/>
        </w:rPr>
        <w:t>)</w:t>
      </w:r>
      <w:r>
        <w:rPr>
          <w:noProof/>
        </w:rPr>
        <w:t xml:space="preserve">. Brojne povezane sporazume u okviru europskog statističkog sustava (ESS) i džentlmenske sporazume o dostavi podataka trebalo bi integrirati u ovu Uredbu ako postoje dokazi da podaci ispunjavaju potrebe korisnika i da su odgovarajuće kvalitete te da dogovorena metodologija funkcionira. </w:t>
      </w:r>
    </w:p>
    <w:p>
      <w:pPr>
        <w:pStyle w:val="ManualConsidrant"/>
        <w:rPr>
          <w:noProof/>
        </w:rPr>
      </w:pPr>
      <w:r>
        <w:t>(8)</w:t>
      </w:r>
      <w:r>
        <w:tab/>
      </w:r>
      <w:r>
        <w:rPr>
          <w:noProof/>
        </w:rPr>
        <w:t>Statistiku koja je potrebna u skladu s Uredbom Komisije (EZ) br. 617/2008 </w:t>
      </w:r>
      <w:r>
        <w:rPr>
          <w:noProof/>
          <w:vertAlign w:val="superscript"/>
        </w:rPr>
        <w:t>(</w:t>
      </w:r>
      <w:r>
        <w:rPr>
          <w:rStyle w:val="FootnoteReference"/>
          <w:noProof/>
        </w:rPr>
        <w:footnoteReference w:id="19"/>
      </w:r>
      <w:r>
        <w:rPr>
          <w:noProof/>
          <w:vertAlign w:val="superscript"/>
        </w:rPr>
        <w:t xml:space="preserve">) </w:t>
      </w:r>
      <w:r>
        <w:rPr>
          <w:noProof/>
        </w:rPr>
        <w:t xml:space="preserve">prikuplja ESS, pri čemu se ispunjavaju neki, no ne i svi standardi kvalitete. Njome se dugoročno podupiru europske i nacionalne politike i trebala bi biti integrirana kao europska statistika kako bi se osigurale dostupnost i kvaliteta podataka. Kako bi se </w:t>
      </w:r>
      <w:r>
        <w:rPr>
          <w:noProof/>
        </w:rPr>
        <w:lastRenderedPageBreak/>
        <w:t>izbjeglo dvostruko izvješćivanje država članica, trebalo bi ukinuti statističke zahtjeve na temelju Uredbe (EZ) br. 617/2008.</w:t>
      </w:r>
    </w:p>
    <w:p>
      <w:pPr>
        <w:pStyle w:val="ManualConsidrant"/>
        <w:rPr>
          <w:noProof/>
        </w:rPr>
      </w:pPr>
      <w:r>
        <w:t>(9)</w:t>
      </w:r>
      <w:r>
        <w:tab/>
      </w:r>
      <w:r>
        <w:rPr>
          <w:noProof/>
        </w:rPr>
        <w:t xml:space="preserve">Velik dio europskih poljoprivrednih površina čine travnjaci. U prošlosti se proizvodnja na njima nije smatrala važnom, pa se podaci o njoj nisu uvrštavali u statistiku o usjevima. Budući da učinak travnjaka i preživača na okoliš postaje sve važniji zbog klimatskih promjena, potrebna je statistika o proizvodnji na pašnjacima i ispaši životinja. </w:t>
      </w:r>
    </w:p>
    <w:p>
      <w:pPr>
        <w:pStyle w:val="ManualConsidrant"/>
        <w:rPr>
          <w:noProof/>
        </w:rPr>
      </w:pPr>
      <w:r>
        <w:t>(10)</w:t>
      </w:r>
      <w:r>
        <w:tab/>
      </w:r>
      <w:r>
        <w:rPr>
          <w:noProof/>
        </w:rPr>
        <w:t xml:space="preserve">Kako bi informacije o poljoprivrednim inputima i outputima bile usklađene i usporedive s onima o strukturi poljoprivrednih gospodarstava i radi daljnje provedbe Strategije za poljoprivrednu statistiku za 2020. i nadalje, ovom bi se Uredbom trebala nadopuniti Uredba (EU) 2018/1091. </w:t>
      </w:r>
    </w:p>
    <w:p>
      <w:pPr>
        <w:pStyle w:val="ManualConsidrant"/>
        <w:rPr>
          <w:noProof/>
        </w:rPr>
      </w:pPr>
      <w:r>
        <w:t>(11)</w:t>
      </w:r>
      <w:r>
        <w:tab/>
      </w:r>
      <w:r>
        <w:rPr>
          <w:noProof/>
        </w:rPr>
        <w:t>Uredbom (EZ) br. 138/2004 Europskog parlamenta i Vijeća </w:t>
      </w:r>
      <w:r>
        <w:rPr>
          <w:noProof/>
          <w:vertAlign w:val="superscript"/>
        </w:rPr>
        <w:t>(</w:t>
      </w:r>
      <w:r>
        <w:rPr>
          <w:rStyle w:val="FootnoteReference"/>
          <w:noProof/>
        </w:rPr>
        <w:footnoteReference w:id="20"/>
      </w:r>
      <w:r>
        <w:rPr>
          <w:noProof/>
          <w:vertAlign w:val="superscript"/>
        </w:rPr>
        <w:t>)</w:t>
      </w:r>
      <w:r>
        <w:rPr>
          <w:noProof/>
        </w:rPr>
        <w:t xml:space="preserve"> nisu obuhvaćene statistike o cijenama u poljoprivredi, no trebala bi se osigurati njihova dostupnost i usklađenost s ekonomskim računima u poljoprivredi (ERP). Budući da je ERP satelitski račun nacionalnih računa, u Uredbu (EZ) br. 138/2004 nije primjereno uključiti statistike o cijenama u poljoprivredi. Stoga bi statistika poljoprivrednih inputa i outputa trebala biti statistika o cijenama poljoprivrednih inputa koje su usklađene s ERP-om. Podaci o apsolutnim cijenama poljoprivrednih proizvoda trebali bi biti dostupni u državama članicama kako bi se omogućili izračuni ERP-a i usporedivi indeksi cijena. </w:t>
      </w:r>
    </w:p>
    <w:p>
      <w:pPr>
        <w:pStyle w:val="ManualConsidrant"/>
        <w:rPr>
          <w:noProof/>
        </w:rPr>
      </w:pPr>
      <w:r>
        <w:t>(12)</w:t>
      </w:r>
      <w:r>
        <w:tab/>
      </w:r>
      <w:r>
        <w:rPr>
          <w:noProof/>
        </w:rPr>
        <w:t>Podatke o stavljanju na tržište i upotrebi pesticida, koji se moraju dostaviti na temelju Direktive 2009/128/EZ Europskog parlamenta i Vijeća </w:t>
      </w:r>
      <w:r>
        <w:rPr>
          <w:noProof/>
          <w:vertAlign w:val="superscript"/>
        </w:rPr>
        <w:t>(</w:t>
      </w:r>
      <w:r>
        <w:rPr>
          <w:rStyle w:val="FootnoteReference"/>
          <w:noProof/>
        </w:rPr>
        <w:footnoteReference w:id="21"/>
      </w:r>
      <w:r>
        <w:rPr>
          <w:noProof/>
          <w:vertAlign w:val="superscript"/>
        </w:rPr>
        <w:t>)</w:t>
      </w:r>
      <w:r>
        <w:rPr>
          <w:noProof/>
        </w:rPr>
        <w:t xml:space="preserve"> i Uredbe (EZ) br. 1107/2009 Europskog parlamenta i Vijeća </w:t>
      </w:r>
      <w:r>
        <w:rPr>
          <w:noProof/>
          <w:vertAlign w:val="superscript"/>
        </w:rPr>
        <w:t>(</w:t>
      </w:r>
      <w:r>
        <w:rPr>
          <w:rStyle w:val="FootnoteReference"/>
          <w:noProof/>
        </w:rPr>
        <w:footnoteReference w:id="22"/>
      </w:r>
      <w:r>
        <w:rPr>
          <w:noProof/>
          <w:vertAlign w:val="superscript"/>
        </w:rPr>
        <w:t>)</w:t>
      </w:r>
      <w:r>
        <w:rPr>
          <w:noProof/>
        </w:rPr>
        <w:t xml:space="preserve"> trebalo bi koristiti u skladu s relevantnim odredbama te direktive i te uredbe za potrebe zahtjeva iz ove Uredbe.</w:t>
      </w:r>
    </w:p>
    <w:p>
      <w:pPr>
        <w:pStyle w:val="ManualConsidrant"/>
        <w:rPr>
          <w:noProof/>
        </w:rPr>
      </w:pPr>
      <w:r>
        <w:t>(13)</w:t>
      </w:r>
      <w:r>
        <w:tab/>
      </w:r>
      <w:r>
        <w:rPr>
          <w:noProof/>
        </w:rPr>
        <w:t xml:space="preserve">Usporediva statistika poljoprivrednih inputa i outputa iz svih država članica važna je za utvrđivanje razvoja ZPP-a. Stoga bi kao varijable trebalo u što većoj mjeri upotrebljavati standardne klasifikacije i zajedničke definicije. </w:t>
      </w:r>
    </w:p>
    <w:p>
      <w:pPr>
        <w:pStyle w:val="ManualConsidrant"/>
        <w:rPr>
          <w:noProof/>
        </w:rPr>
      </w:pPr>
      <w:r>
        <w:t>(14)</w:t>
      </w:r>
      <w:r>
        <w:tab/>
      </w:r>
      <w:r>
        <w:rPr>
          <w:noProof/>
        </w:rPr>
        <w:t xml:space="preserve">Podaci koji su potrebni za izradu statistike trebali bi se, ako je to moguće, prikupljati uz što niže troškove i administrativno opterećenje. Stoga je potrebno odrediti moguće vlasnike izvora potrebnih podataka i osigurati da se oni mogu upotrebljavati za statistiku. </w:t>
      </w:r>
    </w:p>
    <w:p>
      <w:pPr>
        <w:pStyle w:val="ManualConsidrant"/>
        <w:rPr>
          <w:noProof/>
        </w:rPr>
      </w:pPr>
      <w:r>
        <w:t>(15)</w:t>
      </w:r>
      <w:r>
        <w:tab/>
      </w:r>
      <w:r>
        <w:rPr>
          <w:noProof/>
        </w:rPr>
        <w:t xml:space="preserve">Skupovima podataka koji se dostavljaju obuhvaćeno je nekoliko statističkih područja. Kako bi se zadržao fleksibilan pristup koji omogućava prilagodbu statistike ako se zahtjevi za podatke promijene, u temeljnoj bi uredbi trebalo utvrditi samo područja, teme i detaljne teme, dok bi detaljne skupove podataka trebalo utvrditi u provedbenim aktima. </w:t>
      </w:r>
    </w:p>
    <w:p>
      <w:pPr>
        <w:pStyle w:val="ManualConsidrant"/>
        <w:rPr>
          <w:noProof/>
        </w:rPr>
      </w:pPr>
      <w:r>
        <w:t>(16)</w:t>
      </w:r>
      <w:r>
        <w:tab/>
      </w:r>
      <w:r>
        <w:rPr>
          <w:noProof/>
        </w:rPr>
        <w:t xml:space="preserve">Ekološka proizvodnja postaje sve važniji pokazatelj sustavâ održive poljoprivredne proizvodnje. Stoga je potrebno osigurati dosljednost dostupne statistike o ekološkoj proizvodnji s drugim statistikama o poljoprivrednoj proizvodnji njezinim uključenjem u skupove podataka. Ta statistika o ekološkoj proizvodnji trebala bi biti usklađena i s </w:t>
      </w:r>
      <w:r>
        <w:rPr>
          <w:noProof/>
        </w:rPr>
        <w:lastRenderedPageBreak/>
        <w:t>administrativnim informacijama proizvedenima na temelju Uredbe (EU) 2018/848 Europskog parlamenta i Vijeća </w:t>
      </w:r>
      <w:r>
        <w:rPr>
          <w:noProof/>
          <w:vertAlign w:val="superscript"/>
        </w:rPr>
        <w:t>(</w:t>
      </w:r>
      <w:r>
        <w:rPr>
          <w:rStyle w:val="FootnoteReference"/>
          <w:noProof/>
        </w:rPr>
        <w:footnoteReference w:id="23"/>
      </w:r>
      <w:r>
        <w:rPr>
          <w:noProof/>
          <w:vertAlign w:val="superscript"/>
        </w:rPr>
        <w:t>)</w:t>
      </w:r>
      <w:r>
        <w:rPr>
          <w:noProof/>
        </w:rPr>
        <w:t xml:space="preserve"> i trebala bi uključivati te informacije. </w:t>
      </w:r>
    </w:p>
    <w:p>
      <w:pPr>
        <w:pStyle w:val="ManualConsidrant"/>
        <w:rPr>
          <w:noProof/>
        </w:rPr>
      </w:pPr>
      <w:r>
        <w:t>(17)</w:t>
      </w:r>
      <w:r>
        <w:tab/>
      </w:r>
      <w:r>
        <w:rPr>
          <w:noProof/>
        </w:rPr>
        <w:t>U skladu s Uredbom (EZ) br. 1059/2003 Europskog parlamenta i Vijeća </w:t>
      </w:r>
      <w:r>
        <w:rPr>
          <w:noProof/>
          <w:vertAlign w:val="superscript"/>
        </w:rPr>
        <w:t>(</w:t>
      </w:r>
      <w:r>
        <w:rPr>
          <w:rStyle w:val="FootnoteReference"/>
          <w:noProof/>
        </w:rPr>
        <w:footnoteReference w:id="24"/>
      </w:r>
      <w:r>
        <w:rPr>
          <w:noProof/>
          <w:vertAlign w:val="superscript"/>
        </w:rPr>
        <w:t>)</w:t>
      </w:r>
      <w:r>
        <w:rPr>
          <w:noProof/>
        </w:rPr>
        <w:t xml:space="preserve"> prostorne jedinice trebale bi biti definirane u skladu s klasifikacijom statističke nomenklature prostornih jedinica (NUTS). </w:t>
      </w:r>
    </w:p>
    <w:p>
      <w:pPr>
        <w:pStyle w:val="ManualConsidrant"/>
        <w:rPr>
          <w:noProof/>
        </w:rPr>
      </w:pPr>
      <w:r>
        <w:t>(18)</w:t>
      </w:r>
      <w:r>
        <w:tab/>
      </w:r>
      <w:r>
        <w:rPr>
          <w:noProof/>
        </w:rPr>
        <w:t xml:space="preserve">Trebalo bi biti moguće prikupljati podatke o </w:t>
      </w:r>
      <w:r>
        <w:rPr>
          <w:i/>
          <w:noProof/>
        </w:rPr>
        <w:t>ad hoc</w:t>
      </w:r>
      <w:r>
        <w:rPr>
          <w:noProof/>
        </w:rPr>
        <w:t xml:space="preserve"> temama koje se odnose na poljoprivredne inpute i outpute u određenom trenutku kako bi se podaci koji se redovito prikupljaju dopunili komplementarnim podacima o temama koje zahtijevaju više informacija, novim pojavama ili inovacijama.  </w:t>
      </w:r>
    </w:p>
    <w:p>
      <w:pPr>
        <w:pStyle w:val="ManualConsidrant"/>
        <w:rPr>
          <w:noProof/>
        </w:rPr>
      </w:pPr>
      <w:r>
        <w:t>(19)</w:t>
      </w:r>
      <w:r>
        <w:tab/>
      </w:r>
      <w:r>
        <w:rPr>
          <w:noProof/>
        </w:rPr>
        <w:t xml:space="preserve">Kako bi se smanjilo administrativno opterećenje država članica, trebalo bi omogućiti izuzeća od određenih redovitih dostavljanja podataka ako država članica ne pridonosi mnogo podacima te vrste ukupnom skupu podataka EU-a. </w:t>
      </w:r>
    </w:p>
    <w:p>
      <w:pPr>
        <w:pStyle w:val="ManualConsidrant"/>
        <w:rPr>
          <w:noProof/>
        </w:rPr>
      </w:pPr>
      <w:r>
        <w:t>(20)</w:t>
      </w:r>
      <w:r>
        <w:tab/>
      </w:r>
      <w:r>
        <w:rPr>
          <w:noProof/>
        </w:rPr>
        <w:t xml:space="preserve">Kako bi se poboljšala učinkovitost postupaka izrade statistike koje obavlja ESS i smanjilo administrativno opterećenje davateljâ podataka, nacionalni zavodi za statistiku (NZS-i) i druga nacionalna tijela trebali bi imati pravo na brz i besplatan pristup i upotrebu administrativnih podataka koji se prikupljaju za javne potrebe, bez obzira na to jesu li u posjedu javnih ili privatnih tijela. NZS-i i druga nacionalna tijela trebali bi moći i uključiti te administrativne podatke u statistiku ako su oni potrebni za razvoj, izradu i diseminaciju europske poljoprivredne statistike, u skladu s člankom 17.a Uredbe (EZ) br. 223/2009. </w:t>
      </w:r>
    </w:p>
    <w:p>
      <w:pPr>
        <w:pStyle w:val="ManualConsidrant"/>
        <w:rPr>
          <w:noProof/>
        </w:rPr>
      </w:pPr>
      <w:r>
        <w:t>(21)</w:t>
      </w:r>
      <w:r>
        <w:tab/>
      </w:r>
      <w:r>
        <w:rPr>
          <w:noProof/>
        </w:rPr>
        <w:t xml:space="preserve">Države članice ili odgovorna nacionalna tijela trebali bi što više nastojati modernizirati načine prikupljanja podataka. Trebalo bi promicati upotrebu digitalnih rješenja. </w:t>
      </w:r>
    </w:p>
    <w:p>
      <w:pPr>
        <w:pStyle w:val="ManualConsidrant"/>
        <w:rPr>
          <w:noProof/>
        </w:rPr>
      </w:pPr>
      <w:r>
        <w:t>(22)</w:t>
      </w:r>
      <w:r>
        <w:tab/>
      </w:r>
      <w:r>
        <w:rPr>
          <w:noProof/>
        </w:rPr>
        <w:t xml:space="preserve">Kako bi se osigurala fleksibilnost i smanjilo administrativno opterećenje davateljâ podataka, NZS-â i drugih nacionalnih tijela, državama članicama trebalo bi dopustiti da se koriste statističkim istraživanjima, administrativnim evidencijama i svim drugim izvorima, metodama ili inovativnim pristupima, među ostalim znanstveno utemeljenim i dobro dokumentiranim metodama kao što su imputacija, procjena i modeliranje. Uvijek bi trebalo osigurati kvalitetu, a posebno točnost, pravodobnost i usporedivost statistike koja se temelji na tim izvorima. </w:t>
      </w:r>
    </w:p>
    <w:p>
      <w:pPr>
        <w:pStyle w:val="ManualConsidrant"/>
        <w:rPr>
          <w:noProof/>
        </w:rPr>
      </w:pPr>
      <w:r>
        <w:t>(23)</w:t>
      </w:r>
      <w:r>
        <w:tab/>
      </w:r>
      <w:r>
        <w:rPr>
          <w:noProof/>
        </w:rPr>
        <w:t xml:space="preserve">Uredba (EZ) br. 223/2009 sadržava odredbe o dostavi podataka iz država članica Komisiji (Eurostatu) i o upotrebi tih podataka, među ostalim o dostavi i zaštiti povjerljivih podataka. Mjerama koje se poduzimaju u skladu s ovom Uredbom mora se osigurati da se povjerljivi podaci dostavljaju i upotrebljavaju isključivo u statističke svrhe u skladu s člancima 21. i 22. Uredbe (EZ) br. 223/2009. </w:t>
      </w:r>
    </w:p>
    <w:p>
      <w:pPr>
        <w:pStyle w:val="ManualConsidrant"/>
        <w:rPr>
          <w:noProof/>
        </w:rPr>
      </w:pPr>
      <w:r>
        <w:t>(24)</w:t>
      </w:r>
      <w:r>
        <w:tab/>
      </w:r>
      <w:r>
        <w:rPr>
          <w:noProof/>
        </w:rPr>
        <w:t xml:space="preserve">Uredbom (EZ) br. 223/2009 predviđa se referentni okvir za europsku statistiku i njome se od država članica zahtijeva da poštuju statistička načela i kriterije kvalitete utvrđene tom Uredbom. Izvješća o kvaliteti ključna su za ocjenjivanje, poboljšanje i komunikaciju o kvaliteti europske statistike. ESSC je podupro jedinstvenu integriranu strukturu metapodataka kao standard ESS-a za izvješćivanje o kvaliteti, čime se ujednačenim standardima i usklađenim metodama pridonosi ispunjavanju zahtjeva u pogledu kvalitete statistike iz članka 12. stavka 3. Uredbe (EZ) br. 223/2009. Tim </w:t>
      </w:r>
      <w:r>
        <w:rPr>
          <w:noProof/>
        </w:rPr>
        <w:lastRenderedPageBreak/>
        <w:t>standardom ESS-a pridonijet će se usklađivanju izvješćivanja o kvaliteti na temelju ove Uredbe.</w:t>
      </w:r>
    </w:p>
    <w:p>
      <w:pPr>
        <w:pStyle w:val="ManualConsidrant"/>
        <w:rPr>
          <w:noProof/>
        </w:rPr>
      </w:pPr>
      <w:r>
        <w:t>(25)</w:t>
      </w:r>
      <w:r>
        <w:tab/>
      </w:r>
      <w:r>
        <w:rPr>
          <w:noProof/>
        </w:rPr>
        <w:t xml:space="preserve">U skladu s načelom dobrog financijskog upravljanja provedena je procjena učinka kako bi se statistički program uspostavljen ovom Uredbom usmjerio na potrebu za djelotvornošću u postizanju ciljeva programa i kako bi se uključila proračunska ograničenja. </w:t>
      </w:r>
    </w:p>
    <w:p>
      <w:pPr>
        <w:pStyle w:val="ManualConsidrant"/>
        <w:rPr>
          <w:noProof/>
        </w:rPr>
      </w:pPr>
      <w:r>
        <w:t>(26)</w:t>
      </w:r>
      <w:r>
        <w:tab/>
      </w:r>
      <w:r>
        <w:rPr>
          <w:noProof/>
        </w:rPr>
        <w:t xml:space="preserve">Budući da zbog potrebe za koordiniranim pristupom države članice ne mogu dostatno ostvariti cilj ove Uredbe, odnosno sustavnu proizvodnju europske statistike poljoprivrednih inputa i outputa u Uniji, a on se zbog dosljednosti i usporedivosti može lakše ostvariti na razini Unije, Unija može donijeti mjere u skladu s načelom supsidijarnosti utvrđenim u članku 5. Ugovora o Europskoj uniji. U skladu s načelom proporcionalnosti iz tog članka, ovom se Uredbom ne prelazi ono što je potrebno za ostvarenje tog cilja. </w:t>
      </w:r>
    </w:p>
    <w:p>
      <w:pPr>
        <w:pStyle w:val="ManualConsidrant"/>
        <w:rPr>
          <w:noProof/>
        </w:rPr>
      </w:pPr>
      <w:r>
        <w:t>(27)</w:t>
      </w:r>
      <w:r>
        <w:tab/>
      </w:r>
      <w:r>
        <w:rPr>
          <w:noProof/>
        </w:rPr>
        <w:t xml:space="preserve">Kako bi se u obzir uzele nove potrebe za podacima koje uglavnom proizlaze iz novih kretanja u poljoprivredi, revidiranog zakonodavstva i promijenjenih prioriteta politike, ovlast za donošenje akata u skladu s člankom 290. Ugovora o funkcioniranju Europske unije trebalo bi delegirati Komisiji kako bi se izmijenile detaljne teme navedene u ovoj Uredbi te utvrdile teme i detaljne teme koje treba navesti i druga praktična rješenja za prikupljanje </w:t>
      </w:r>
      <w:r>
        <w:rPr>
          <w:i/>
          <w:iCs/>
          <w:noProof/>
        </w:rPr>
        <w:t>ad hoc</w:t>
      </w:r>
      <w:r>
        <w:rPr>
          <w:noProof/>
        </w:rPr>
        <w:t xml:space="preserve"> podataka u skladu s ovom Uredbom. Posebno je važno da Komisija tijekom pripremnog rada provede odgovarajuća savjetovanja, među ostalim na stručnoj razini, te da se ona provedu u skladu s načelima utvrđenima u Međuinstitucijskom sporazumu od 13. travnja 2016. o boljoj izradi zakonodavstva </w:t>
      </w:r>
      <w:r>
        <w:rPr>
          <w:noProof/>
          <w:vertAlign w:val="superscript"/>
        </w:rPr>
        <w:t>(</w:t>
      </w:r>
      <w:r>
        <w:rPr>
          <w:rStyle w:val="FootnoteReference"/>
          <w:noProof/>
        </w:rPr>
        <w:footnoteReference w:id="25"/>
      </w:r>
      <w:r>
        <w:rPr>
          <w:noProof/>
          <w:vertAlign w:val="superscript"/>
        </w:rPr>
        <w:t>)</w:t>
      </w:r>
      <w:r>
        <w:rPr>
          <w:noProof/>
        </w:rPr>
        <w:t>. Naime, kako bi se osiguralo ravnopravno sudjelovanje u izradi delegiranih akata, Europski parlament i Vijeće zaprimaju sve dokumente u isto vrijeme kad i stručnjaci iz država članica, a njihovi stručnjaci sustavno imaju pristup sastancima stručnih skupina Komisije koje se bave izradom delegiranih akata.</w:t>
      </w:r>
    </w:p>
    <w:p>
      <w:pPr>
        <w:pStyle w:val="ManualConsidrant"/>
        <w:rPr>
          <w:noProof/>
        </w:rPr>
      </w:pPr>
      <w:r>
        <w:t>(28)</w:t>
      </w:r>
      <w:r>
        <w:tab/>
      </w:r>
      <w:r>
        <w:rPr>
          <w:noProof/>
        </w:rPr>
        <w:t xml:space="preserve">Kako bi se osigurali ujednačeni uvjeti za provedbu ove Uredbe, Komisiji bi trebalo dodijeliti provedbene ovlasti za utvrđivanje skupova podataka koji su povezani s temama i detaljnim temama iz Priloga i tehničkih elemenata podataka koje treba dostaviti te za utvrđivanje popisa i opisa varijabli i drugih praktičnih rješenja za prikupljanje </w:t>
      </w:r>
      <w:r>
        <w:rPr>
          <w:i/>
          <w:noProof/>
        </w:rPr>
        <w:t>ad hoc</w:t>
      </w:r>
      <w:r>
        <w:rPr>
          <w:noProof/>
        </w:rPr>
        <w:t xml:space="preserve"> podataka i za utvrđivanje praktičnih rješenja za izvješća o kvaliteti i njihov sadržaj. Te bi ovlasti trebalo izvršavati u skladu s Uredbom (EU) br. 182/2011 Europskog parlamenta i Vijeća </w:t>
      </w:r>
      <w:r>
        <w:rPr>
          <w:noProof/>
          <w:vertAlign w:val="superscript"/>
        </w:rPr>
        <w:t>(</w:t>
      </w:r>
      <w:r>
        <w:rPr>
          <w:rStyle w:val="FootnoteReference"/>
          <w:noProof/>
        </w:rPr>
        <w:footnoteReference w:id="26"/>
      </w:r>
      <w:r>
        <w:rPr>
          <w:noProof/>
          <w:vertAlign w:val="superscript"/>
        </w:rPr>
        <w:t>)</w:t>
      </w:r>
      <w:r>
        <w:rPr>
          <w:noProof/>
        </w:rPr>
        <w:t xml:space="preserve">. </w:t>
      </w:r>
    </w:p>
    <w:p>
      <w:pPr>
        <w:pStyle w:val="ManualConsidrant"/>
        <w:rPr>
          <w:noProof/>
        </w:rPr>
      </w:pPr>
      <w:r>
        <w:t>(29)</w:t>
      </w:r>
      <w:r>
        <w:tab/>
      </w:r>
      <w:r>
        <w:rPr>
          <w:noProof/>
        </w:rPr>
        <w:t>Ako bi za provedbu ove Uredbe bile potrebne znatne prilagodbe nacionalnog statističkog sustava države članice, Komisija bi dotičnoj državi članici trebala moći odobriti odstupanja u valjano opravdanim slučajevima i na ograničeno razdoblje. Takve znatne prilagodbe ponajprije mogu proizlaziti iz potrebe za prilagodbom sustavâ prikupljanja podataka kako bi uključili nove zahtjeve za podatke, među ostalim i pristup administrativnim izvorima.</w:t>
      </w:r>
    </w:p>
    <w:p>
      <w:pPr>
        <w:pStyle w:val="ManualConsidrant"/>
        <w:rPr>
          <w:noProof/>
        </w:rPr>
      </w:pPr>
      <w:r>
        <w:t>(30)</w:t>
      </w:r>
      <w:r>
        <w:tab/>
      </w:r>
      <w:r>
        <w:rPr>
          <w:noProof/>
        </w:rPr>
        <w:t>Financijske interese Unije trebalo bi zaštititi proporcionalnim mjerama tijekom cjelokupnog ciklusa rashoda, uključujući sprečavanje, otkrivanje i ispitivanje nepravilnosti, povrat izgubljenih, pogrešno plaćenih ili nepravilno upotrijebljenih sredstava te, prema potrebi, administrativne i financijske sankcije.</w:t>
      </w:r>
    </w:p>
    <w:p>
      <w:pPr>
        <w:pStyle w:val="ManualConsidrant"/>
        <w:rPr>
          <w:noProof/>
        </w:rPr>
      </w:pPr>
      <w:r>
        <w:lastRenderedPageBreak/>
        <w:t>(31)</w:t>
      </w:r>
      <w:r>
        <w:tab/>
      </w:r>
      <w:r>
        <w:rPr>
          <w:noProof/>
        </w:rPr>
        <w:t>Ova Uredba trebala bi se primjenjivati ne dovodeći u pitanje Direktivu 2003/4/EZ </w:t>
      </w:r>
      <w:r>
        <w:rPr>
          <w:noProof/>
          <w:vertAlign w:val="superscript"/>
        </w:rPr>
        <w:t>(</w:t>
      </w:r>
      <w:r>
        <w:rPr>
          <w:rStyle w:val="FootnoteReference"/>
          <w:noProof/>
        </w:rPr>
        <w:footnoteReference w:id="27"/>
      </w:r>
      <w:r>
        <w:rPr>
          <w:noProof/>
          <w:vertAlign w:val="superscript"/>
        </w:rPr>
        <w:t>)</w:t>
      </w:r>
      <w:r>
        <w:rPr>
          <w:noProof/>
        </w:rPr>
        <w:t xml:space="preserve"> i Uredbu (EZ) br. 1367/2006 </w:t>
      </w:r>
      <w:r>
        <w:rPr>
          <w:noProof/>
          <w:vertAlign w:val="superscript"/>
        </w:rPr>
        <w:t>(</w:t>
      </w:r>
      <w:r>
        <w:rPr>
          <w:rStyle w:val="FootnoteReference"/>
          <w:noProof/>
        </w:rPr>
        <w:footnoteReference w:id="28"/>
      </w:r>
      <w:r>
        <w:rPr>
          <w:noProof/>
          <w:vertAlign w:val="superscript"/>
        </w:rPr>
        <w:t>)</w:t>
      </w:r>
      <w:r>
        <w:rPr>
          <w:noProof/>
        </w:rPr>
        <w:t>.</w:t>
      </w:r>
    </w:p>
    <w:p>
      <w:pPr>
        <w:pStyle w:val="ManualConsidrant"/>
        <w:rPr>
          <w:noProof/>
        </w:rPr>
      </w:pPr>
      <w:r>
        <w:t>(32)</w:t>
      </w:r>
      <w:r>
        <w:tab/>
      </w:r>
      <w:r>
        <w:rPr>
          <w:noProof/>
        </w:rPr>
        <w:t xml:space="preserve">Suradnja i koordinacija među tijelima u okviru ESS-a trebala bi biti ojačana kako bi se osigurale usklađenost i usporedivost europske poljoprivredne statistike proizvedene u skladu s načelima iz članka 338. stavka 2. Ugovora o funkcioniranju Europske unije. Podatke prikupljaju i druga tijela Unije koja nisu navedena u ovoj Uredbi te druge organizacije. Suradnju između tih organizacija i onih uključenih u ESS trebalo bi stoga ojačati kako bi se iskoristile sinergije. </w:t>
      </w:r>
    </w:p>
    <w:p>
      <w:pPr>
        <w:pStyle w:val="ManualConsidrant"/>
        <w:rPr>
          <w:noProof/>
        </w:rPr>
      </w:pPr>
      <w:r>
        <w:t>(33)</w:t>
      </w:r>
      <w:r>
        <w:tab/>
      </w:r>
      <w:r>
        <w:rPr>
          <w:noProof/>
        </w:rPr>
        <w:t>Provedeno je savjetovanje s Odborom za Europski statistički sustav,</w:t>
      </w:r>
    </w:p>
    <w:p>
      <w:pPr>
        <w:spacing w:before="0"/>
        <w:jc w:val="left"/>
        <w:rPr>
          <w:rFonts w:asciiTheme="minorHAnsi" w:hAnsiTheme="minorHAnsi" w:cstheme="minorHAnsi"/>
          <w:noProof/>
        </w:rPr>
      </w:pPr>
    </w:p>
    <w:p>
      <w:pPr>
        <w:pStyle w:val="Formuledadoption"/>
        <w:rPr>
          <w:noProof/>
        </w:rPr>
      </w:pPr>
      <w:r>
        <w:rPr>
          <w:noProof/>
        </w:rPr>
        <w:t>DONIJELI SU OVU UREDBU:</w:t>
      </w:r>
      <w:r>
        <w:rPr>
          <w:noProof/>
        </w:rPr>
        <w:tab/>
        <w:t xml:space="preserve"> </w:t>
      </w:r>
      <w:r>
        <w:rPr>
          <w:noProof/>
        </w:rPr>
        <w:br/>
      </w:r>
    </w:p>
    <w:p>
      <w:pPr>
        <w:keepNext/>
        <w:spacing w:before="360" w:after="200" w:line="276" w:lineRule="auto"/>
        <w:jc w:val="center"/>
        <w:rPr>
          <w:i/>
          <w:noProof/>
        </w:rPr>
      </w:pPr>
      <w:r>
        <w:rPr>
          <w:i/>
          <w:noProof/>
        </w:rPr>
        <w:t>Članak 1.</w:t>
      </w:r>
    </w:p>
    <w:p>
      <w:pPr>
        <w:keepNext/>
        <w:spacing w:before="75" w:after="75" w:line="276" w:lineRule="auto"/>
        <w:jc w:val="center"/>
        <w:rPr>
          <w:b/>
          <w:noProof/>
        </w:rPr>
      </w:pPr>
      <w:r>
        <w:rPr>
          <w:b/>
          <w:noProof/>
        </w:rPr>
        <w:t xml:space="preserve">Predmet </w:t>
      </w:r>
    </w:p>
    <w:p>
      <w:pPr>
        <w:spacing w:before="0" w:after="200" w:line="276" w:lineRule="auto"/>
        <w:rPr>
          <w:noProof/>
        </w:rPr>
      </w:pPr>
      <w:r>
        <w:rPr>
          <w:noProof/>
        </w:rPr>
        <w:t xml:space="preserve">Ovom Uredbom utvrđuje se okvir za agregiranu europsku statistiku povezanu s inputima i outputima poljoprivrednih djelatnosti te intermedijarnom upotrebom tih outputa u poljoprivredi, njihovim prikupljanjem i industrijskom preradom. </w:t>
      </w:r>
    </w:p>
    <w:p>
      <w:pPr>
        <w:keepNext/>
        <w:spacing w:before="360" w:after="200" w:line="276" w:lineRule="auto"/>
        <w:jc w:val="center"/>
        <w:rPr>
          <w:i/>
          <w:noProof/>
        </w:rPr>
      </w:pPr>
      <w:r>
        <w:rPr>
          <w:i/>
          <w:noProof/>
        </w:rPr>
        <w:t>Članak 2.</w:t>
      </w:r>
    </w:p>
    <w:p>
      <w:pPr>
        <w:keepNext/>
        <w:spacing w:before="75" w:after="75" w:line="276" w:lineRule="auto"/>
        <w:jc w:val="center"/>
        <w:rPr>
          <w:b/>
          <w:noProof/>
        </w:rPr>
      </w:pPr>
      <w:r>
        <w:rPr>
          <w:b/>
          <w:noProof/>
        </w:rPr>
        <w:t>Definicije</w:t>
      </w:r>
    </w:p>
    <w:p>
      <w:pPr>
        <w:spacing w:before="0" w:after="200" w:line="276" w:lineRule="auto"/>
        <w:rPr>
          <w:noProof/>
        </w:rPr>
      </w:pPr>
      <w:r>
        <w:rPr>
          <w:noProof/>
        </w:rPr>
        <w:t>Za potrebe ove Uredbe primjenjuju se definicije „poljoprivredne djelatnosti”, „korištene poljoprivredne površine”, „stočne jedinice”, „poljoprivrednog gospodarstva” i „poljoprivredne jedinice zajedničkog zemljišta” kako su utvrđene u članku 2. točkama (a), (b), (d), i (e) Uredbe (EU) 2018/1091.</w:t>
      </w:r>
    </w:p>
    <w:p>
      <w:pPr>
        <w:spacing w:before="0" w:after="200" w:line="276" w:lineRule="auto"/>
        <w:rPr>
          <w:noProof/>
        </w:rPr>
      </w:pPr>
      <w:r>
        <w:rPr>
          <w:noProof/>
        </w:rPr>
        <w:t>Uz njih se primjenjuju i sljedeće definicije:</w:t>
      </w:r>
    </w:p>
    <w:p>
      <w:pPr>
        <w:spacing w:before="0" w:after="200" w:line="276" w:lineRule="auto"/>
        <w:ind w:left="567" w:hanging="567"/>
        <w:rPr>
          <w:noProof/>
        </w:rPr>
      </w:pPr>
      <w:r>
        <w:rPr>
          <w:noProof/>
        </w:rPr>
        <w:t>(1)</w:t>
      </w:r>
      <w:r>
        <w:rPr>
          <w:noProof/>
        </w:rPr>
        <w:tab/>
        <w:t>„mljekara” znači poduzeće ili poljoprivredno gospodarstvo koje kupuje punomasno mlijeko ili, u određenim slučajevima, mliječne proizvode da bi ih preradilo u mliječne proizvode te poduzeća koja prikupljaju mlijeko ili vrhnje kako bi ga u cijelosti ili djelomično, bez prerade, predala drugim mljekarama;</w:t>
      </w:r>
    </w:p>
    <w:p>
      <w:pPr>
        <w:spacing w:before="0" w:after="200" w:line="276" w:lineRule="auto"/>
        <w:ind w:left="567" w:hanging="567"/>
        <w:rPr>
          <w:noProof/>
        </w:rPr>
      </w:pPr>
      <w:r>
        <w:rPr>
          <w:noProof/>
        </w:rPr>
        <w:t>(2)</w:t>
      </w:r>
      <w:r>
        <w:rPr>
          <w:noProof/>
        </w:rPr>
        <w:tab/>
        <w:t>„klaonica” znači službeno registrirano i odobreno poduzeće koje ima dozvolu za klanje i obradu životinja čije je meso namijenjeno prehrani ljudi;</w:t>
      </w:r>
    </w:p>
    <w:p>
      <w:pPr>
        <w:spacing w:before="0" w:after="200" w:line="276" w:lineRule="auto"/>
        <w:ind w:left="567" w:hanging="567"/>
        <w:rPr>
          <w:noProof/>
        </w:rPr>
      </w:pPr>
      <w:r>
        <w:rPr>
          <w:noProof/>
        </w:rPr>
        <w:t>(3)</w:t>
      </w:r>
      <w:r>
        <w:rPr>
          <w:noProof/>
        </w:rPr>
        <w:tab/>
        <w:t>„valionica” znači objekt za inkubaciju jaja, valenje i opskrbu pilićima;</w:t>
      </w:r>
    </w:p>
    <w:p>
      <w:pPr>
        <w:spacing w:before="0" w:after="200" w:line="276" w:lineRule="auto"/>
        <w:ind w:left="567" w:hanging="567"/>
        <w:rPr>
          <w:noProof/>
        </w:rPr>
      </w:pPr>
      <w:r>
        <w:rPr>
          <w:noProof/>
        </w:rPr>
        <w:t>(4)</w:t>
      </w:r>
      <w:r>
        <w:rPr>
          <w:noProof/>
        </w:rPr>
        <w:tab/>
        <w:t>„izvještajna jedinica” znači jedinica koja dostavlja statističke podatke;</w:t>
      </w:r>
    </w:p>
    <w:p>
      <w:pPr>
        <w:spacing w:before="0" w:after="200" w:line="276" w:lineRule="auto"/>
        <w:ind w:left="567" w:hanging="567"/>
        <w:rPr>
          <w:noProof/>
        </w:rPr>
      </w:pPr>
      <w:r>
        <w:rPr>
          <w:noProof/>
        </w:rPr>
        <w:lastRenderedPageBreak/>
        <w:t>(5)</w:t>
      </w:r>
      <w:r>
        <w:rPr>
          <w:noProof/>
        </w:rPr>
        <w:tab/>
        <w:t>„jedinica promatranja” znači subjekt koji se može identificirati i o kojem se mogu dobiti podaci;</w:t>
      </w:r>
    </w:p>
    <w:p>
      <w:pPr>
        <w:spacing w:before="0" w:after="200" w:line="276" w:lineRule="auto"/>
        <w:ind w:left="567" w:hanging="567"/>
        <w:rPr>
          <w:noProof/>
        </w:rPr>
      </w:pPr>
      <w:r>
        <w:rPr>
          <w:noProof/>
        </w:rPr>
        <w:t>(6)</w:t>
      </w:r>
      <w:r>
        <w:rPr>
          <w:noProof/>
        </w:rPr>
        <w:tab/>
        <w:t>„područje” znači jedan ili više skupova podataka koji obuhvaćaju pojedinačne teme;</w:t>
      </w:r>
    </w:p>
    <w:p>
      <w:pPr>
        <w:spacing w:before="0" w:after="200" w:line="276" w:lineRule="auto"/>
        <w:ind w:left="567" w:hanging="567"/>
        <w:rPr>
          <w:noProof/>
        </w:rPr>
      </w:pPr>
      <w:r>
        <w:rPr>
          <w:noProof/>
        </w:rPr>
        <w:t>(7)</w:t>
      </w:r>
      <w:r>
        <w:rPr>
          <w:noProof/>
        </w:rPr>
        <w:tab/>
        <w:t xml:space="preserve">„tema” znači sadržaj informacija koje treba sastaviti o jedinicama promatranja, pri čemu svaka tema obuhvaća jednu ili više detaljnih tema; </w:t>
      </w:r>
    </w:p>
    <w:p>
      <w:pPr>
        <w:spacing w:before="0" w:after="200" w:line="276" w:lineRule="auto"/>
        <w:ind w:left="567" w:hanging="567"/>
        <w:rPr>
          <w:noProof/>
        </w:rPr>
      </w:pPr>
      <w:r>
        <w:rPr>
          <w:noProof/>
        </w:rPr>
        <w:t>(8)</w:t>
      </w:r>
      <w:r>
        <w:rPr>
          <w:noProof/>
        </w:rPr>
        <w:tab/>
        <w:t>„detaljna tema” znači detaljni sadržaj informacija koje treba sastaviti o jedinicama promatranja koje se odnose na određenu temu, pri čemu svaka detaljna tema obuhvaća jednu ili više varijabli;</w:t>
      </w:r>
    </w:p>
    <w:p>
      <w:pPr>
        <w:spacing w:before="0" w:after="200" w:line="276" w:lineRule="auto"/>
        <w:ind w:left="567" w:hanging="567"/>
        <w:rPr>
          <w:noProof/>
        </w:rPr>
      </w:pPr>
      <w:r>
        <w:rPr>
          <w:noProof/>
        </w:rPr>
        <w:t>(9)</w:t>
      </w:r>
      <w:r>
        <w:rPr>
          <w:noProof/>
        </w:rPr>
        <w:tab/>
        <w:t>„skup podataka” znači jedna ili više agregiranih varijabli koje su organizirane kao tablica;</w:t>
      </w:r>
    </w:p>
    <w:p>
      <w:pPr>
        <w:spacing w:before="0" w:after="200" w:line="276" w:lineRule="auto"/>
        <w:ind w:left="567" w:hanging="567"/>
        <w:rPr>
          <w:noProof/>
        </w:rPr>
      </w:pPr>
      <w:r>
        <w:rPr>
          <w:noProof/>
        </w:rPr>
        <w:t>(10)</w:t>
      </w:r>
      <w:r>
        <w:rPr>
          <w:noProof/>
        </w:rPr>
        <w:tab/>
        <w:t>„varijabla” znači značajka promatrane jedinice koja može poprimiti više od jednog skupa vrijednosti;</w:t>
      </w:r>
    </w:p>
    <w:p>
      <w:pPr>
        <w:spacing w:before="0" w:after="200" w:line="276" w:lineRule="auto"/>
        <w:ind w:left="567" w:hanging="567"/>
        <w:rPr>
          <w:noProof/>
        </w:rPr>
      </w:pPr>
      <w:r>
        <w:rPr>
          <w:noProof/>
        </w:rPr>
        <w:t>(11)</w:t>
      </w:r>
      <w:r>
        <w:rPr>
          <w:noProof/>
        </w:rPr>
        <w:tab/>
        <w:t>„prethodno provjereni podaci” znači podaci koje su države članice provjerile na temelju dogovorenih zajedničkih pravila provjere, kad god ona postoje;</w:t>
      </w:r>
    </w:p>
    <w:p>
      <w:pPr>
        <w:spacing w:before="0" w:after="200" w:line="276" w:lineRule="auto"/>
        <w:ind w:left="567" w:hanging="567"/>
        <w:rPr>
          <w:noProof/>
        </w:rPr>
      </w:pPr>
      <w:r>
        <w:rPr>
          <w:noProof/>
        </w:rPr>
        <w:t>(12)</w:t>
      </w:r>
      <w:r>
        <w:rPr>
          <w:noProof/>
        </w:rPr>
        <w:tab/>
        <w:t>„</w:t>
      </w:r>
      <w:r>
        <w:rPr>
          <w:i/>
          <w:noProof/>
        </w:rPr>
        <w:t>ad hoc</w:t>
      </w:r>
      <w:r>
        <w:rPr>
          <w:noProof/>
        </w:rPr>
        <w:t xml:space="preserve"> podaci” znači podaci koji su u određenom trenutku od posebnog interesa za korisnike, no koji nisu uvršteni u redovne skupove podataka;</w:t>
      </w:r>
    </w:p>
    <w:p>
      <w:pPr>
        <w:spacing w:before="0" w:after="200" w:line="276" w:lineRule="auto"/>
        <w:ind w:left="567" w:hanging="567"/>
        <w:rPr>
          <w:noProof/>
        </w:rPr>
      </w:pPr>
      <w:r>
        <w:rPr>
          <w:noProof/>
        </w:rPr>
        <w:t>(13)</w:t>
      </w:r>
      <w:r>
        <w:rPr>
          <w:noProof/>
        </w:rPr>
        <w:tab/>
        <w:t>„administrativni podaci” znači podaci dobiveni iz nestatističkog izvora, kojima obično raspolaže javno ili privatno tijelo, a čija primarna namjena nije statistička;</w:t>
      </w:r>
    </w:p>
    <w:p>
      <w:pPr>
        <w:spacing w:before="0" w:after="200" w:line="276" w:lineRule="auto"/>
        <w:ind w:left="567" w:hanging="567"/>
        <w:rPr>
          <w:noProof/>
        </w:rPr>
      </w:pPr>
      <w:r>
        <w:rPr>
          <w:noProof/>
        </w:rPr>
        <w:t>(14)</w:t>
      </w:r>
      <w:r>
        <w:rPr>
          <w:noProof/>
        </w:rPr>
        <w:tab/>
        <w:t xml:space="preserve">„metapodaci” znači informacije koje su potrebne da bi se statistika mogla upotrebljavati i tumačiti te kojima se podaci opisuju na strukturiran način; </w:t>
      </w:r>
    </w:p>
    <w:p>
      <w:pPr>
        <w:spacing w:before="0" w:after="200" w:line="276" w:lineRule="auto"/>
        <w:ind w:left="567" w:hanging="567"/>
        <w:rPr>
          <w:noProof/>
        </w:rPr>
      </w:pPr>
      <w:r>
        <w:rPr>
          <w:noProof/>
        </w:rPr>
        <w:t>(15)</w:t>
      </w:r>
      <w:r>
        <w:rPr>
          <w:noProof/>
        </w:rPr>
        <w:tab/>
        <w:t>„profesionalni korisnik” znači osoba koja koristi sredstva za zaštitu bilja u okviru svojih profesionalnih aktivnosti, uključujući primjenitelje, tehničare, poslodavce i samozaposlene osobe u sektoru poljoprivrede.</w:t>
      </w:r>
    </w:p>
    <w:p>
      <w:pPr>
        <w:keepNext/>
        <w:spacing w:before="360" w:after="200" w:line="276" w:lineRule="auto"/>
        <w:jc w:val="center"/>
        <w:rPr>
          <w:i/>
          <w:noProof/>
        </w:rPr>
      </w:pPr>
      <w:r>
        <w:rPr>
          <w:i/>
          <w:noProof/>
        </w:rPr>
        <w:t>Članak 3.</w:t>
      </w:r>
    </w:p>
    <w:p>
      <w:pPr>
        <w:keepNext/>
        <w:spacing w:before="0" w:after="200" w:line="276" w:lineRule="auto"/>
        <w:jc w:val="center"/>
        <w:rPr>
          <w:b/>
          <w:noProof/>
        </w:rPr>
      </w:pPr>
      <w:r>
        <w:rPr>
          <w:b/>
          <w:noProof/>
        </w:rPr>
        <w:t>Statistička populacija i jedinice promatranja</w:t>
      </w:r>
    </w:p>
    <w:p>
      <w:pPr>
        <w:spacing w:before="0" w:after="200" w:line="276" w:lineRule="auto"/>
        <w:ind w:left="360" w:hanging="360"/>
        <w:rPr>
          <w:rFonts w:eastAsia="Times New Roman"/>
          <w:noProof/>
          <w:szCs w:val="24"/>
        </w:rPr>
      </w:pPr>
      <w:r>
        <w:rPr>
          <w:noProof/>
        </w:rPr>
        <w:t>1.</w:t>
      </w:r>
      <w:r>
        <w:rPr>
          <w:noProof/>
        </w:rPr>
        <w:tab/>
        <w:t xml:space="preserve">Statistička populacija koja se opisuje sastoji se od statističkih jedinica kao što su poljoprivredna gospodarstva, poljoprivredne jedinice zajedničkog zemljišta, poduzeća koja pružaju robu i usluge poljoprivredi ili kupuju ili prikupljaju proizvode dobivene poljoprivrednim djelatnostima i poduzeća koja prerađuju te poljoprivredne proizvode, posebno valionice, mljekare i klaonice. </w:t>
      </w:r>
    </w:p>
    <w:p>
      <w:pPr>
        <w:spacing w:before="0" w:after="200" w:line="276" w:lineRule="auto"/>
        <w:ind w:left="360" w:hanging="360"/>
        <w:rPr>
          <w:rFonts w:eastAsia="Times New Roman"/>
          <w:noProof/>
          <w:szCs w:val="24"/>
        </w:rPr>
      </w:pPr>
      <w:r>
        <w:rPr>
          <w:noProof/>
        </w:rPr>
        <w:t>2.</w:t>
      </w:r>
      <w:r>
        <w:rPr>
          <w:noProof/>
        </w:rPr>
        <w:tab/>
        <w:t>Jedinice promatranja koje se prikazuju u statističkom okviru odnose se na statističke jedinice iz stavka 1. i, ovisno o statistici koja se dostavlja, na sljedeće:</w:t>
      </w:r>
    </w:p>
    <w:p>
      <w:pPr>
        <w:spacing w:before="0" w:after="0" w:line="276" w:lineRule="auto"/>
        <w:ind w:left="363"/>
        <w:jc w:val="left"/>
        <w:rPr>
          <w:rFonts w:eastAsia="Times New Roman"/>
          <w:noProof/>
          <w:szCs w:val="24"/>
        </w:rPr>
      </w:pPr>
      <w:r>
        <w:rPr>
          <w:noProof/>
        </w:rPr>
        <w:t>(a)</w:t>
      </w:r>
      <w:r>
        <w:rPr>
          <w:noProof/>
        </w:rPr>
        <w:tab/>
        <w:t>zemljište koje se upotrebljava za poljoprivrednu djelatnost;</w:t>
      </w:r>
    </w:p>
    <w:p>
      <w:pPr>
        <w:spacing w:before="0" w:after="0" w:line="276" w:lineRule="auto"/>
        <w:ind w:left="363"/>
        <w:jc w:val="left"/>
        <w:rPr>
          <w:rFonts w:eastAsia="Times New Roman"/>
          <w:noProof/>
          <w:szCs w:val="24"/>
        </w:rPr>
      </w:pPr>
      <w:r>
        <w:rPr>
          <w:noProof/>
        </w:rPr>
        <w:t>(b)</w:t>
      </w:r>
      <w:r>
        <w:rPr>
          <w:noProof/>
        </w:rPr>
        <w:tab/>
        <w:t>životinje koje se upotrebljavaju za poljoprivrednu djelatnost;</w:t>
      </w:r>
    </w:p>
    <w:p>
      <w:pPr>
        <w:spacing w:before="0" w:after="0" w:line="276" w:lineRule="auto"/>
        <w:ind w:left="363"/>
        <w:jc w:val="left"/>
        <w:rPr>
          <w:rFonts w:eastAsia="Times New Roman"/>
          <w:noProof/>
          <w:sz w:val="20"/>
          <w:szCs w:val="24"/>
        </w:rPr>
      </w:pPr>
      <w:r>
        <w:rPr>
          <w:noProof/>
        </w:rPr>
        <w:lastRenderedPageBreak/>
        <w:t>(c)</w:t>
      </w:r>
      <w:r>
        <w:rPr>
          <w:noProof/>
        </w:rPr>
        <w:tab/>
        <w:t xml:space="preserve">uvoz i izvoz proizvoda dobivenih poljoprivrednim djelatnostima koji provode nepoljoprivredna poduzeća; </w:t>
      </w:r>
    </w:p>
    <w:p>
      <w:pPr>
        <w:spacing w:before="0" w:after="0" w:line="276" w:lineRule="auto"/>
        <w:ind w:left="363"/>
        <w:jc w:val="left"/>
        <w:rPr>
          <w:rFonts w:eastAsia="Times New Roman"/>
          <w:noProof/>
          <w:szCs w:val="24"/>
        </w:rPr>
      </w:pPr>
      <w:r>
        <w:rPr>
          <w:noProof/>
        </w:rPr>
        <w:t>(d)</w:t>
      </w:r>
      <w:r>
        <w:rPr>
          <w:noProof/>
        </w:rPr>
        <w:tab/>
        <w:t>transakcije i tokove proizvodnih čimbenika, robe i usluga u poljoprivredne djelatnosti i iz njih.</w:t>
      </w:r>
    </w:p>
    <w:p>
      <w:pPr>
        <w:spacing w:before="0" w:after="0" w:line="276" w:lineRule="auto"/>
        <w:ind w:left="363"/>
        <w:jc w:val="left"/>
        <w:rPr>
          <w:rFonts w:eastAsia="Times New Roman"/>
          <w:noProof/>
          <w:sz w:val="20"/>
          <w:szCs w:val="24"/>
        </w:rPr>
      </w:pPr>
    </w:p>
    <w:p>
      <w:pPr>
        <w:spacing w:before="0" w:after="200" w:line="276" w:lineRule="auto"/>
        <w:ind w:left="360" w:hanging="360"/>
        <w:rPr>
          <w:rFonts w:eastAsia="Times New Roman"/>
          <w:noProof/>
          <w:szCs w:val="24"/>
        </w:rPr>
      </w:pPr>
      <w:r>
        <w:rPr>
          <w:noProof/>
        </w:rPr>
        <w:t xml:space="preserve">3. </w:t>
      </w:r>
      <w:r>
        <w:rPr>
          <w:noProof/>
        </w:rPr>
        <w:tab/>
        <w:t>Izvještajne jedinice odnose se na statističke jedinice iz stavka 1. te na druga poduzeća i ustanove koje obrađuju informacije o zahtjevima za podatke iz članaka 5. i 6.</w:t>
      </w:r>
    </w:p>
    <w:p>
      <w:pPr>
        <w:keepNext/>
        <w:spacing w:before="360" w:after="200" w:line="276" w:lineRule="auto"/>
        <w:jc w:val="center"/>
        <w:rPr>
          <w:i/>
          <w:noProof/>
        </w:rPr>
      </w:pPr>
      <w:r>
        <w:rPr>
          <w:i/>
          <w:noProof/>
        </w:rPr>
        <w:t xml:space="preserve">Članak 4. </w:t>
      </w:r>
    </w:p>
    <w:p>
      <w:pPr>
        <w:keepNext/>
        <w:spacing w:before="0" w:after="200" w:line="276" w:lineRule="auto"/>
        <w:jc w:val="center"/>
        <w:rPr>
          <w:b/>
          <w:noProof/>
        </w:rPr>
      </w:pPr>
      <w:r>
        <w:rPr>
          <w:b/>
          <w:noProof/>
        </w:rPr>
        <w:t>Zahtjevi u pogledu opsega</w:t>
      </w:r>
    </w:p>
    <w:p>
      <w:pPr>
        <w:spacing w:before="0" w:after="200" w:line="276" w:lineRule="auto"/>
        <w:rPr>
          <w:rFonts w:eastAsia="Times New Roman"/>
          <w:noProof/>
          <w:szCs w:val="24"/>
        </w:rPr>
      </w:pPr>
      <w:r>
        <w:rPr>
          <w:noProof/>
        </w:rPr>
        <w:t>1. Statistika je reprezentativna za statističku populaciju koju opisuje.</w:t>
      </w:r>
    </w:p>
    <w:p>
      <w:pPr>
        <w:spacing w:before="0" w:after="200" w:line="276" w:lineRule="auto"/>
        <w:rPr>
          <w:rFonts w:eastAsia="Times New Roman"/>
          <w:noProof/>
          <w:szCs w:val="24"/>
        </w:rPr>
      </w:pPr>
      <w:r>
        <w:rPr>
          <w:noProof/>
        </w:rPr>
        <w:t>2. Za područje statistike o stočnoj proizvodnji iz članka 5. stavka 1. točke (a) podaci obuhvaćaju 95 % stočnih jedinica svake države članice i povezanih djelatnosti ili outputa.</w:t>
      </w:r>
    </w:p>
    <w:p>
      <w:pPr>
        <w:spacing w:before="0" w:after="200" w:line="276" w:lineRule="auto"/>
        <w:rPr>
          <w:rFonts w:eastAsia="Times New Roman"/>
          <w:noProof/>
          <w:szCs w:val="24"/>
        </w:rPr>
      </w:pPr>
      <w:r>
        <w:rPr>
          <w:noProof/>
        </w:rPr>
        <w:t xml:space="preserve">3. Za područje statistike o stočnoj proizvodnji iz članka 5. stavka 1. točke (b) i temu hranjiva iz članka 5. stavka 1. točke (d) podtočke i. podaci obuhvaćaju 95 % ukupne korištene poljoprivredne površine (osim povrtnjaka) svake države članice i povezanog obujma proizvodnje. </w:t>
      </w:r>
    </w:p>
    <w:p>
      <w:pPr>
        <w:spacing w:before="0" w:after="200" w:line="276" w:lineRule="auto"/>
        <w:rPr>
          <w:rFonts w:eastAsia="Times New Roman"/>
          <w:noProof/>
          <w:szCs w:val="24"/>
        </w:rPr>
      </w:pPr>
      <w:r>
        <w:rPr>
          <w:noProof/>
        </w:rPr>
        <w:t xml:space="preserve">4. Za temu sredstava za zaštitu bilja iz članka 5. stavka 1. točke (d) podtočke iii. podaci obuhvaćaju sredstva za zaštitu bilja koja se stavljaju na tržište kako je utvrđeno u članku 3. točki 9. Uredbe (EZ) br. 1107/2009. </w:t>
      </w:r>
    </w:p>
    <w:p>
      <w:pPr>
        <w:spacing w:before="0" w:after="200" w:line="276" w:lineRule="auto"/>
        <w:rPr>
          <w:rFonts w:eastAsia="Times New Roman"/>
          <w:noProof/>
          <w:szCs w:val="24"/>
        </w:rPr>
      </w:pPr>
      <w:r>
        <w:rPr>
          <w:noProof/>
        </w:rPr>
        <w:t xml:space="preserve">5. Komisija može donijeti provedbene akte kojima se dodatno utvrđuju zahtjevi opsega iz stavaka 2., 3. i 4. Ti se provedbeni akti donose u skladu s postupkom ispitivanja iz članka 15. stavka 2. </w:t>
      </w:r>
    </w:p>
    <w:p>
      <w:pPr>
        <w:keepNext/>
        <w:spacing w:before="360" w:after="200" w:line="276" w:lineRule="auto"/>
        <w:jc w:val="center"/>
        <w:rPr>
          <w:i/>
          <w:noProof/>
        </w:rPr>
      </w:pPr>
      <w:r>
        <w:rPr>
          <w:i/>
          <w:noProof/>
        </w:rPr>
        <w:t>Članak 5.</w:t>
      </w:r>
    </w:p>
    <w:p>
      <w:pPr>
        <w:keepNext/>
        <w:spacing w:before="0" w:after="200" w:line="276" w:lineRule="auto"/>
        <w:jc w:val="center"/>
        <w:rPr>
          <w:b/>
          <w:noProof/>
        </w:rPr>
      </w:pPr>
      <w:r>
        <w:rPr>
          <w:b/>
          <w:noProof/>
        </w:rPr>
        <w:t>Zahtjevi za redovne podatke</w:t>
      </w:r>
    </w:p>
    <w:p>
      <w:pPr>
        <w:spacing w:before="0" w:after="200" w:line="276" w:lineRule="auto"/>
        <w:ind w:left="357" w:hanging="357"/>
        <w:rPr>
          <w:noProof/>
        </w:rPr>
      </w:pPr>
      <w:r>
        <w:rPr>
          <w:noProof/>
        </w:rPr>
        <w:t>1.</w:t>
      </w:r>
      <w:r>
        <w:rPr>
          <w:noProof/>
        </w:rPr>
        <w:tab/>
        <w:t>Navedenom statistikom koja se odnosi na inpute i outpute u poljoprivrednim djelatnostima obuhvaćeni su područja i teme u nastavku:</w:t>
      </w:r>
    </w:p>
    <w:p>
      <w:pPr>
        <w:spacing w:before="0" w:after="0" w:line="276" w:lineRule="auto"/>
        <w:ind w:left="295"/>
        <w:jc w:val="left"/>
        <w:rPr>
          <w:rFonts w:eastAsia="Times New Roman"/>
          <w:noProof/>
          <w:szCs w:val="20"/>
        </w:rPr>
      </w:pPr>
      <w:r>
        <w:rPr>
          <w:noProof/>
        </w:rPr>
        <w:t>(a)</w:t>
      </w:r>
      <w:r>
        <w:rPr>
          <w:noProof/>
        </w:rPr>
        <w:tab/>
        <w:t>statistika o stočnoj proizvodnji:</w:t>
      </w:r>
    </w:p>
    <w:p>
      <w:pPr>
        <w:spacing w:before="0" w:after="0" w:line="276" w:lineRule="auto"/>
        <w:ind w:left="993"/>
        <w:jc w:val="left"/>
        <w:rPr>
          <w:rFonts w:eastAsia="Times New Roman"/>
          <w:noProof/>
          <w:szCs w:val="20"/>
        </w:rPr>
      </w:pPr>
      <w:r>
        <w:rPr>
          <w:noProof/>
        </w:rPr>
        <w:t>i.</w:t>
      </w:r>
      <w:r>
        <w:rPr>
          <w:noProof/>
        </w:rPr>
        <w:tab/>
        <w:t>stočarstvo i meso;</w:t>
      </w:r>
    </w:p>
    <w:p>
      <w:pPr>
        <w:spacing w:before="0" w:after="0" w:line="276" w:lineRule="auto"/>
        <w:ind w:left="993"/>
        <w:jc w:val="left"/>
        <w:rPr>
          <w:rFonts w:eastAsia="Times New Roman"/>
          <w:noProof/>
          <w:szCs w:val="20"/>
        </w:rPr>
      </w:pPr>
      <w:r>
        <w:rPr>
          <w:noProof/>
        </w:rPr>
        <w:t>ii.</w:t>
      </w:r>
      <w:r>
        <w:rPr>
          <w:noProof/>
        </w:rPr>
        <w:tab/>
        <w:t>jaja i pilići;</w:t>
      </w:r>
    </w:p>
    <w:p>
      <w:pPr>
        <w:spacing w:before="0" w:after="0" w:line="276" w:lineRule="auto"/>
        <w:ind w:left="993"/>
        <w:jc w:val="left"/>
        <w:rPr>
          <w:rFonts w:eastAsia="Times New Roman"/>
          <w:noProof/>
          <w:szCs w:val="20"/>
        </w:rPr>
      </w:pPr>
      <w:r>
        <w:rPr>
          <w:noProof/>
        </w:rPr>
        <w:t>iii.</w:t>
      </w:r>
      <w:r>
        <w:rPr>
          <w:noProof/>
        </w:rPr>
        <w:tab/>
        <w:t>mlijeko i mliječni proizvodi;</w:t>
      </w:r>
    </w:p>
    <w:p>
      <w:pPr>
        <w:keepNext/>
        <w:spacing w:before="0" w:after="0" w:line="276" w:lineRule="auto"/>
        <w:ind w:left="295"/>
        <w:jc w:val="left"/>
        <w:rPr>
          <w:rFonts w:eastAsia="Times New Roman"/>
          <w:noProof/>
          <w:szCs w:val="20"/>
        </w:rPr>
      </w:pPr>
      <w:r>
        <w:rPr>
          <w:noProof/>
        </w:rPr>
        <w:t>(b)</w:t>
      </w:r>
      <w:r>
        <w:rPr>
          <w:noProof/>
        </w:rPr>
        <w:tab/>
        <w:t>statistika o biljnoj proizvodnji:</w:t>
      </w:r>
    </w:p>
    <w:p>
      <w:pPr>
        <w:spacing w:before="0" w:after="0" w:line="276" w:lineRule="auto"/>
        <w:ind w:left="993"/>
        <w:jc w:val="left"/>
        <w:rPr>
          <w:rFonts w:eastAsia="Times New Roman"/>
          <w:noProof/>
          <w:szCs w:val="20"/>
        </w:rPr>
      </w:pPr>
      <w:r>
        <w:rPr>
          <w:noProof/>
        </w:rPr>
        <w:t>i.</w:t>
      </w:r>
      <w:r>
        <w:rPr>
          <w:noProof/>
        </w:rPr>
        <w:tab/>
        <w:t>biljna proizvodnja;</w:t>
      </w:r>
    </w:p>
    <w:p>
      <w:pPr>
        <w:spacing w:before="0" w:after="0" w:line="276" w:lineRule="auto"/>
        <w:ind w:left="993"/>
        <w:jc w:val="left"/>
        <w:rPr>
          <w:rFonts w:eastAsia="Times New Roman"/>
          <w:noProof/>
          <w:szCs w:val="20"/>
        </w:rPr>
      </w:pPr>
      <w:r>
        <w:rPr>
          <w:noProof/>
        </w:rPr>
        <w:t>ii.</w:t>
      </w:r>
      <w:r>
        <w:rPr>
          <w:noProof/>
        </w:rPr>
        <w:tab/>
        <w:t>biljne bilance;</w:t>
      </w:r>
    </w:p>
    <w:p>
      <w:pPr>
        <w:spacing w:before="0" w:after="0" w:line="276" w:lineRule="auto"/>
        <w:ind w:left="993"/>
        <w:jc w:val="left"/>
        <w:rPr>
          <w:rFonts w:eastAsia="Times New Roman"/>
          <w:noProof/>
          <w:szCs w:val="20"/>
        </w:rPr>
      </w:pPr>
      <w:r>
        <w:rPr>
          <w:noProof/>
        </w:rPr>
        <w:t>iii.</w:t>
      </w:r>
      <w:r>
        <w:rPr>
          <w:noProof/>
        </w:rPr>
        <w:tab/>
        <w:t>travnjaci i ispaša;</w:t>
      </w:r>
    </w:p>
    <w:p>
      <w:pPr>
        <w:keepNext/>
        <w:spacing w:before="0" w:after="0" w:line="276" w:lineRule="auto"/>
        <w:ind w:left="295"/>
        <w:jc w:val="left"/>
        <w:rPr>
          <w:rFonts w:eastAsia="Times New Roman"/>
          <w:noProof/>
          <w:szCs w:val="20"/>
        </w:rPr>
      </w:pPr>
      <w:r>
        <w:rPr>
          <w:noProof/>
        </w:rPr>
        <w:t>(c)</w:t>
      </w:r>
      <w:r>
        <w:rPr>
          <w:noProof/>
        </w:rPr>
        <w:tab/>
        <w:t>statistika o cijenama u poljoprivredi:</w:t>
      </w:r>
    </w:p>
    <w:p>
      <w:pPr>
        <w:spacing w:before="0" w:after="0" w:line="276" w:lineRule="auto"/>
        <w:ind w:left="993"/>
        <w:jc w:val="left"/>
        <w:rPr>
          <w:rFonts w:eastAsia="Times New Roman"/>
          <w:noProof/>
          <w:szCs w:val="20"/>
        </w:rPr>
      </w:pPr>
      <w:r>
        <w:rPr>
          <w:noProof/>
        </w:rPr>
        <w:t>i.</w:t>
      </w:r>
      <w:r>
        <w:rPr>
          <w:noProof/>
        </w:rPr>
        <w:tab/>
        <w:t>indeksi cijena u poljoprivredi;</w:t>
      </w:r>
    </w:p>
    <w:p>
      <w:pPr>
        <w:spacing w:before="0" w:after="0" w:line="276" w:lineRule="auto"/>
        <w:ind w:left="993"/>
        <w:jc w:val="left"/>
        <w:rPr>
          <w:rFonts w:eastAsia="Times New Roman"/>
          <w:noProof/>
          <w:szCs w:val="20"/>
        </w:rPr>
      </w:pPr>
      <w:r>
        <w:rPr>
          <w:noProof/>
        </w:rPr>
        <w:lastRenderedPageBreak/>
        <w:t>ii.</w:t>
      </w:r>
      <w:r>
        <w:rPr>
          <w:noProof/>
        </w:rPr>
        <w:tab/>
        <w:t xml:space="preserve">apsolutne cijene inputa; </w:t>
      </w:r>
    </w:p>
    <w:p>
      <w:pPr>
        <w:spacing w:before="0" w:after="0" w:line="276" w:lineRule="auto"/>
        <w:ind w:left="993"/>
        <w:jc w:val="left"/>
        <w:rPr>
          <w:rFonts w:eastAsia="Times New Roman"/>
          <w:noProof/>
          <w:szCs w:val="20"/>
        </w:rPr>
      </w:pPr>
      <w:r>
        <w:rPr>
          <w:noProof/>
        </w:rPr>
        <w:t>iii.</w:t>
      </w:r>
      <w:r>
        <w:rPr>
          <w:noProof/>
        </w:rPr>
        <w:tab/>
        <w:t>cijene i zakup poljoprivrednog zemljišta;</w:t>
      </w:r>
    </w:p>
    <w:p>
      <w:pPr>
        <w:keepNext/>
        <w:spacing w:before="0" w:after="0" w:line="276" w:lineRule="auto"/>
        <w:ind w:left="295"/>
        <w:jc w:val="left"/>
        <w:rPr>
          <w:rFonts w:eastAsia="Times New Roman"/>
          <w:noProof/>
          <w:szCs w:val="20"/>
        </w:rPr>
      </w:pPr>
      <w:r>
        <w:rPr>
          <w:noProof/>
        </w:rPr>
        <w:t>(d)</w:t>
      </w:r>
      <w:r>
        <w:rPr>
          <w:noProof/>
        </w:rPr>
        <w:tab/>
        <w:t>statistika o hranjivima i sredstvima za zaštitu bilja:</w:t>
      </w:r>
    </w:p>
    <w:p>
      <w:pPr>
        <w:spacing w:before="0" w:after="0" w:line="276" w:lineRule="auto"/>
        <w:ind w:left="993"/>
        <w:jc w:val="left"/>
        <w:rPr>
          <w:rFonts w:eastAsia="Times New Roman"/>
          <w:noProof/>
          <w:szCs w:val="20"/>
        </w:rPr>
      </w:pPr>
      <w:r>
        <w:rPr>
          <w:noProof/>
        </w:rPr>
        <w:t>i.</w:t>
      </w:r>
      <w:r>
        <w:rPr>
          <w:noProof/>
        </w:rPr>
        <w:tab/>
        <w:t>hranjiva u poljoprivrednim gnojivima;</w:t>
      </w:r>
    </w:p>
    <w:p>
      <w:pPr>
        <w:spacing w:before="0" w:after="0" w:line="276" w:lineRule="auto"/>
        <w:ind w:left="993"/>
        <w:jc w:val="left"/>
        <w:rPr>
          <w:rFonts w:eastAsia="Times New Roman"/>
          <w:noProof/>
          <w:szCs w:val="20"/>
        </w:rPr>
      </w:pPr>
      <w:r>
        <w:rPr>
          <w:noProof/>
        </w:rPr>
        <w:t>ii.</w:t>
      </w:r>
      <w:r>
        <w:rPr>
          <w:noProof/>
        </w:rPr>
        <w:tab/>
        <w:t>bilanca hranjiva;</w:t>
      </w:r>
    </w:p>
    <w:p>
      <w:pPr>
        <w:spacing w:before="0" w:after="0" w:line="276" w:lineRule="auto"/>
        <w:ind w:left="993"/>
        <w:jc w:val="left"/>
        <w:rPr>
          <w:rFonts w:eastAsia="Times New Roman"/>
          <w:noProof/>
          <w:szCs w:val="20"/>
        </w:rPr>
      </w:pPr>
      <w:r>
        <w:rPr>
          <w:noProof/>
        </w:rPr>
        <w:t>iii.</w:t>
      </w:r>
      <w:r>
        <w:rPr>
          <w:noProof/>
        </w:rPr>
        <w:tab/>
        <w:t>sredstva za zaštitu bilja.</w:t>
      </w:r>
    </w:p>
    <w:p>
      <w:pPr>
        <w:spacing w:before="0" w:after="0" w:line="276" w:lineRule="auto"/>
        <w:ind w:left="993"/>
        <w:jc w:val="left"/>
        <w:rPr>
          <w:rFonts w:eastAsia="Times New Roman"/>
          <w:noProof/>
          <w:szCs w:val="20"/>
        </w:rPr>
      </w:pPr>
    </w:p>
    <w:p>
      <w:pPr>
        <w:spacing w:before="0" w:after="200" w:line="276" w:lineRule="auto"/>
        <w:ind w:left="360" w:hanging="360"/>
        <w:rPr>
          <w:noProof/>
        </w:rPr>
      </w:pPr>
      <w:r>
        <w:rPr>
          <w:noProof/>
        </w:rPr>
        <w:t>2.</w:t>
      </w:r>
      <w:r>
        <w:rPr>
          <w:noProof/>
        </w:rPr>
        <w:tab/>
        <w:t>Detaljne teme utvrđene su u Prilogu.</w:t>
      </w:r>
    </w:p>
    <w:p>
      <w:pPr>
        <w:spacing w:before="0" w:after="200" w:line="276" w:lineRule="auto"/>
        <w:ind w:left="360" w:hanging="360"/>
        <w:rPr>
          <w:noProof/>
        </w:rPr>
      </w:pPr>
      <w:r>
        <w:rPr>
          <w:noProof/>
        </w:rPr>
        <w:t>3.</w:t>
      </w:r>
      <w:r>
        <w:rPr>
          <w:noProof/>
        </w:rPr>
        <w:tab/>
        <w:t xml:space="preserve">Podaci se dostavljaju Komisiji u obliku agregiranih skupova podataka. </w:t>
      </w:r>
    </w:p>
    <w:p>
      <w:pPr>
        <w:spacing w:before="0" w:after="200" w:line="276" w:lineRule="auto"/>
        <w:ind w:left="360" w:hanging="360"/>
        <w:rPr>
          <w:noProof/>
        </w:rPr>
      </w:pPr>
      <w:r>
        <w:rPr>
          <w:noProof/>
        </w:rPr>
        <w:t>4.</w:t>
      </w:r>
      <w:r>
        <w:rPr>
          <w:noProof/>
        </w:rPr>
        <w:tab/>
        <w:t xml:space="preserve">Podaci o organskoj proizvodnji i proizvodima koji su u skladu s Uredbom (EU) 2018/848 uključuju se u te skupove podataka. </w:t>
      </w:r>
    </w:p>
    <w:p>
      <w:pPr>
        <w:spacing w:before="0" w:after="200" w:line="276" w:lineRule="auto"/>
        <w:ind w:left="360" w:hanging="360"/>
        <w:rPr>
          <w:noProof/>
        </w:rPr>
      </w:pPr>
      <w:r>
        <w:rPr>
          <w:noProof/>
        </w:rPr>
        <w:t>5.</w:t>
      </w:r>
      <w:r>
        <w:rPr>
          <w:noProof/>
        </w:rPr>
        <w:tab/>
        <w:t xml:space="preserve">Regionalni podaci dostavljaju se na razini NUTS 2 kako je utvrđeno u Uredbi (EZ) br. 1059/2003. </w:t>
      </w:r>
    </w:p>
    <w:p>
      <w:pPr>
        <w:spacing w:before="0" w:after="200" w:line="276" w:lineRule="auto"/>
        <w:ind w:left="360" w:hanging="360"/>
        <w:rPr>
          <w:noProof/>
        </w:rPr>
      </w:pPr>
      <w:r>
        <w:rPr>
          <w:noProof/>
        </w:rPr>
        <w:t>6.</w:t>
      </w:r>
      <w:r>
        <w:rPr>
          <w:noProof/>
        </w:rPr>
        <w:tab/>
        <w:t xml:space="preserve">Ako varijabla ima nisku ili nultu pojavnost u državi članici, njezine se vrijednosti mogu izostaviti iz dostavljenih skupova podataka ako je dotična država članica Komisiji (Eurostatu) dostavila propisno obrazloženje za to izostavljanje. </w:t>
      </w:r>
    </w:p>
    <w:p>
      <w:pPr>
        <w:spacing w:before="0" w:after="200" w:line="276" w:lineRule="auto"/>
        <w:ind w:left="360" w:hanging="360"/>
        <w:rPr>
          <w:noProof/>
        </w:rPr>
      </w:pPr>
      <w:r>
        <w:rPr>
          <w:noProof/>
        </w:rPr>
        <w:t xml:space="preserve">7. </w:t>
      </w:r>
      <w:r>
        <w:rPr>
          <w:noProof/>
        </w:rPr>
        <w:tab/>
        <w:t>Države članice prikupljaju relevantne informacije o cijeni koje se odnose na poljoprivredne inpute i outpute, uključujući značajke i pondere robe i usluga, radi sastavljanja usporedivih indeksa cijena i za varijable koje su potrebne za ekonomske račune u poljoprivredi obuhvaćene Uredbom (EZ) br. 138/2004.</w:t>
      </w:r>
    </w:p>
    <w:p>
      <w:pPr>
        <w:spacing w:before="0" w:after="200" w:line="276" w:lineRule="auto"/>
        <w:ind w:left="360" w:hanging="360"/>
        <w:rPr>
          <w:noProof/>
        </w:rPr>
      </w:pPr>
      <w:r>
        <w:rPr>
          <w:noProof/>
        </w:rPr>
        <w:t>8.</w:t>
      </w:r>
      <w:r>
        <w:rPr>
          <w:noProof/>
        </w:rPr>
        <w:tab/>
        <w:t xml:space="preserve">Komisija je ovlaštena za donošenje delegiranih akata u skladu s člankom 14. kojima se mijenjaju detaljne teme navedene u Prilogu. </w:t>
      </w:r>
    </w:p>
    <w:p>
      <w:pPr>
        <w:spacing w:before="0" w:after="200" w:line="276" w:lineRule="auto"/>
        <w:ind w:left="360" w:hanging="360"/>
        <w:rPr>
          <w:noProof/>
        </w:rPr>
      </w:pPr>
      <w:r>
        <w:rPr>
          <w:noProof/>
        </w:rPr>
        <w:t>9.</w:t>
      </w:r>
      <w:r>
        <w:rPr>
          <w:noProof/>
        </w:rPr>
        <w:tab/>
        <w:t xml:space="preserve">Komisija može donijeti provedbene akte kojima se utvrđuju skupovi podataka koji se dostavljaju Komisiji (Eurostatu). Tim provedbenim aktima utvrđuju se, prema potrebi, sljedeći tehnički elementi podataka koji se dostavljaju: </w:t>
      </w:r>
    </w:p>
    <w:p>
      <w:pPr>
        <w:pStyle w:val="Point0"/>
        <w:rPr>
          <w:noProof/>
        </w:rPr>
      </w:pPr>
      <w:r>
        <w:t>(a)</w:t>
      </w:r>
      <w:r>
        <w:tab/>
      </w:r>
      <w:r>
        <w:rPr>
          <w:noProof/>
        </w:rPr>
        <w:t>popis varijabli;</w:t>
      </w:r>
    </w:p>
    <w:p>
      <w:pPr>
        <w:pStyle w:val="Point0"/>
        <w:rPr>
          <w:noProof/>
        </w:rPr>
      </w:pPr>
      <w:r>
        <w:t>(b)</w:t>
      </w:r>
      <w:r>
        <w:tab/>
      </w:r>
      <w:r>
        <w:rPr>
          <w:noProof/>
        </w:rPr>
        <w:t>opisi varijabli;</w:t>
      </w:r>
    </w:p>
    <w:p>
      <w:pPr>
        <w:pStyle w:val="Point0"/>
        <w:rPr>
          <w:noProof/>
        </w:rPr>
      </w:pPr>
      <w:r>
        <w:t>(c)</w:t>
      </w:r>
      <w:r>
        <w:tab/>
      </w:r>
      <w:r>
        <w:rPr>
          <w:noProof/>
        </w:rPr>
        <w:t xml:space="preserve">varijable za ekološku proizvodnju i proizvode; </w:t>
      </w:r>
    </w:p>
    <w:p>
      <w:pPr>
        <w:pStyle w:val="Point0"/>
        <w:rPr>
          <w:noProof/>
        </w:rPr>
      </w:pPr>
      <w:r>
        <w:t>(d)</w:t>
      </w:r>
      <w:r>
        <w:tab/>
      </w:r>
      <w:r>
        <w:rPr>
          <w:noProof/>
        </w:rPr>
        <w:t>varijable na regionalnoj razini;</w:t>
      </w:r>
    </w:p>
    <w:p>
      <w:pPr>
        <w:pStyle w:val="Point0"/>
        <w:rPr>
          <w:noProof/>
        </w:rPr>
      </w:pPr>
      <w:r>
        <w:t>(e)</w:t>
      </w:r>
      <w:r>
        <w:tab/>
      </w:r>
      <w:r>
        <w:rPr>
          <w:noProof/>
        </w:rPr>
        <w:t>jedinice promatranja i izvještajne jedinice;</w:t>
      </w:r>
    </w:p>
    <w:p>
      <w:pPr>
        <w:pStyle w:val="Point0"/>
        <w:rPr>
          <w:noProof/>
        </w:rPr>
      </w:pPr>
      <w:r>
        <w:t>(f)</w:t>
      </w:r>
      <w:r>
        <w:tab/>
      </w:r>
      <w:r>
        <w:rPr>
          <w:noProof/>
        </w:rPr>
        <w:t>zahtjevi preciznosti;</w:t>
      </w:r>
    </w:p>
    <w:p>
      <w:pPr>
        <w:pStyle w:val="Point0"/>
        <w:rPr>
          <w:noProof/>
        </w:rPr>
      </w:pPr>
      <w:r>
        <w:t>(g)</w:t>
      </w:r>
      <w:r>
        <w:tab/>
      </w:r>
      <w:r>
        <w:rPr>
          <w:noProof/>
        </w:rPr>
        <w:t>metodološka pravila;</w:t>
      </w:r>
    </w:p>
    <w:p>
      <w:pPr>
        <w:pStyle w:val="Point0"/>
        <w:rPr>
          <w:noProof/>
        </w:rPr>
      </w:pPr>
      <w:r>
        <w:t>(h)</w:t>
      </w:r>
      <w:r>
        <w:tab/>
      </w:r>
      <w:r>
        <w:rPr>
          <w:noProof/>
        </w:rPr>
        <w:t>rokovi za dostavu podataka.</w:t>
      </w:r>
    </w:p>
    <w:p>
      <w:pPr>
        <w:spacing w:before="0" w:after="200" w:line="276" w:lineRule="auto"/>
        <w:ind w:left="360"/>
        <w:rPr>
          <w:noProof/>
        </w:rPr>
      </w:pPr>
      <w:r>
        <w:rPr>
          <w:noProof/>
        </w:rPr>
        <w:t>Ti se provedbeni akti donose u skladu s postupkom ispitivanja iz članka 15. stavka 2. najkasnije devet mjeseci prije početka referentne godine.</w:t>
      </w:r>
    </w:p>
    <w:p>
      <w:pPr>
        <w:spacing w:before="0" w:after="200" w:line="276" w:lineRule="auto"/>
        <w:ind w:left="360" w:hanging="360"/>
        <w:rPr>
          <w:rFonts w:eastAsia="Times New Roman"/>
          <w:noProof/>
          <w:color w:val="000000"/>
          <w:szCs w:val="24"/>
        </w:rPr>
      </w:pPr>
      <w:r>
        <w:rPr>
          <w:noProof/>
          <w:color w:val="000000"/>
          <w:szCs w:val="24"/>
        </w:rPr>
        <w:lastRenderedPageBreak/>
        <w:t>10.</w:t>
      </w:r>
      <w:r>
        <w:rPr>
          <w:noProof/>
        </w:rPr>
        <w:tab/>
      </w:r>
      <w:r>
        <w:rPr>
          <w:noProof/>
          <w:color w:val="000000"/>
          <w:szCs w:val="24"/>
        </w:rPr>
        <w:t xml:space="preserve">Države članice dostavljaju prethodno provjerene podatke i povezane metapodatke u tehničkom formatu </w:t>
      </w:r>
      <w:r>
        <w:rPr>
          <w:noProof/>
        </w:rPr>
        <w:t>koji određuje</w:t>
      </w:r>
      <w:r>
        <w:rPr>
          <w:noProof/>
          <w:color w:val="000000"/>
          <w:szCs w:val="24"/>
        </w:rPr>
        <w:t xml:space="preserve"> Komisija (Eurostat) za svaki skup podataka. Podaci se Komisiji (Eurostatu) dostavljaju s pomoću usluga jedinstvene ulazne točke.</w:t>
      </w:r>
    </w:p>
    <w:p>
      <w:pPr>
        <w:keepNext/>
        <w:spacing w:before="360" w:after="200" w:line="276" w:lineRule="auto"/>
        <w:jc w:val="center"/>
        <w:rPr>
          <w:i/>
          <w:noProof/>
        </w:rPr>
      </w:pPr>
      <w:r>
        <w:rPr>
          <w:i/>
          <w:noProof/>
        </w:rPr>
        <w:t>Članak 6.</w:t>
      </w:r>
    </w:p>
    <w:p>
      <w:pPr>
        <w:keepNext/>
        <w:spacing w:before="75" w:after="75" w:line="276" w:lineRule="auto"/>
        <w:jc w:val="center"/>
        <w:rPr>
          <w:b/>
          <w:noProof/>
          <w:color w:val="000000" w:themeColor="text1"/>
        </w:rPr>
      </w:pPr>
      <w:r>
        <w:rPr>
          <w:b/>
          <w:noProof/>
          <w:color w:val="000000" w:themeColor="text1"/>
        </w:rPr>
        <w:t xml:space="preserve">Zahtjevi za </w:t>
      </w:r>
      <w:r>
        <w:rPr>
          <w:b/>
          <w:i/>
          <w:noProof/>
          <w:color w:val="000000" w:themeColor="text1"/>
        </w:rPr>
        <w:t>ad hoc</w:t>
      </w:r>
      <w:r>
        <w:rPr>
          <w:b/>
          <w:noProof/>
          <w:color w:val="000000" w:themeColor="text1"/>
        </w:rPr>
        <w:t xml:space="preserve"> podatke</w:t>
      </w:r>
    </w:p>
    <w:p>
      <w:pPr>
        <w:spacing w:before="0" w:after="200" w:line="276" w:lineRule="auto"/>
        <w:ind w:left="360" w:hanging="360"/>
        <w:jc w:val="left"/>
        <w:rPr>
          <w:noProof/>
          <w:szCs w:val="20"/>
        </w:rPr>
      </w:pPr>
      <w:r>
        <w:rPr>
          <w:noProof/>
        </w:rPr>
        <w:t>1.</w:t>
      </w:r>
      <w:r>
        <w:rPr>
          <w:noProof/>
        </w:rPr>
        <w:tab/>
        <w:t xml:space="preserve">Komisija je ovlaštena za donošenje delegiranih akata kojima se dopunjuje ova Uredba u skladu s člankom 14. u kojima se navode informacije koje se dostavljaju </w:t>
      </w:r>
      <w:r>
        <w:rPr>
          <w:i/>
          <w:noProof/>
        </w:rPr>
        <w:t>ad hoc</w:t>
      </w:r>
      <w:r>
        <w:rPr>
          <w:noProof/>
        </w:rPr>
        <w:t xml:space="preserve"> ako se smatra da je potrebno prikupiti dodatne informacije. Tim delegiranim aktima utvrđuju se:</w:t>
      </w:r>
    </w:p>
    <w:p>
      <w:pPr>
        <w:pStyle w:val="Point0"/>
        <w:rPr>
          <w:noProof/>
        </w:rPr>
      </w:pPr>
      <w:r>
        <w:t>(a)</w:t>
      </w:r>
      <w:r>
        <w:tab/>
      </w:r>
      <w:r>
        <w:rPr>
          <w:noProof/>
        </w:rPr>
        <w:t xml:space="preserve">teme i detaljne teme koje je potrebno dostaviti u prikupljanju </w:t>
      </w:r>
      <w:r>
        <w:rPr>
          <w:i/>
          <w:noProof/>
        </w:rPr>
        <w:t>ad hoc</w:t>
      </w:r>
      <w:r>
        <w:rPr>
          <w:noProof/>
        </w:rPr>
        <w:t xml:space="preserve"> podataka i razlozi za takve dodatne statističke potrebe;</w:t>
      </w:r>
    </w:p>
    <w:p>
      <w:pPr>
        <w:pStyle w:val="Point0"/>
        <w:rPr>
          <w:noProof/>
        </w:rPr>
      </w:pPr>
      <w:r>
        <w:t>(b)</w:t>
      </w:r>
      <w:r>
        <w:tab/>
      </w:r>
      <w:r>
        <w:rPr>
          <w:noProof/>
        </w:rPr>
        <w:t>referentna razdoblja.</w:t>
      </w:r>
    </w:p>
    <w:p>
      <w:pPr>
        <w:spacing w:before="0" w:after="200" w:line="276" w:lineRule="auto"/>
        <w:ind w:left="360" w:hanging="360"/>
        <w:rPr>
          <w:noProof/>
          <w:szCs w:val="24"/>
        </w:rPr>
      </w:pPr>
      <w:r>
        <w:rPr>
          <w:noProof/>
        </w:rPr>
        <w:t>2.</w:t>
      </w:r>
      <w:r>
        <w:rPr>
          <w:noProof/>
        </w:rPr>
        <w:tab/>
        <w:t xml:space="preserve">Komisija je ovlaštena za donošenje delegiranih akata iz stavka 1. počevši od referentne godine </w:t>
      </w:r>
      <w:r>
        <w:rPr>
          <w:i/>
          <w:noProof/>
          <w:szCs w:val="24"/>
        </w:rPr>
        <w:t>[unijeti datum dvije godine nakon stupanja uredbe na snagu</w:t>
      </w:r>
      <w:r>
        <w:rPr>
          <w:noProof/>
        </w:rPr>
        <w:t xml:space="preserve">] i najmanje svake dvije godine između pojedinačnih prikupljanja </w:t>
      </w:r>
      <w:r>
        <w:rPr>
          <w:i/>
          <w:noProof/>
          <w:szCs w:val="24"/>
        </w:rPr>
        <w:t>ad hoc</w:t>
      </w:r>
      <w:r>
        <w:rPr>
          <w:noProof/>
        </w:rPr>
        <w:t xml:space="preserve"> podataka. </w:t>
      </w:r>
    </w:p>
    <w:p>
      <w:pPr>
        <w:spacing w:before="0" w:after="200" w:line="276" w:lineRule="auto"/>
        <w:ind w:left="360" w:hanging="360"/>
        <w:rPr>
          <w:noProof/>
          <w:szCs w:val="24"/>
        </w:rPr>
      </w:pPr>
      <w:r>
        <w:rPr>
          <w:noProof/>
        </w:rPr>
        <w:t>3.</w:t>
      </w:r>
      <w:r>
        <w:rPr>
          <w:noProof/>
        </w:rPr>
        <w:tab/>
        <w:t>Komisija može donijeti provedbene akte kojima se utvrđuju:</w:t>
      </w:r>
    </w:p>
    <w:p>
      <w:pPr>
        <w:pStyle w:val="Point0"/>
        <w:rPr>
          <w:noProof/>
          <w:sz w:val="16"/>
        </w:rPr>
      </w:pPr>
      <w:r>
        <w:t>(a)</w:t>
      </w:r>
      <w:r>
        <w:tab/>
      </w:r>
      <w:r>
        <w:rPr>
          <w:noProof/>
        </w:rPr>
        <w:t>popis varijabli koje se dostavljaju Komisiji (Eurostatu);</w:t>
      </w:r>
    </w:p>
    <w:p>
      <w:pPr>
        <w:pStyle w:val="Point0"/>
        <w:rPr>
          <w:noProof/>
        </w:rPr>
      </w:pPr>
      <w:r>
        <w:t>(b)</w:t>
      </w:r>
      <w:r>
        <w:tab/>
      </w:r>
      <w:r>
        <w:rPr>
          <w:noProof/>
        </w:rPr>
        <w:t>opisi varijabli;</w:t>
      </w:r>
    </w:p>
    <w:p>
      <w:pPr>
        <w:pStyle w:val="Point0"/>
        <w:rPr>
          <w:noProof/>
        </w:rPr>
      </w:pPr>
      <w:r>
        <w:t>(c)</w:t>
      </w:r>
      <w:r>
        <w:tab/>
      </w:r>
      <w:r>
        <w:rPr>
          <w:noProof/>
        </w:rPr>
        <w:t xml:space="preserve">zahtjevi preciznosti; </w:t>
      </w:r>
    </w:p>
    <w:p>
      <w:pPr>
        <w:pStyle w:val="Point0"/>
        <w:rPr>
          <w:noProof/>
        </w:rPr>
      </w:pPr>
      <w:r>
        <w:t>(d)</w:t>
      </w:r>
      <w:r>
        <w:tab/>
      </w:r>
      <w:r>
        <w:rPr>
          <w:noProof/>
        </w:rPr>
        <w:t>rokovi za dostavu podataka.</w:t>
      </w:r>
    </w:p>
    <w:p>
      <w:pPr>
        <w:spacing w:before="0" w:after="200" w:line="276" w:lineRule="auto"/>
        <w:ind w:left="360"/>
        <w:rPr>
          <w:noProof/>
          <w:szCs w:val="24"/>
        </w:rPr>
      </w:pPr>
      <w:r>
        <w:rPr>
          <w:noProof/>
        </w:rPr>
        <w:t>Ti se provedbeni akti donose u skladu s postupkom ispitivanja iz članka 15. najkasnije 12 mjeseci prije početka referentne godine.</w:t>
      </w:r>
    </w:p>
    <w:p>
      <w:pPr>
        <w:keepNext/>
        <w:spacing w:before="360" w:after="200" w:line="276" w:lineRule="auto"/>
        <w:jc w:val="center"/>
        <w:rPr>
          <w:i/>
          <w:noProof/>
        </w:rPr>
      </w:pPr>
      <w:r>
        <w:rPr>
          <w:i/>
          <w:noProof/>
        </w:rPr>
        <w:t>Članak 7.</w:t>
      </w:r>
    </w:p>
    <w:p>
      <w:pPr>
        <w:keepNext/>
        <w:spacing w:before="360" w:after="200" w:line="276" w:lineRule="auto"/>
        <w:jc w:val="center"/>
        <w:rPr>
          <w:b/>
          <w:noProof/>
        </w:rPr>
      </w:pPr>
      <w:r>
        <w:rPr>
          <w:b/>
          <w:noProof/>
        </w:rPr>
        <w:t xml:space="preserve">Učestalost dostave skupova podataka </w:t>
      </w:r>
    </w:p>
    <w:p>
      <w:pPr>
        <w:spacing w:before="0" w:after="200" w:line="276" w:lineRule="auto"/>
        <w:ind w:left="360" w:hanging="360"/>
        <w:rPr>
          <w:noProof/>
        </w:rPr>
      </w:pPr>
      <w:r>
        <w:rPr>
          <w:noProof/>
        </w:rPr>
        <w:t>1.</w:t>
      </w:r>
      <w:r>
        <w:rPr>
          <w:noProof/>
        </w:rPr>
        <w:tab/>
        <w:t xml:space="preserve">Učestalost dostave skupova podataka utvrđena je u Prilogu. Komisija može donijeti provedbene akte kako bi dodatno odredila svaku učestalost dostave. </w:t>
      </w:r>
    </w:p>
    <w:p>
      <w:pPr>
        <w:spacing w:before="0" w:after="200" w:line="276" w:lineRule="auto"/>
        <w:ind w:left="360" w:hanging="360"/>
        <w:rPr>
          <w:noProof/>
        </w:rPr>
      </w:pPr>
      <w:r>
        <w:rPr>
          <w:noProof/>
        </w:rPr>
        <w:t>2.</w:t>
      </w:r>
      <w:r>
        <w:rPr>
          <w:noProof/>
        </w:rPr>
        <w:tab/>
        <w:t xml:space="preserve">Država članica može biti izuzeta od određenih redovitih dostava podataka ako ima ograničen učinak na ukupne varijable EU-a. Komisija može donijeti provedbene akte kojima se utvrđuju pragovi za varijable u skladu sa specifičnom metodologijom tako da se primjenom tih pragova informacije o očekivanim ukupnim varijablama EU-a u referentnoj godini ne smanje za više od 5 %. Pragovi se revidiraju tako da odgovaraju kretanjima ukupnih vrijednosti EU-a, a tu reviziju pokreće Komisija (Eurostat). </w:t>
      </w:r>
    </w:p>
    <w:p>
      <w:pPr>
        <w:spacing w:before="0" w:after="200" w:line="276" w:lineRule="auto"/>
        <w:ind w:left="360" w:hanging="360"/>
        <w:jc w:val="left"/>
        <w:rPr>
          <w:rFonts w:eastAsia="Times New Roman"/>
          <w:noProof/>
          <w:szCs w:val="20"/>
        </w:rPr>
      </w:pPr>
      <w:r>
        <w:rPr>
          <w:noProof/>
        </w:rPr>
        <w:t xml:space="preserve">3. </w:t>
      </w:r>
      <w:r>
        <w:rPr>
          <w:noProof/>
        </w:rPr>
        <w:tab/>
        <w:t>Komisija može donijeti provedbene akte kako bi dodatno utvrdila sljedeće:</w:t>
      </w:r>
    </w:p>
    <w:p>
      <w:pPr>
        <w:pStyle w:val="Point0"/>
        <w:rPr>
          <w:noProof/>
          <w:sz w:val="16"/>
        </w:rPr>
      </w:pPr>
      <w:r>
        <w:t>(a)</w:t>
      </w:r>
      <w:r>
        <w:tab/>
      </w:r>
      <w:r>
        <w:rPr>
          <w:noProof/>
        </w:rPr>
        <w:t>prag ispod kojeg se smatra da proizvodnja varijable ima ograničen učinak na očekivani ukupni agregat EU-a;</w:t>
      </w:r>
    </w:p>
    <w:p>
      <w:pPr>
        <w:pStyle w:val="Point0"/>
        <w:rPr>
          <w:noProof/>
        </w:rPr>
      </w:pPr>
      <w:r>
        <w:lastRenderedPageBreak/>
        <w:t>(b)</w:t>
      </w:r>
      <w:r>
        <w:tab/>
      </w:r>
      <w:r>
        <w:rPr>
          <w:noProof/>
        </w:rPr>
        <w:t>izvor podataka i metodologiju koju je potrebno primijeniti za utvrđivanje praga;</w:t>
      </w:r>
    </w:p>
    <w:p>
      <w:pPr>
        <w:pStyle w:val="Point0"/>
        <w:rPr>
          <w:noProof/>
        </w:rPr>
      </w:pPr>
      <w:r>
        <w:t>(c)</w:t>
      </w:r>
      <w:r>
        <w:tab/>
      </w:r>
      <w:r>
        <w:rPr>
          <w:noProof/>
        </w:rPr>
        <w:t>varijable na koje se to izuzeće primjenjuje.</w:t>
      </w:r>
    </w:p>
    <w:p>
      <w:pPr>
        <w:spacing w:before="0" w:after="200" w:line="276" w:lineRule="auto"/>
        <w:ind w:left="360"/>
        <w:rPr>
          <w:noProof/>
          <w:szCs w:val="24"/>
        </w:rPr>
      </w:pPr>
      <w:r>
        <w:rPr>
          <w:noProof/>
        </w:rPr>
        <w:t>Provedbeni akti iz stavaka 1., 2. i 3. donose se u skladu s postupkom ispitivanja iz članka 15. stavka 2.</w:t>
      </w:r>
    </w:p>
    <w:p>
      <w:pPr>
        <w:keepNext/>
        <w:spacing w:before="360" w:after="200" w:line="276" w:lineRule="auto"/>
        <w:jc w:val="center"/>
        <w:rPr>
          <w:i/>
          <w:noProof/>
        </w:rPr>
      </w:pPr>
      <w:r>
        <w:rPr>
          <w:i/>
          <w:noProof/>
        </w:rPr>
        <w:t>Članak 8.</w:t>
      </w:r>
    </w:p>
    <w:p>
      <w:pPr>
        <w:keepNext/>
        <w:spacing w:before="75" w:after="75" w:line="276" w:lineRule="auto"/>
        <w:jc w:val="center"/>
        <w:rPr>
          <w:b/>
          <w:noProof/>
          <w:szCs w:val="24"/>
        </w:rPr>
      </w:pPr>
      <w:r>
        <w:rPr>
          <w:b/>
          <w:noProof/>
          <w:szCs w:val="24"/>
        </w:rPr>
        <w:t>Izvori podataka i metode</w:t>
      </w:r>
    </w:p>
    <w:p>
      <w:pPr>
        <w:spacing w:before="0" w:after="200" w:line="276" w:lineRule="auto"/>
        <w:ind w:left="360" w:hanging="360"/>
        <w:rPr>
          <w:noProof/>
          <w:szCs w:val="24"/>
        </w:rPr>
      </w:pPr>
      <w:r>
        <w:rPr>
          <w:noProof/>
        </w:rPr>
        <w:t>1.</w:t>
      </w:r>
      <w:r>
        <w:rPr>
          <w:noProof/>
        </w:rPr>
        <w:tab/>
        <w:t>Kako bi prikupile statističke podatke koji se odnosi na inpute i outpute poljoprivrednih djelatnosti, države članice upotrebljavaju jedan ili više izvora ili metoda u nastavku, pod uvjetom da se na temelju tih informacija može izraditi statistika koja ispunjava zahtjeve u pogledu kvalitete iz članka 10.:</w:t>
      </w:r>
    </w:p>
    <w:p>
      <w:pPr>
        <w:pStyle w:val="Point0"/>
        <w:rPr>
          <w:noProof/>
        </w:rPr>
      </w:pPr>
      <w:r>
        <w:t>(a)</w:t>
      </w:r>
      <w:r>
        <w:tab/>
      </w:r>
      <w:r>
        <w:rPr>
          <w:noProof/>
        </w:rPr>
        <w:t>statistička istraživanja ili druge statističke metode prikupljanja podataka;</w:t>
      </w:r>
    </w:p>
    <w:p>
      <w:pPr>
        <w:pStyle w:val="Point0"/>
        <w:rPr>
          <w:noProof/>
        </w:rPr>
      </w:pPr>
      <w:r>
        <w:t>(b)</w:t>
      </w:r>
      <w:r>
        <w:tab/>
      </w:r>
      <w:r>
        <w:rPr>
          <w:noProof/>
        </w:rPr>
        <w:t>izvore administrativnih podataka iz stavka 2.;</w:t>
      </w:r>
    </w:p>
    <w:p>
      <w:pPr>
        <w:pStyle w:val="Point0"/>
        <w:rPr>
          <w:noProof/>
        </w:rPr>
      </w:pPr>
      <w:r>
        <w:t>(c)</w:t>
      </w:r>
      <w:r>
        <w:tab/>
      </w:r>
      <w:r>
        <w:rPr>
          <w:noProof/>
        </w:rPr>
        <w:t>druge izvore, metode ili inovativne pristupe.</w:t>
      </w:r>
    </w:p>
    <w:p>
      <w:pPr>
        <w:spacing w:before="0" w:after="200" w:line="276" w:lineRule="auto"/>
        <w:ind w:left="360" w:hanging="360"/>
        <w:rPr>
          <w:noProof/>
          <w:szCs w:val="24"/>
        </w:rPr>
      </w:pPr>
      <w:r>
        <w:rPr>
          <w:noProof/>
        </w:rPr>
        <w:t>2.</w:t>
      </w:r>
      <w:r>
        <w:rPr>
          <w:noProof/>
        </w:rPr>
        <w:tab/>
        <w:t>Države članice mogu se koristiti informacijama iz integriranog administrativnog i kontrolnog sustava (IAKS) uspostavljenog Uredbom (EU) br. 1307/2013 Europskog parlamenta i Vijeća </w:t>
      </w:r>
      <w:r>
        <w:rPr>
          <w:noProof/>
          <w:szCs w:val="24"/>
          <w:vertAlign w:val="superscript"/>
        </w:rPr>
        <w:t>(</w:t>
      </w:r>
      <w:r>
        <w:rPr>
          <w:rStyle w:val="FootnoteReference"/>
          <w:noProof/>
        </w:rPr>
        <w:footnoteReference w:id="29"/>
      </w:r>
      <w:r>
        <w:rPr>
          <w:noProof/>
          <w:szCs w:val="24"/>
          <w:vertAlign w:val="superscript"/>
        </w:rPr>
        <w:t>)</w:t>
      </w:r>
      <w:r>
        <w:rPr>
          <w:noProof/>
        </w:rPr>
        <w:t>, sustava označivanja i registracije životinja vrste goveda uspostavljenog Uredbom (EZ) br. 1760/2000 Europskog parlamenta i Vijeća </w:t>
      </w:r>
      <w:r>
        <w:rPr>
          <w:noProof/>
          <w:szCs w:val="24"/>
          <w:vertAlign w:val="superscript"/>
        </w:rPr>
        <w:t>(</w:t>
      </w:r>
      <w:r>
        <w:rPr>
          <w:rStyle w:val="FootnoteReference"/>
          <w:noProof/>
        </w:rPr>
        <w:footnoteReference w:id="30"/>
      </w:r>
      <w:r>
        <w:rPr>
          <w:noProof/>
          <w:szCs w:val="24"/>
          <w:vertAlign w:val="superscript"/>
        </w:rPr>
        <w:t>)</w:t>
      </w:r>
      <w:r>
        <w:rPr>
          <w:noProof/>
        </w:rPr>
        <w:t xml:space="preserve"> te sustava za označivanje i registraciju ovaca i koza uspostavljenog Uredbom Vijeća (EZ) br. 21/2004 </w:t>
      </w:r>
      <w:r>
        <w:rPr>
          <w:noProof/>
          <w:szCs w:val="24"/>
          <w:vertAlign w:val="superscript"/>
        </w:rPr>
        <w:t>(</w:t>
      </w:r>
      <w:r>
        <w:rPr>
          <w:rStyle w:val="FootnoteReference"/>
          <w:noProof/>
        </w:rPr>
        <w:footnoteReference w:id="31"/>
      </w:r>
      <w:r>
        <w:rPr>
          <w:noProof/>
          <w:szCs w:val="24"/>
          <w:vertAlign w:val="superscript"/>
        </w:rPr>
        <w:t>)</w:t>
      </w:r>
      <w:r>
        <w:rPr>
          <w:noProof/>
        </w:rPr>
        <w:t>, registra vinograda koji se primjenjuje u skladu s člankom 145. Uredbe (EU) br. 1308/2013 Europskog parlamenta i Vijeća </w:t>
      </w:r>
      <w:r>
        <w:rPr>
          <w:noProof/>
          <w:szCs w:val="24"/>
          <w:vertAlign w:val="superscript"/>
        </w:rPr>
        <w:t>(</w:t>
      </w:r>
      <w:r>
        <w:rPr>
          <w:rStyle w:val="FootnoteReference"/>
          <w:noProof/>
        </w:rPr>
        <w:footnoteReference w:id="32"/>
      </w:r>
      <w:r>
        <w:rPr>
          <w:noProof/>
          <w:szCs w:val="24"/>
          <w:vertAlign w:val="superscript"/>
        </w:rPr>
        <w:t>)</w:t>
      </w:r>
      <w:r>
        <w:rPr>
          <w:noProof/>
        </w:rPr>
        <w:t xml:space="preserve"> i registara ekološkog uzgoja uspostavljenih u skladu s Uredbom Vijeća (EU) 2018/848.  </w:t>
      </w:r>
    </w:p>
    <w:p>
      <w:pPr>
        <w:spacing w:before="0" w:after="200" w:line="276" w:lineRule="auto"/>
        <w:ind w:left="360" w:hanging="360"/>
        <w:rPr>
          <w:noProof/>
          <w:szCs w:val="24"/>
        </w:rPr>
      </w:pPr>
      <w:r>
        <w:rPr>
          <w:noProof/>
        </w:rPr>
        <w:t>3.</w:t>
      </w:r>
      <w:r>
        <w:rPr>
          <w:noProof/>
        </w:rPr>
        <w:tab/>
        <w:t xml:space="preserve">Statistički podaci o sredstvima za zaštitu bilja iz članka 5. stavka 1. točke (d) podtočke iii. pružaju se s pomoću evidencija vođenih i stavljenih na raspolaganje u skladu s člankom 67. Uredbe (EZ) br. 1107/2009. </w:t>
      </w:r>
    </w:p>
    <w:p>
      <w:pPr>
        <w:spacing w:before="0" w:after="200" w:line="276" w:lineRule="auto"/>
        <w:ind w:left="360" w:hanging="360"/>
        <w:rPr>
          <w:noProof/>
        </w:rPr>
      </w:pPr>
      <w:r>
        <w:rPr>
          <w:noProof/>
        </w:rPr>
        <w:t>4. U tu svrhu države članice od profesionalnih korisnika sredstava za zaštitu bilja zahtijevaju u elektroničkom obliku evidenciju koja obuhvaća barem naziv sredstva za zaštitu bilja, dozu primjene, glavnu površinu i usjev na kojem se sredstvo za zaštitu bilja upotrebljavalo u skladu s ovom Uredbom.</w:t>
      </w:r>
    </w:p>
    <w:p>
      <w:pPr>
        <w:spacing w:before="0" w:after="200" w:line="276" w:lineRule="auto"/>
        <w:ind w:left="360" w:hanging="360"/>
        <w:rPr>
          <w:rFonts w:eastAsia="Times New Roman"/>
          <w:noProof/>
          <w:szCs w:val="24"/>
        </w:rPr>
      </w:pPr>
      <w:r>
        <w:rPr>
          <w:noProof/>
        </w:rPr>
        <w:lastRenderedPageBreak/>
        <w:t>5.</w:t>
      </w:r>
      <w:r>
        <w:rPr>
          <w:noProof/>
        </w:rPr>
        <w:tab/>
        <w:t>Države članice koje odluče upotrebljavati izvore, metode ili inovativne pristupe iz stavka 1. točke (c) o tome obavješćuju Komisiju (Eurostat) tijekom godine koja prethodi referentnoj godini u kojoj će taj izvor, metoda ili inovativan pristup biti uveden te dostavljaju informacije o kvaliteti prikupljenih podataka.</w:t>
      </w:r>
    </w:p>
    <w:p>
      <w:pPr>
        <w:spacing w:before="0" w:after="200" w:line="276" w:lineRule="auto"/>
        <w:ind w:left="360" w:hanging="360"/>
        <w:rPr>
          <w:noProof/>
        </w:rPr>
      </w:pPr>
      <w:r>
        <w:rPr>
          <w:noProof/>
        </w:rPr>
        <w:t>6.</w:t>
      </w:r>
      <w:r>
        <w:rPr>
          <w:noProof/>
        </w:rPr>
        <w:tab/>
        <w:t>Nacionalna tijela nadležna za ispunjavanje zahtjeva ove Uredbe imaju pravo na brz i besplatan pristup i upotrebu podataka, među ostalim pojedinačnih podataka o poduzećima i poljoprivrednim gospodarstvima u administrativnim evidencijama koje su sastavljene na njihovu državnom području u skladu s člankom 17.a Uredbe (EZ) br. 223/2009. Nacionalna tijela i vlasnici administrativnih evidencija moraju radi tog pristupa uspostaviti neophodne mehanizme za suradnju. Taj se pristup odobrava i u slučajevima u kojima nadležno tijelo delegira zadaće privatnim ili polujavnim tijelima koja ih izvršavaju u njegovo ime.</w:t>
      </w:r>
    </w:p>
    <w:p>
      <w:pPr>
        <w:keepNext/>
        <w:spacing w:before="360" w:after="200" w:line="276" w:lineRule="auto"/>
        <w:jc w:val="center"/>
        <w:rPr>
          <w:i/>
          <w:noProof/>
        </w:rPr>
      </w:pPr>
      <w:r>
        <w:rPr>
          <w:i/>
          <w:noProof/>
        </w:rPr>
        <w:t>Članak 9.</w:t>
      </w:r>
    </w:p>
    <w:p>
      <w:pPr>
        <w:spacing w:before="75" w:after="75" w:line="276" w:lineRule="auto"/>
        <w:jc w:val="center"/>
        <w:rPr>
          <w:b/>
          <w:noProof/>
          <w:szCs w:val="24"/>
        </w:rPr>
      </w:pPr>
      <w:r>
        <w:rPr>
          <w:b/>
          <w:noProof/>
          <w:szCs w:val="24"/>
        </w:rPr>
        <w:t>Referentno razdoblje</w:t>
      </w:r>
    </w:p>
    <w:p>
      <w:pPr>
        <w:spacing w:before="0" w:after="200" w:line="276" w:lineRule="auto"/>
        <w:rPr>
          <w:noProof/>
        </w:rPr>
      </w:pPr>
      <w:r>
        <w:rPr>
          <w:noProof/>
        </w:rPr>
        <w:t>Prikupljene informacije odnose se na jedno referentno razdoblje koje je zajedničko svim državama članicama s obzirom na situaciju tijekom utvrđenog vremenskog okvira.</w:t>
      </w:r>
    </w:p>
    <w:p>
      <w:pPr>
        <w:spacing w:before="0" w:after="200" w:line="276" w:lineRule="auto"/>
        <w:rPr>
          <w:noProof/>
        </w:rPr>
      </w:pPr>
      <w:r>
        <w:rPr>
          <w:noProof/>
        </w:rPr>
        <w:t xml:space="preserve">Referentno razdoblje za svaku detaljnu temu utvrđuje se u Prilogu. Prva referentna razdoblja počinju kalendarske godine </w:t>
      </w:r>
      <w:r>
        <w:rPr>
          <w:i/>
          <w:noProof/>
        </w:rPr>
        <w:t>[unijeti godinu koja počinje 1. siječnja 18 mjeseci nakon donošenja].</w:t>
      </w:r>
    </w:p>
    <w:p>
      <w:pPr>
        <w:spacing w:before="0" w:after="200" w:line="276" w:lineRule="auto"/>
        <w:rPr>
          <w:noProof/>
        </w:rPr>
      </w:pPr>
      <w:r>
        <w:rPr>
          <w:noProof/>
        </w:rPr>
        <w:t xml:space="preserve">Komisija može donijeti provedbene akte kako bi dodatno utvrdila referentna razdoblja. Ti se provedbeni akti donose u skladu s postupkom ispitivanja iz članka 15. stavka 2. </w:t>
      </w:r>
    </w:p>
    <w:p>
      <w:pPr>
        <w:keepNext/>
        <w:spacing w:before="360" w:after="200" w:line="276" w:lineRule="auto"/>
        <w:jc w:val="center"/>
        <w:rPr>
          <w:i/>
          <w:noProof/>
        </w:rPr>
      </w:pPr>
      <w:r>
        <w:rPr>
          <w:i/>
          <w:noProof/>
        </w:rPr>
        <w:t>Članak 10.</w:t>
      </w:r>
    </w:p>
    <w:p>
      <w:pPr>
        <w:keepNext/>
        <w:spacing w:before="75" w:after="75" w:line="276" w:lineRule="auto"/>
        <w:jc w:val="center"/>
        <w:rPr>
          <w:b/>
          <w:noProof/>
          <w:szCs w:val="24"/>
        </w:rPr>
      </w:pPr>
      <w:r>
        <w:rPr>
          <w:b/>
          <w:noProof/>
          <w:szCs w:val="24"/>
        </w:rPr>
        <w:t>Kvaliteta i izvješćivanje o kvaliteti</w:t>
      </w:r>
    </w:p>
    <w:p>
      <w:pPr>
        <w:spacing w:before="0" w:after="200" w:line="276" w:lineRule="auto"/>
        <w:ind w:left="360" w:hanging="360"/>
        <w:rPr>
          <w:noProof/>
          <w:szCs w:val="24"/>
        </w:rPr>
      </w:pPr>
      <w:r>
        <w:rPr>
          <w:noProof/>
        </w:rPr>
        <w:t>1.</w:t>
      </w:r>
      <w:r>
        <w:rPr>
          <w:noProof/>
        </w:rPr>
        <w:tab/>
        <w:t>Države članice poduzimaju potrebne mjere kako bi osigurale kvalitetu dostavljenih podataka i metapodataka.</w:t>
      </w:r>
    </w:p>
    <w:p>
      <w:pPr>
        <w:spacing w:before="0" w:after="200" w:line="276" w:lineRule="auto"/>
        <w:ind w:left="360" w:hanging="360"/>
        <w:rPr>
          <w:noProof/>
          <w:color w:val="000000"/>
          <w:sz w:val="22"/>
        </w:rPr>
      </w:pPr>
      <w:r>
        <w:rPr>
          <w:noProof/>
        </w:rPr>
        <w:t>2.</w:t>
      </w:r>
      <w:r>
        <w:rPr>
          <w:noProof/>
        </w:rPr>
        <w:tab/>
      </w:r>
      <w:r>
        <w:rPr>
          <w:noProof/>
          <w:color w:val="000000"/>
        </w:rPr>
        <w:t>Države članice osiguravaju da se podacima prikupljenima s pomoću izvora i metoda iz članka 8. daju točne procjene o statističkoj populaciji iz članka 3. na nacionalnoj razini i, prema potrebi, na regionalnoj razini.</w:t>
      </w:r>
    </w:p>
    <w:p>
      <w:pPr>
        <w:spacing w:before="0" w:after="200" w:line="276" w:lineRule="auto"/>
        <w:ind w:left="360" w:hanging="360"/>
        <w:rPr>
          <w:noProof/>
          <w:szCs w:val="24"/>
        </w:rPr>
      </w:pPr>
      <w:r>
        <w:rPr>
          <w:noProof/>
        </w:rPr>
        <w:t>3.</w:t>
      </w:r>
      <w:r>
        <w:rPr>
          <w:noProof/>
        </w:rPr>
        <w:tab/>
        <w:t>Za potrebe ove Uredbe primjenjuju se kriteriji kvalitete utvrđeni člankom 12. stavkom 1. Uredbe (EZ) br. 223/2009.</w:t>
      </w:r>
    </w:p>
    <w:p>
      <w:pPr>
        <w:spacing w:before="0" w:after="200" w:line="276" w:lineRule="auto"/>
        <w:ind w:left="360" w:hanging="360"/>
        <w:rPr>
          <w:noProof/>
          <w:szCs w:val="24"/>
        </w:rPr>
      </w:pPr>
      <w:r>
        <w:rPr>
          <w:noProof/>
        </w:rPr>
        <w:t>4.</w:t>
      </w:r>
      <w:r>
        <w:rPr>
          <w:noProof/>
        </w:rPr>
        <w:tab/>
        <w:t>Komisija (Eurostat) ocjenjuje kvalitetu dostavljenih podataka i metapodataka na transparentan i provjerljiv način.</w:t>
      </w:r>
    </w:p>
    <w:p>
      <w:pPr>
        <w:spacing w:before="0" w:after="200" w:line="276" w:lineRule="auto"/>
        <w:ind w:left="360" w:hanging="360"/>
        <w:rPr>
          <w:noProof/>
          <w:szCs w:val="24"/>
        </w:rPr>
      </w:pPr>
      <w:r>
        <w:rPr>
          <w:noProof/>
        </w:rPr>
        <w:t>5.</w:t>
      </w:r>
      <w:r>
        <w:rPr>
          <w:noProof/>
        </w:rPr>
        <w:tab/>
        <w:t>Države članice u tu svrhu Komisiji (Eurostatu) dostavljaju izvješće o kvaliteti u kojem se opisuju statistički postupci, i to prvi put do 31. prosinca </w:t>
      </w:r>
      <w:r>
        <w:rPr>
          <w:i/>
          <w:noProof/>
          <w:szCs w:val="24"/>
        </w:rPr>
        <w:t>[unijeti godinu koja počinje 1. siječnja 30 mjeseci nakon donošenja]</w:t>
      </w:r>
      <w:r>
        <w:rPr>
          <w:noProof/>
        </w:rPr>
        <w:t>, a zatim svake tri godine za skupove podataka koji se dostavljaju tijekom tog razdoblja, među ostalim posebno:</w:t>
      </w:r>
    </w:p>
    <w:p>
      <w:pPr>
        <w:pStyle w:val="Point0"/>
        <w:rPr>
          <w:noProof/>
          <w:color w:val="000000"/>
        </w:rPr>
      </w:pPr>
      <w:r>
        <w:lastRenderedPageBreak/>
        <w:t>(a)</w:t>
      </w:r>
      <w:r>
        <w:tab/>
      </w:r>
      <w:r>
        <w:rPr>
          <w:noProof/>
        </w:rPr>
        <w:t>za metapodatke kojima se opisuje primijenjena metodologija i način na koji su postignute tehničke specifikacije u odnosu na one utvrđene ovom Uredbom;</w:t>
      </w:r>
    </w:p>
    <w:p>
      <w:pPr>
        <w:pStyle w:val="Point0"/>
        <w:rPr>
          <w:noProof/>
          <w:sz w:val="20"/>
        </w:rPr>
      </w:pPr>
      <w:r>
        <w:t>(b)</w:t>
      </w:r>
      <w:r>
        <w:tab/>
      </w:r>
      <w:r>
        <w:rPr>
          <w:noProof/>
        </w:rPr>
        <w:t>za informacije o usklađenosti sa zahtjevima opsega iz članka 4., među ostalim pri izradi i ažuriranju.</w:t>
      </w:r>
    </w:p>
    <w:p>
      <w:pPr>
        <w:spacing w:before="0" w:after="200" w:line="276" w:lineRule="auto"/>
        <w:ind w:left="360" w:hanging="360"/>
        <w:rPr>
          <w:noProof/>
          <w:szCs w:val="24"/>
        </w:rPr>
      </w:pPr>
      <w:r>
        <w:rPr>
          <w:noProof/>
        </w:rPr>
        <w:t>6.</w:t>
      </w:r>
      <w:r>
        <w:rPr>
          <w:noProof/>
        </w:rPr>
        <w:tab/>
        <w:t xml:space="preserve">Zasebna metodološka izvješća za detaljnu temu „Ponderi i indeksi preračunati na novoj bazi” dostavljaju se istodobno s podacima.  </w:t>
      </w:r>
    </w:p>
    <w:p>
      <w:pPr>
        <w:spacing w:before="0" w:after="200" w:line="276" w:lineRule="auto"/>
        <w:ind w:left="360" w:hanging="360"/>
        <w:rPr>
          <w:noProof/>
          <w:szCs w:val="24"/>
        </w:rPr>
      </w:pPr>
      <w:r>
        <w:rPr>
          <w:noProof/>
        </w:rPr>
        <w:t>7.</w:t>
      </w:r>
      <w:r>
        <w:rPr>
          <w:noProof/>
        </w:rPr>
        <w:tab/>
        <w:t>Komisija može donijeti provedbene akte kojima se utvrđuju praktična rješenja za izvješća o kvaliteti i njihov sadržaj. Ti se provedbeni akti donose u skladu s postupkom ispitivanja iz članka 15. stavka 2.</w:t>
      </w:r>
    </w:p>
    <w:p>
      <w:pPr>
        <w:spacing w:before="0" w:after="200" w:line="276" w:lineRule="auto"/>
        <w:ind w:left="360" w:hanging="360"/>
        <w:rPr>
          <w:noProof/>
          <w:szCs w:val="24"/>
        </w:rPr>
      </w:pPr>
      <w:r>
        <w:rPr>
          <w:noProof/>
        </w:rPr>
        <w:t>8.</w:t>
      </w:r>
      <w:r>
        <w:rPr>
          <w:noProof/>
        </w:rPr>
        <w:tab/>
        <w:t>Države članice prema potrebi obavještavaju Komisiju (Eurostat) o svim važnim informacijama ili promjenama u pogledu provedbe ove Uredbe koje bi mogle znatno utjecati na kvalitetu dostavljenih podataka.</w:t>
      </w:r>
    </w:p>
    <w:p>
      <w:pPr>
        <w:spacing w:before="0" w:after="200" w:line="276" w:lineRule="auto"/>
        <w:ind w:left="360" w:hanging="360"/>
        <w:rPr>
          <w:noProof/>
          <w:szCs w:val="24"/>
        </w:rPr>
      </w:pPr>
      <w:r>
        <w:rPr>
          <w:noProof/>
        </w:rPr>
        <w:t>9.</w:t>
      </w:r>
      <w:r>
        <w:rPr>
          <w:noProof/>
        </w:rPr>
        <w:tab/>
        <w:t>Na zahtjev Komisije (Eurostata) države članice dostavljaju potrebno dodatno pojašnjenje za procjenu kvalitete statističkih informacija.</w:t>
      </w:r>
    </w:p>
    <w:p>
      <w:pPr>
        <w:keepNext/>
        <w:spacing w:before="360" w:after="200" w:line="276" w:lineRule="auto"/>
        <w:jc w:val="center"/>
        <w:rPr>
          <w:i/>
          <w:noProof/>
        </w:rPr>
      </w:pPr>
      <w:r>
        <w:rPr>
          <w:i/>
          <w:noProof/>
        </w:rPr>
        <w:t>Članak 11.</w:t>
      </w:r>
    </w:p>
    <w:p>
      <w:pPr>
        <w:keepNext/>
        <w:spacing w:before="75" w:after="75" w:line="276" w:lineRule="auto"/>
        <w:jc w:val="center"/>
        <w:rPr>
          <w:b/>
          <w:noProof/>
          <w:color w:val="000000" w:themeColor="text1"/>
        </w:rPr>
      </w:pPr>
      <w:r>
        <w:rPr>
          <w:b/>
          <w:noProof/>
          <w:color w:val="000000" w:themeColor="text1"/>
        </w:rPr>
        <w:t>Doprinos Unije</w:t>
      </w:r>
    </w:p>
    <w:p>
      <w:pPr>
        <w:spacing w:before="0" w:after="200" w:line="276" w:lineRule="auto"/>
        <w:ind w:left="360" w:hanging="360"/>
        <w:rPr>
          <w:noProof/>
          <w:szCs w:val="24"/>
        </w:rPr>
      </w:pPr>
      <w:r>
        <w:rPr>
          <w:noProof/>
        </w:rPr>
        <w:t>1.</w:t>
      </w:r>
      <w:r>
        <w:rPr>
          <w:noProof/>
        </w:rPr>
        <w:tab/>
        <w:t xml:space="preserve">Za provedbu ove Uredbe Unija može dodijeliti bespovratna sredstva nacionalnim zavodima za statistiku i ostalim nacionalnim tijelima iz članka 5. stavka 2. Uredbe (EZ) br. 223/2009 kako bi se podmirili troškovi provedbe prikupljanja </w:t>
      </w:r>
      <w:r>
        <w:rPr>
          <w:i/>
          <w:noProof/>
        </w:rPr>
        <w:t>ad hoc</w:t>
      </w:r>
      <w:r>
        <w:rPr>
          <w:noProof/>
        </w:rPr>
        <w:t xml:space="preserve"> podataka. </w:t>
      </w:r>
    </w:p>
    <w:p>
      <w:pPr>
        <w:spacing w:before="0" w:after="200" w:line="276" w:lineRule="auto"/>
        <w:ind w:left="360" w:hanging="360"/>
        <w:rPr>
          <w:noProof/>
        </w:rPr>
      </w:pPr>
      <w:r>
        <w:rPr>
          <w:noProof/>
        </w:rPr>
        <w:t>2.</w:t>
      </w:r>
      <w:r>
        <w:rPr>
          <w:noProof/>
        </w:rPr>
        <w:tab/>
        <w:t>Taj financijski doprinos Unije ne premašuje 90 % prihvatljivih troškova.</w:t>
      </w:r>
    </w:p>
    <w:p>
      <w:pPr>
        <w:keepNext/>
        <w:spacing w:before="360" w:after="200" w:line="276" w:lineRule="auto"/>
        <w:jc w:val="center"/>
        <w:rPr>
          <w:i/>
          <w:noProof/>
        </w:rPr>
      </w:pPr>
      <w:r>
        <w:rPr>
          <w:i/>
          <w:noProof/>
        </w:rPr>
        <w:t>Članak 12.</w:t>
      </w:r>
    </w:p>
    <w:p>
      <w:pPr>
        <w:keepNext/>
        <w:spacing w:before="75" w:after="75" w:line="276" w:lineRule="auto"/>
        <w:jc w:val="center"/>
        <w:rPr>
          <w:b/>
          <w:noProof/>
          <w:color w:val="000000" w:themeColor="text1"/>
        </w:rPr>
      </w:pPr>
      <w:r>
        <w:rPr>
          <w:b/>
          <w:noProof/>
          <w:color w:val="000000" w:themeColor="text1"/>
        </w:rPr>
        <w:t>Zaštita financijskih interesa Unije</w:t>
      </w:r>
    </w:p>
    <w:p>
      <w:pPr>
        <w:spacing w:before="0" w:after="200" w:line="276" w:lineRule="auto"/>
        <w:ind w:left="360" w:hanging="360"/>
        <w:rPr>
          <w:noProof/>
        </w:rPr>
      </w:pPr>
      <w:r>
        <w:rPr>
          <w:noProof/>
        </w:rPr>
        <w:t>1.</w:t>
      </w:r>
      <w:r>
        <w:rPr>
          <w:noProof/>
        </w:rPr>
        <w:tab/>
        <w:t>Komisija poduzima odgovarajuće mjere kojima osigurava da su, dok se provode djelovanja koja se financiraju u okviru ove Uredbe, financijski interesi Unije zaštićeni primjenom preventivnih mjera protiv prijevare, korupcije i svih drugih nezakonitih aktivnosti, učinkovitim provjerama i, ako se utvrde nepravilnosti, osiguravanjem povrata pogrešno plaćenih iznosa te, prema potrebi, učinkovitim, proporcionalnim i odvraćajućim administrativnim i financijskim sankcijama.</w:t>
      </w:r>
    </w:p>
    <w:p>
      <w:pPr>
        <w:spacing w:before="0" w:after="200" w:line="276" w:lineRule="auto"/>
        <w:ind w:left="360" w:hanging="360"/>
        <w:rPr>
          <w:noProof/>
        </w:rPr>
      </w:pPr>
      <w:r>
        <w:rPr>
          <w:noProof/>
        </w:rPr>
        <w:t>2.</w:t>
      </w:r>
      <w:r>
        <w:rPr>
          <w:noProof/>
        </w:rPr>
        <w:tab/>
        <w:t>Komisija ili njezini predstavnici i Revizorski sud ovlašteni su za provedbu revizije, na temelju dokumenata i provjera na licu mjesta, svih korisnika bespovratnih sredstava, ugovaratelja i podugovaratelja koji su primili sredstva Unije u okviru programa.</w:t>
      </w:r>
    </w:p>
    <w:p>
      <w:pPr>
        <w:spacing w:before="0" w:after="200" w:line="276" w:lineRule="auto"/>
        <w:ind w:left="360" w:hanging="360"/>
        <w:rPr>
          <w:noProof/>
        </w:rPr>
      </w:pPr>
      <w:r>
        <w:rPr>
          <w:noProof/>
        </w:rPr>
        <w:t>3.</w:t>
      </w:r>
      <w:r>
        <w:rPr>
          <w:noProof/>
        </w:rPr>
        <w:tab/>
        <w:t>Europski ured za borbu protiv prijevara (OLAF) može provoditi istrage, među ostalim provjere i inspekcije na terenu, u skladu s odredbama i postupcima utvrđenima u Uredbi (EU, Euratom) br. 883/2013 Europskog parlamenta i Vijeća </w:t>
      </w:r>
      <w:r>
        <w:rPr>
          <w:noProof/>
          <w:vertAlign w:val="superscript"/>
        </w:rPr>
        <w:t>(</w:t>
      </w:r>
      <w:r>
        <w:rPr>
          <w:rStyle w:val="FootnoteReference"/>
          <w:noProof/>
        </w:rPr>
        <w:footnoteReference w:id="33"/>
      </w:r>
      <w:r>
        <w:rPr>
          <w:noProof/>
          <w:vertAlign w:val="superscript"/>
        </w:rPr>
        <w:t>)</w:t>
      </w:r>
      <w:r>
        <w:rPr>
          <w:noProof/>
        </w:rPr>
        <w:t xml:space="preserve"> i Uredbi Vijeća (Euratom, </w:t>
      </w:r>
      <w:r>
        <w:rPr>
          <w:noProof/>
        </w:rPr>
        <w:lastRenderedPageBreak/>
        <w:t>EZ) br. 2185/96 </w:t>
      </w:r>
      <w:r>
        <w:rPr>
          <w:noProof/>
          <w:vertAlign w:val="superscript"/>
        </w:rPr>
        <w:t>(</w:t>
      </w:r>
      <w:r>
        <w:rPr>
          <w:rStyle w:val="FootnoteReference"/>
          <w:noProof/>
        </w:rPr>
        <w:footnoteReference w:id="34"/>
      </w:r>
      <w:r>
        <w:rPr>
          <w:noProof/>
          <w:vertAlign w:val="superscript"/>
        </w:rPr>
        <w:t>)</w:t>
      </w:r>
      <w:r>
        <w:rPr>
          <w:noProof/>
        </w:rPr>
        <w:t xml:space="preserve"> radi utvrđivanja je li došlo do prijevare, korupcije ili bilo koje druge nezakonite aktivnosti koje utječu na financijske interese Unije u vezi sa sporazumom o dodjeli bespovratnih sredstava ili odlukom o dodjeli bespovratnih sredstava ili ugovorom koji su financirani u okviru programa.</w:t>
      </w:r>
    </w:p>
    <w:p>
      <w:pPr>
        <w:spacing w:before="0" w:after="200" w:line="276" w:lineRule="auto"/>
        <w:ind w:left="360" w:hanging="360"/>
        <w:rPr>
          <w:noProof/>
        </w:rPr>
      </w:pPr>
      <w:r>
        <w:rPr>
          <w:noProof/>
        </w:rPr>
        <w:t>4.</w:t>
      </w:r>
      <w:r>
        <w:rPr>
          <w:noProof/>
        </w:rPr>
        <w:tab/>
        <w:t>Ne dovodeći u pitanje stavke 1., 2. i 3., sporazumi o suradnji s trećim zemljama i međunarodnim organizacijama, ugovori, sporazumi o dodjeli bespovratnih sredstava i odluke o dodjeli bespovratnih sredstava, koji su rezultat provedbe ove Uredbe, sadržavaju odredbe kojima se izričito ovlašćuju Komisija, Revizorski sud i OLAF za provedbu takvih revizija i istraga u skladu s njihovim nadležnostima.</w:t>
      </w:r>
    </w:p>
    <w:p>
      <w:pPr>
        <w:keepNext/>
        <w:spacing w:before="360" w:after="200" w:line="276" w:lineRule="auto"/>
        <w:jc w:val="center"/>
        <w:rPr>
          <w:i/>
          <w:noProof/>
        </w:rPr>
      </w:pPr>
      <w:r>
        <w:rPr>
          <w:i/>
          <w:noProof/>
        </w:rPr>
        <w:t xml:space="preserve">Članak 13. </w:t>
      </w:r>
    </w:p>
    <w:p>
      <w:pPr>
        <w:keepNext/>
        <w:spacing w:before="75" w:after="75" w:line="276" w:lineRule="auto"/>
        <w:jc w:val="center"/>
        <w:rPr>
          <w:b/>
          <w:noProof/>
          <w:color w:val="000000" w:themeColor="text1"/>
        </w:rPr>
      </w:pPr>
      <w:r>
        <w:rPr>
          <w:b/>
          <w:noProof/>
          <w:color w:val="000000" w:themeColor="text1"/>
        </w:rPr>
        <w:t>Odstupanja</w:t>
      </w:r>
    </w:p>
    <w:p>
      <w:pPr>
        <w:spacing w:before="0" w:after="200" w:line="276" w:lineRule="auto"/>
        <w:ind w:left="360" w:hanging="360"/>
        <w:rPr>
          <w:noProof/>
          <w:color w:val="000000" w:themeColor="text1"/>
        </w:rPr>
      </w:pPr>
      <w:r>
        <w:rPr>
          <w:noProof/>
          <w:color w:val="000000" w:themeColor="text1"/>
        </w:rPr>
        <w:t xml:space="preserve">1. </w:t>
      </w:r>
      <w:r>
        <w:rPr>
          <w:noProof/>
        </w:rPr>
        <w:tab/>
      </w:r>
      <w:r>
        <w:rPr>
          <w:noProof/>
          <w:color w:val="000000" w:themeColor="text1"/>
        </w:rPr>
        <w:t>Ako su za primjenu ove Uredbe ili provedbenih mjera i delegiranih akata donesenih na temelju njih potrebne velike prilagodbe u nacionalnom statističkom sustavu države članice, Komisija može donijeti provedbene akte kojima se državama članicama odobravaju odstupanja od njih u trajanju od najviše dvije godine.</w:t>
      </w:r>
    </w:p>
    <w:p>
      <w:pPr>
        <w:spacing w:before="0" w:after="200" w:line="276" w:lineRule="auto"/>
        <w:ind w:left="360"/>
        <w:jc w:val="left"/>
        <w:rPr>
          <w:noProof/>
        </w:rPr>
      </w:pPr>
      <w:r>
        <w:rPr>
          <w:noProof/>
        </w:rPr>
        <w:t xml:space="preserve">Predmetna država članica Komisiji podnosi valjano obrazložen zahtjev za takvo odstupanje u roku od tri mjeseca od datuma stupanja na snagu predmetnog akta. </w:t>
      </w:r>
    </w:p>
    <w:p>
      <w:pPr>
        <w:spacing w:before="0" w:after="200" w:line="276" w:lineRule="auto"/>
        <w:ind w:left="360"/>
        <w:jc w:val="left"/>
        <w:rPr>
          <w:noProof/>
        </w:rPr>
      </w:pPr>
      <w:r>
        <w:rPr>
          <w:noProof/>
        </w:rPr>
        <w:t xml:space="preserve">Učinak takvih odstupanja na usporedivost podataka država članica ili izračun zahtijevanih pravodobnih i reprezentativnih europskih agregata svodi se na najmanju moguću mjeru. Pri odobravanju odstupanja uzima se u obzir opterećenje davateljâ podataka. </w:t>
      </w:r>
    </w:p>
    <w:p>
      <w:pPr>
        <w:spacing w:before="0" w:after="200" w:line="276" w:lineRule="auto"/>
        <w:ind w:left="360" w:hanging="360"/>
        <w:rPr>
          <w:noProof/>
        </w:rPr>
      </w:pPr>
      <w:r>
        <w:rPr>
          <w:noProof/>
        </w:rPr>
        <w:t>2.</w:t>
      </w:r>
      <w:r>
        <w:rPr>
          <w:noProof/>
        </w:rPr>
        <w:tab/>
        <w:t>Provedbeni akti iz stavka 1. prvog podstavka donose se u skladu s postupkom ispitivanja iz članka 15. stavka 2.</w:t>
      </w:r>
    </w:p>
    <w:p>
      <w:pPr>
        <w:keepNext/>
        <w:spacing w:before="360" w:after="200" w:line="276" w:lineRule="auto"/>
        <w:jc w:val="center"/>
        <w:rPr>
          <w:i/>
          <w:noProof/>
        </w:rPr>
      </w:pPr>
      <w:r>
        <w:rPr>
          <w:i/>
          <w:noProof/>
        </w:rPr>
        <w:t>Članak 14.</w:t>
      </w:r>
    </w:p>
    <w:p>
      <w:pPr>
        <w:keepNext/>
        <w:spacing w:before="75" w:after="75" w:line="276" w:lineRule="auto"/>
        <w:jc w:val="center"/>
        <w:rPr>
          <w:b/>
          <w:noProof/>
          <w:color w:val="000000" w:themeColor="text1"/>
        </w:rPr>
      </w:pPr>
      <w:r>
        <w:rPr>
          <w:b/>
          <w:noProof/>
          <w:color w:val="000000" w:themeColor="text1"/>
        </w:rPr>
        <w:t>Izvršavanje delegiranja ovlasti</w:t>
      </w:r>
    </w:p>
    <w:p>
      <w:pPr>
        <w:spacing w:before="0" w:after="200" w:line="276" w:lineRule="auto"/>
        <w:ind w:left="360" w:hanging="360"/>
        <w:rPr>
          <w:noProof/>
          <w:szCs w:val="24"/>
        </w:rPr>
      </w:pPr>
      <w:r>
        <w:rPr>
          <w:noProof/>
        </w:rPr>
        <w:t>1.</w:t>
      </w:r>
      <w:r>
        <w:rPr>
          <w:noProof/>
        </w:rPr>
        <w:tab/>
        <w:t xml:space="preserve">Ovlast za donošenje delegiranih akata dodjeljuje se Komisiji u skladu s uvjetima utvrđenima u ovom članku. </w:t>
      </w:r>
    </w:p>
    <w:p>
      <w:pPr>
        <w:spacing w:before="0" w:after="200" w:line="276" w:lineRule="auto"/>
        <w:ind w:left="360" w:hanging="360"/>
        <w:rPr>
          <w:noProof/>
        </w:rPr>
      </w:pPr>
      <w:r>
        <w:rPr>
          <w:noProof/>
        </w:rPr>
        <w:t>2.</w:t>
      </w:r>
      <w:r>
        <w:rPr>
          <w:noProof/>
        </w:rPr>
        <w:tab/>
        <w:t xml:space="preserve">Ovlast za donošenje delegiranih akata iz članka 5. stavka 8. i članka 6. stavaka 1. i 2. dodjeljuje se Komisiji na neodređeno razdoblje počevši od </w:t>
      </w:r>
      <w:r>
        <w:rPr>
          <w:i/>
          <w:noProof/>
        </w:rPr>
        <w:t xml:space="preserve">[Ured za publikacije: unijeti </w:t>
      </w:r>
      <w:r>
        <w:rPr>
          <w:noProof/>
        </w:rPr>
        <w:t>točan</w:t>
      </w:r>
      <w:r>
        <w:rPr>
          <w:i/>
          <w:noProof/>
        </w:rPr>
        <w:t xml:space="preserve"> datum stupanja Uredbe na snagu]</w:t>
      </w:r>
      <w:r>
        <w:rPr>
          <w:noProof/>
        </w:rPr>
        <w:t xml:space="preserve">. </w:t>
      </w:r>
    </w:p>
    <w:p>
      <w:pPr>
        <w:spacing w:before="0" w:after="200" w:line="276" w:lineRule="auto"/>
        <w:ind w:left="360" w:hanging="360"/>
        <w:rPr>
          <w:noProof/>
        </w:rPr>
      </w:pPr>
      <w:r>
        <w:rPr>
          <w:noProof/>
        </w:rPr>
        <w:t>3.</w:t>
      </w:r>
      <w:r>
        <w:rPr>
          <w:noProof/>
        </w:rPr>
        <w:tab/>
        <w:t xml:space="preserve">Europski parlament ili Vijeće u svakom trenutku mogu opozvati delegiranje ovlasti iz članka 5. stavka 8. i članka 6. stavaka 1. i 2. Odlukom o opozivu prekida se delegiranje ovlasti koje je u njoj navedeno. Ona proizvodi učinke sljedećeg dana od dana njezine </w:t>
      </w:r>
      <w:r>
        <w:rPr>
          <w:noProof/>
        </w:rPr>
        <w:lastRenderedPageBreak/>
        <w:t xml:space="preserve">objave u </w:t>
      </w:r>
      <w:r>
        <w:rPr>
          <w:i/>
          <w:noProof/>
        </w:rPr>
        <w:t>Službenom listu Europske unije</w:t>
      </w:r>
      <w:r>
        <w:rPr>
          <w:noProof/>
        </w:rPr>
        <w:t xml:space="preserve"> ili na kasniji dan naveden u njoj. Ona ne utječe na valjanost delegiranih akata koji su već na snazi. </w:t>
      </w:r>
    </w:p>
    <w:p>
      <w:pPr>
        <w:spacing w:before="0" w:after="200" w:line="276" w:lineRule="auto"/>
        <w:ind w:left="360" w:hanging="360"/>
        <w:rPr>
          <w:noProof/>
        </w:rPr>
      </w:pPr>
      <w:r>
        <w:rPr>
          <w:noProof/>
        </w:rPr>
        <w:t>4.</w:t>
      </w:r>
      <w:r>
        <w:rPr>
          <w:noProof/>
        </w:rPr>
        <w:tab/>
        <w:t>Prije donošenja delegiranog akta Komisija se savjetuje sa stručnjacima koje je imenovala svaka država članica u skladu s načelima utvrđenima u Međuinstitucijskom sporazumu o boljoj izradi zakonodavstva od 13. travnja 2016.</w:t>
      </w:r>
    </w:p>
    <w:p>
      <w:pPr>
        <w:spacing w:before="0" w:after="200" w:line="276" w:lineRule="auto"/>
        <w:ind w:left="360" w:hanging="360"/>
        <w:rPr>
          <w:noProof/>
        </w:rPr>
      </w:pPr>
      <w:r>
        <w:rPr>
          <w:noProof/>
        </w:rPr>
        <w:t>5.</w:t>
      </w:r>
      <w:r>
        <w:rPr>
          <w:noProof/>
        </w:rPr>
        <w:tab/>
        <w:t xml:space="preserve">Čim donese delegirani akt, Komisija ga istodobno priopćuje Europskom parlamentu i Vijeću. </w:t>
      </w:r>
    </w:p>
    <w:p>
      <w:pPr>
        <w:spacing w:before="0" w:after="200" w:line="276" w:lineRule="auto"/>
        <w:ind w:left="360" w:hanging="360"/>
        <w:rPr>
          <w:noProof/>
        </w:rPr>
      </w:pPr>
      <w:r>
        <w:rPr>
          <w:noProof/>
        </w:rPr>
        <w:t>6.</w:t>
      </w:r>
      <w:r>
        <w:rPr>
          <w:noProof/>
        </w:rPr>
        <w:tab/>
        <w:t>Delegirani akt donesen na temelju članka 5. stavka 8. i članka 6. stavaka 1. i 2. stupa na snagu samo ako ni Europski parlament ni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p>
    <w:p>
      <w:pPr>
        <w:keepNext/>
        <w:spacing w:before="360" w:after="200" w:line="276" w:lineRule="auto"/>
        <w:jc w:val="center"/>
        <w:rPr>
          <w:i/>
          <w:noProof/>
        </w:rPr>
      </w:pPr>
      <w:r>
        <w:rPr>
          <w:i/>
          <w:noProof/>
        </w:rPr>
        <w:t>Članak 15.</w:t>
      </w:r>
    </w:p>
    <w:p>
      <w:pPr>
        <w:keepNext/>
        <w:spacing w:before="75" w:after="75" w:line="276" w:lineRule="auto"/>
        <w:jc w:val="center"/>
        <w:rPr>
          <w:b/>
          <w:noProof/>
          <w:color w:val="000000" w:themeColor="text1"/>
        </w:rPr>
      </w:pPr>
      <w:r>
        <w:rPr>
          <w:b/>
          <w:noProof/>
          <w:color w:val="000000" w:themeColor="text1"/>
        </w:rPr>
        <w:t>Postupak odbora</w:t>
      </w:r>
    </w:p>
    <w:p>
      <w:pPr>
        <w:spacing w:before="0" w:after="200" w:line="276" w:lineRule="auto"/>
        <w:ind w:left="360" w:hanging="360"/>
        <w:rPr>
          <w:noProof/>
        </w:rPr>
      </w:pPr>
      <w:r>
        <w:rPr>
          <w:noProof/>
        </w:rPr>
        <w:t xml:space="preserve">1. </w:t>
      </w:r>
      <w:r>
        <w:rPr>
          <w:noProof/>
        </w:rPr>
        <w:tab/>
        <w:t xml:space="preserve">Komisiji pomaže Odbor za europski statistički sustav osnovan Uredbom (EZ) br. 223/2009. Navedeni odbor je odbor u smislu Uredbe (EU) br. 182/2011. </w:t>
      </w:r>
    </w:p>
    <w:p>
      <w:pPr>
        <w:spacing w:before="0" w:after="200" w:line="276" w:lineRule="auto"/>
        <w:ind w:left="360" w:hanging="360"/>
        <w:rPr>
          <w:noProof/>
        </w:rPr>
      </w:pPr>
      <w:r>
        <w:rPr>
          <w:noProof/>
        </w:rPr>
        <w:t xml:space="preserve">2. </w:t>
      </w:r>
      <w:r>
        <w:rPr>
          <w:noProof/>
        </w:rPr>
        <w:tab/>
        <w:t xml:space="preserve">Pri upućivanju na ovaj stavak primjenjuje se članak 5. Uredbe (EU) br. 182/2011. </w:t>
      </w:r>
    </w:p>
    <w:p>
      <w:pPr>
        <w:keepNext/>
        <w:spacing w:before="360" w:after="200" w:line="276" w:lineRule="auto"/>
        <w:jc w:val="center"/>
        <w:rPr>
          <w:i/>
          <w:noProof/>
        </w:rPr>
      </w:pPr>
      <w:r>
        <w:rPr>
          <w:i/>
          <w:noProof/>
        </w:rPr>
        <w:t>Članak 16.</w:t>
      </w:r>
    </w:p>
    <w:p>
      <w:pPr>
        <w:spacing w:before="100" w:beforeAutospacing="1" w:after="100" w:afterAutospacing="1"/>
        <w:jc w:val="center"/>
        <w:rPr>
          <w:rFonts w:eastAsia="Times New Roman"/>
          <w:b/>
          <w:noProof/>
          <w:szCs w:val="24"/>
        </w:rPr>
      </w:pPr>
      <w:r>
        <w:rPr>
          <w:b/>
          <w:noProof/>
          <w:szCs w:val="24"/>
        </w:rPr>
        <w:t>Izmjena Uredbe (EZ) br. 617/2008</w:t>
      </w:r>
    </w:p>
    <w:p>
      <w:pPr>
        <w:spacing w:before="0" w:after="200" w:line="276" w:lineRule="auto"/>
        <w:rPr>
          <w:rFonts w:eastAsia="Times New Roman"/>
          <w:noProof/>
          <w:szCs w:val="24"/>
        </w:rPr>
      </w:pPr>
      <w:r>
        <w:rPr>
          <w:noProof/>
        </w:rPr>
        <w:t>Uredba (EZ) br. 617/2008 mijenja se kako slijedi:</w:t>
      </w:r>
    </w:p>
    <w:p>
      <w:pPr>
        <w:spacing w:before="0" w:after="200" w:line="276" w:lineRule="auto"/>
        <w:ind w:left="360" w:hanging="360"/>
        <w:rPr>
          <w:noProof/>
        </w:rPr>
      </w:pPr>
      <w:r>
        <w:rPr>
          <w:noProof/>
        </w:rPr>
        <w:t>(1)</w:t>
      </w:r>
      <w:r>
        <w:rPr>
          <w:noProof/>
        </w:rPr>
        <w:tab/>
        <w:t>u članku 8. brišu se stavci 3., 4. i 5.;</w:t>
      </w:r>
    </w:p>
    <w:p>
      <w:pPr>
        <w:spacing w:before="0" w:after="200" w:line="276" w:lineRule="auto"/>
        <w:ind w:left="360" w:hanging="360"/>
        <w:rPr>
          <w:noProof/>
        </w:rPr>
      </w:pPr>
      <w:r>
        <w:rPr>
          <w:noProof/>
        </w:rPr>
        <w:t>(2)</w:t>
      </w:r>
      <w:r>
        <w:rPr>
          <w:noProof/>
        </w:rPr>
        <w:tab/>
        <w:t>briše se članak 11.;</w:t>
      </w:r>
    </w:p>
    <w:p>
      <w:pPr>
        <w:spacing w:before="0" w:after="200" w:line="276" w:lineRule="auto"/>
        <w:ind w:left="360" w:hanging="360"/>
        <w:rPr>
          <w:noProof/>
        </w:rPr>
      </w:pPr>
      <w:r>
        <w:rPr>
          <w:noProof/>
        </w:rPr>
        <w:t>(3)</w:t>
      </w:r>
      <w:r>
        <w:rPr>
          <w:noProof/>
        </w:rPr>
        <w:tab/>
        <w:t xml:space="preserve">brišu se Prilozi III. i IV. </w:t>
      </w:r>
    </w:p>
    <w:p>
      <w:pPr>
        <w:spacing w:before="0" w:after="200" w:line="276" w:lineRule="auto"/>
        <w:rPr>
          <w:noProof/>
        </w:rPr>
      </w:pPr>
      <w:r>
        <w:rPr>
          <w:noProof/>
        </w:rPr>
        <w:t>Ta se izmjena primjenjuje od 1. siječnja [</w:t>
      </w:r>
      <w:r>
        <w:rPr>
          <w:i/>
          <w:noProof/>
        </w:rPr>
        <w:t>godine koja slijedi 18 mjeseci nakon donošenja</w:t>
      </w:r>
      <w:r>
        <w:rPr>
          <w:noProof/>
        </w:rPr>
        <w:t xml:space="preserve">]. </w:t>
      </w:r>
    </w:p>
    <w:p>
      <w:pPr>
        <w:keepNext/>
        <w:spacing w:before="360" w:after="200" w:line="276" w:lineRule="auto"/>
        <w:jc w:val="center"/>
        <w:rPr>
          <w:i/>
          <w:noProof/>
        </w:rPr>
      </w:pPr>
      <w:r>
        <w:rPr>
          <w:i/>
          <w:noProof/>
        </w:rPr>
        <w:t>Članak 17.</w:t>
      </w:r>
    </w:p>
    <w:p>
      <w:pPr>
        <w:keepNext/>
        <w:spacing w:before="75" w:after="75" w:line="276" w:lineRule="auto"/>
        <w:jc w:val="center"/>
        <w:rPr>
          <w:b/>
          <w:noProof/>
          <w:color w:val="000000" w:themeColor="text1"/>
        </w:rPr>
      </w:pPr>
      <w:r>
        <w:rPr>
          <w:b/>
          <w:noProof/>
          <w:color w:val="000000" w:themeColor="text1"/>
        </w:rPr>
        <w:t>Stavljanje izvan snage</w:t>
      </w:r>
    </w:p>
    <w:p>
      <w:pPr>
        <w:spacing w:before="0" w:after="200" w:line="276" w:lineRule="auto"/>
        <w:ind w:left="360" w:hanging="360"/>
        <w:rPr>
          <w:noProof/>
        </w:rPr>
      </w:pPr>
      <w:r>
        <w:rPr>
          <w:noProof/>
        </w:rPr>
        <w:t>1.</w:t>
      </w:r>
      <w:r>
        <w:rPr>
          <w:noProof/>
        </w:rPr>
        <w:tab/>
        <w:t>Uredbe (EZ) br. 1165/2008, (EZ) br. 543/2009, (EZ) br. 1185/2009 i Direktiva 96/16/EZ stavljaju se izvan snage s učinkom od 1. siječnja [</w:t>
      </w:r>
      <w:r>
        <w:rPr>
          <w:i/>
          <w:noProof/>
        </w:rPr>
        <w:t>prve kalendarske godine koja počinje najmanje 18 mjeseci od donošenja</w:t>
      </w:r>
      <w:r>
        <w:rPr>
          <w:noProof/>
        </w:rPr>
        <w:t>].</w:t>
      </w:r>
    </w:p>
    <w:p>
      <w:pPr>
        <w:spacing w:before="0" w:after="200" w:line="276" w:lineRule="auto"/>
        <w:ind w:left="360" w:hanging="360"/>
        <w:rPr>
          <w:noProof/>
        </w:rPr>
      </w:pPr>
      <w:r>
        <w:rPr>
          <w:noProof/>
        </w:rPr>
        <w:t>2.</w:t>
      </w:r>
      <w:r>
        <w:rPr>
          <w:noProof/>
        </w:rPr>
        <w:tab/>
        <w:t>Upućivanja na akte stavljene izvan snage tumače se kao upućivanja na ovu Uredbu.</w:t>
      </w:r>
    </w:p>
    <w:p>
      <w:pPr>
        <w:keepNext/>
        <w:spacing w:before="360" w:after="200" w:line="276" w:lineRule="auto"/>
        <w:jc w:val="center"/>
        <w:rPr>
          <w:i/>
          <w:noProof/>
        </w:rPr>
      </w:pPr>
      <w:r>
        <w:rPr>
          <w:i/>
          <w:noProof/>
        </w:rPr>
        <w:lastRenderedPageBreak/>
        <w:t>Članak 18.</w:t>
      </w:r>
    </w:p>
    <w:p>
      <w:pPr>
        <w:keepNext/>
        <w:spacing w:before="75" w:after="75" w:line="276" w:lineRule="auto"/>
        <w:jc w:val="center"/>
        <w:rPr>
          <w:b/>
          <w:noProof/>
          <w:color w:val="000000" w:themeColor="text1"/>
        </w:rPr>
      </w:pPr>
      <w:r>
        <w:rPr>
          <w:b/>
          <w:noProof/>
          <w:color w:val="000000" w:themeColor="text1"/>
        </w:rPr>
        <w:t>Stupanje na snagu</w:t>
      </w:r>
    </w:p>
    <w:p>
      <w:pPr>
        <w:spacing w:before="0" w:after="200" w:line="276" w:lineRule="auto"/>
        <w:ind w:left="360" w:hanging="360"/>
        <w:rPr>
          <w:noProof/>
          <w:color w:val="000000" w:themeColor="text1"/>
        </w:rPr>
      </w:pPr>
      <w:r>
        <w:rPr>
          <w:noProof/>
        </w:rPr>
        <w:t xml:space="preserve">Ova Uredba stupa na snagu dvadesetog dana od dana objave u </w:t>
      </w:r>
      <w:r>
        <w:rPr>
          <w:i/>
          <w:noProof/>
        </w:rPr>
        <w:t>Službenom listu Europske unije</w:t>
      </w:r>
      <w:r>
        <w:rPr>
          <w:noProof/>
        </w:rPr>
        <w:t>.</w:t>
      </w:r>
    </w:p>
    <w:p>
      <w:pPr>
        <w:spacing w:before="0" w:after="200" w:line="276" w:lineRule="auto"/>
        <w:ind w:left="360" w:hanging="360"/>
        <w:rPr>
          <w:noProof/>
        </w:rPr>
      </w:pPr>
      <w:r>
        <w:rPr>
          <w:noProof/>
        </w:rPr>
        <w:t>Primjenjuje se od 1. siječnja [</w:t>
      </w:r>
      <w:r>
        <w:rPr>
          <w:i/>
          <w:noProof/>
        </w:rPr>
        <w:t>godine koja slijedi 18 mjeseci nakon donošenja</w:t>
      </w:r>
      <w:r>
        <w:rPr>
          <w:noProof/>
        </w:rPr>
        <w:t xml:space="preserve">]. </w:t>
      </w:r>
    </w:p>
    <w:p>
      <w:pPr>
        <w:spacing w:before="0" w:after="200" w:line="276" w:lineRule="auto"/>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keepNext/>
        <w:rPr>
          <w:noProof/>
        </w:rPr>
      </w:pPr>
      <w:r>
        <w:rPr>
          <w:noProof/>
        </w:rPr>
        <w:t>Predsjednik</w:t>
      </w:r>
      <w:r>
        <w:rPr>
          <w:noProof/>
        </w:rPr>
        <w:tab/>
        <w:t>Predsjednik</w:t>
      </w:r>
    </w:p>
    <w:p>
      <w:pPr>
        <w:pStyle w:val="Institutionquisigne"/>
        <w:rPr>
          <w:noProof/>
        </w:rPr>
      </w:pP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 xml:space="preserve">Predmetna područja politike </w:t>
      </w:r>
    </w:p>
    <w:p>
      <w:pPr>
        <w:pStyle w:val="ManualHeading2"/>
        <w:rPr>
          <w:b w:val="0"/>
          <w:noProof/>
        </w:rPr>
      </w:pPr>
      <w:r>
        <w:rPr>
          <w:noProof/>
        </w:rPr>
        <w:tab/>
      </w:r>
      <w:r>
        <w:rPr>
          <w:b w:val="0"/>
          <w:noProof/>
        </w:rPr>
        <w:t>1.3.</w:t>
      </w:r>
      <w:r>
        <w:rPr>
          <w:noProof/>
        </w:rPr>
        <w:tab/>
      </w:r>
      <w:r>
        <w:rPr>
          <w:b w:val="0"/>
          <w:noProof/>
        </w:rPr>
        <w:t>Prijedlog/inicijativa odnosi se na:</w:t>
      </w:r>
    </w:p>
    <w:p>
      <w:pPr>
        <w:pStyle w:val="ManualHeading2"/>
        <w:rPr>
          <w:b w:val="0"/>
          <w:noProof/>
        </w:rPr>
      </w:pPr>
      <w:r>
        <w:rPr>
          <w:noProof/>
        </w:rPr>
        <w:tab/>
      </w:r>
      <w:r>
        <w:rPr>
          <w:b w:val="0"/>
          <w:noProof/>
        </w:rPr>
        <w:t>1.4.</w:t>
      </w:r>
      <w:r>
        <w:rPr>
          <w:noProof/>
        </w:rPr>
        <w:tab/>
      </w:r>
      <w:r>
        <w:rPr>
          <w:b w:val="0"/>
          <w:noProof/>
        </w:rPr>
        <w:t xml:space="preserve">Osnova prijedloga/inicijative </w:t>
      </w:r>
    </w:p>
    <w:p>
      <w:pPr>
        <w:pStyle w:val="ManualHeading2"/>
        <w:rPr>
          <w:b w:val="0"/>
          <w:noProof/>
        </w:rPr>
      </w:pPr>
      <w:r>
        <w:rPr>
          <w:noProof/>
        </w:rPr>
        <w:tab/>
      </w:r>
      <w:r>
        <w:rPr>
          <w:b w:val="0"/>
          <w:noProof/>
        </w:rPr>
        <w:t>1.5.</w:t>
      </w:r>
      <w:r>
        <w:rPr>
          <w:noProof/>
        </w:rPr>
        <w:tab/>
      </w:r>
      <w:r>
        <w:rPr>
          <w:b w:val="0"/>
          <w:noProof/>
        </w:rPr>
        <w:t xml:space="preserve">Trajanje i financijski učinak </w:t>
      </w:r>
    </w:p>
    <w:p>
      <w:pPr>
        <w:pStyle w:val="ManualHeading2"/>
        <w:rPr>
          <w:b w:val="0"/>
          <w:noProof/>
        </w:rPr>
      </w:pPr>
      <w:r>
        <w:rPr>
          <w:noProof/>
        </w:rPr>
        <w:tab/>
      </w:r>
      <w:r>
        <w:rPr>
          <w:b w:val="0"/>
          <w:noProof/>
        </w:rPr>
        <w:t>1.6.</w:t>
      </w:r>
      <w:r>
        <w:rPr>
          <w:noProof/>
        </w:rPr>
        <w:tab/>
      </w:r>
      <w:r>
        <w:rPr>
          <w:b w:val="0"/>
          <w:noProof/>
        </w:rPr>
        <w:t xml:space="preserve">Predviđeni načini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praćenja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sprečavanje prijevara i nepravilnosti </w:t>
      </w:r>
    </w:p>
    <w:p>
      <w:pPr>
        <w:pStyle w:val="ManualHeading1"/>
        <w:rPr>
          <w:noProof/>
        </w:rPr>
      </w:pPr>
      <w:r>
        <w:rPr>
          <w:noProof/>
        </w:rPr>
        <w:t>3.</w:t>
      </w:r>
      <w:r>
        <w:rPr>
          <w:noProof/>
        </w:rPr>
        <w:tab/>
        <w:t xml:space="preserve">PROCIJENJENI FINANCIJSKI UČINAK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proračunske linije rashoda na koje prijedlog/inicijativa ima učinak </w:t>
      </w:r>
    </w:p>
    <w:p>
      <w:pPr>
        <w:pStyle w:val="ManualHeading2"/>
        <w:rPr>
          <w:noProof/>
        </w:rPr>
      </w:pPr>
      <w:r>
        <w:rPr>
          <w:noProof/>
        </w:rPr>
        <w:tab/>
      </w:r>
      <w:r>
        <w:rPr>
          <w:b w:val="0"/>
          <w:noProof/>
        </w:rPr>
        <w:t>3.2.</w:t>
      </w:r>
      <w:r>
        <w:rPr>
          <w:noProof/>
        </w:rPr>
        <w:tab/>
      </w:r>
      <w:r>
        <w:rPr>
          <w:b w:val="0"/>
          <w:noProof/>
        </w:rPr>
        <w:t>Procijenjeni učinak na rashode</w:t>
      </w:r>
      <w:r>
        <w:rPr>
          <w:noProof/>
        </w:rPr>
        <w:t xml:space="preserve"> </w:t>
      </w:r>
    </w:p>
    <w:p>
      <w:pPr>
        <w:pStyle w:val="ManualHeading3"/>
        <w:rPr>
          <w:noProof/>
        </w:rPr>
      </w:pPr>
      <w:r>
        <w:rPr>
          <w:noProof/>
        </w:rPr>
        <w:tab/>
        <w:t>3.2.1.</w:t>
      </w:r>
      <w:r>
        <w:rPr>
          <w:noProof/>
        </w:rPr>
        <w:tab/>
        <w:t xml:space="preserve">Sažetak procijenjenog učinka na rashode </w:t>
      </w:r>
    </w:p>
    <w:p>
      <w:pPr>
        <w:pStyle w:val="ManualHeading3"/>
        <w:rPr>
          <w:noProof/>
        </w:rPr>
      </w:pPr>
      <w:r>
        <w:rPr>
          <w:noProof/>
        </w:rPr>
        <w:tab/>
        <w:t>3.2.2.</w:t>
      </w:r>
      <w:r>
        <w:rPr>
          <w:noProof/>
        </w:rPr>
        <w:tab/>
        <w:t xml:space="preserve">Procijenjeni učinak na odobrena sredstva za poslovanje </w:t>
      </w:r>
    </w:p>
    <w:p>
      <w:pPr>
        <w:pStyle w:val="ManualHeading3"/>
        <w:rPr>
          <w:noProof/>
        </w:rPr>
      </w:pPr>
      <w:r>
        <w:rPr>
          <w:noProof/>
        </w:rPr>
        <w:tab/>
        <w:t>3.2.3.</w:t>
      </w:r>
      <w:r>
        <w:rPr>
          <w:noProof/>
        </w:rPr>
        <w:tab/>
        <w:t>Procijenjeni učinak na administrativna odobrena sredstva</w:t>
      </w:r>
    </w:p>
    <w:p>
      <w:pPr>
        <w:pStyle w:val="ManualHeading3"/>
        <w:rPr>
          <w:noProof/>
        </w:rPr>
      </w:pPr>
      <w:r>
        <w:rPr>
          <w:noProof/>
        </w:rPr>
        <w:tab/>
        <w:t>3.2.4.</w:t>
      </w:r>
      <w:r>
        <w:rPr>
          <w:noProof/>
        </w:rPr>
        <w:tab/>
        <w:t>Usklađenost s aktualnim višegodišnjim financijskim okvirom</w:t>
      </w:r>
    </w:p>
    <w:p>
      <w:pPr>
        <w:pStyle w:val="ManualHeading3"/>
        <w:rPr>
          <w:noProof/>
        </w:rPr>
      </w:pPr>
      <w:r>
        <w:rPr>
          <w:noProof/>
        </w:rPr>
        <w:tab/>
        <w:t>3.2.5.</w:t>
      </w:r>
      <w:r>
        <w:rPr>
          <w:noProof/>
        </w:rPr>
        <w:tab/>
        <w:t xml:space="preserve">Doprinos trećih strana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učinak na prihode</w:t>
      </w:r>
    </w:p>
    <w:p>
      <w:pPr>
        <w:jc w:val="center"/>
        <w:rPr>
          <w:b/>
          <w:noProof/>
          <w:u w:val="single"/>
        </w:rPr>
      </w:pPr>
      <w:r>
        <w:rPr>
          <w:b/>
          <w:noProof/>
          <w:u w:val="single"/>
        </w:rPr>
        <w:t>ZAKONODAVNI FINANCIJSKI IZVJEŠTAJ</w:t>
      </w:r>
    </w:p>
    <w:p>
      <w:pPr>
        <w:pStyle w:val="ManualHeading1"/>
        <w:rPr>
          <w:noProof/>
        </w:rPr>
      </w:pPr>
      <w:bookmarkStart w:id="2" w:name="_Toc514941971"/>
      <w:bookmarkStart w:id="3" w:name="_Toc46138676"/>
      <w:r>
        <w:t>1.</w:t>
      </w:r>
      <w:r>
        <w:tab/>
      </w:r>
      <w:r>
        <w:rPr>
          <w:noProof/>
        </w:rPr>
        <w:t>OKVIR PRIJEDLOGA/INICIJATIVE</w:t>
      </w:r>
      <w:bookmarkEnd w:id="2"/>
      <w:bookmarkEnd w:id="3"/>
      <w:r>
        <w:rPr>
          <w:noProof/>
        </w:rPr>
        <w:t xml:space="preserve"> </w:t>
      </w:r>
    </w:p>
    <w:p>
      <w:pPr>
        <w:pStyle w:val="ManualHeading2"/>
        <w:rPr>
          <w:noProof/>
        </w:rPr>
      </w:pPr>
      <w:bookmarkStart w:id="4" w:name="_Toc514941972"/>
      <w:bookmarkStart w:id="5" w:name="_Toc46138677"/>
      <w:r>
        <w:t>1.1.</w:t>
      </w:r>
      <w:r>
        <w:tab/>
      </w:r>
      <w:r>
        <w:rPr>
          <w:noProof/>
        </w:rPr>
        <w:t>Naslov prijedloga/inicijative</w:t>
      </w:r>
      <w:bookmarkEnd w:id="4"/>
      <w:bookmarkEnd w:id="5"/>
      <w:r>
        <w:rPr>
          <w:noProof/>
        </w:rPr>
        <w:t xml:space="preserve"> </w:t>
      </w:r>
      <w:bookmarkStart w:id="6" w:name="_Toc514941973"/>
    </w:p>
    <w:tbl>
      <w:tblPr>
        <w:tblStyle w:val="TableGrid1"/>
        <w:tblW w:w="0" w:type="auto"/>
        <w:tblInd w:w="850" w:type="dxa"/>
        <w:tblLook w:val="04A0" w:firstRow="1" w:lastRow="0" w:firstColumn="1" w:lastColumn="0" w:noHBand="0" w:noVBand="1"/>
      </w:tblPr>
      <w:tblGrid>
        <w:gridCol w:w="8437"/>
      </w:tblGrid>
      <w:tr>
        <w:tc>
          <w:tcPr>
            <w:tcW w:w="9287" w:type="dxa"/>
          </w:tcPr>
          <w:p>
            <w:pPr>
              <w:rPr>
                <w:noProof/>
              </w:rPr>
            </w:pPr>
            <w:r>
              <w:rPr>
                <w:noProof/>
              </w:rPr>
              <w:t>Uredba Europskog parlamenta i Vijeća o statistici poljoprivrednih inputa i outputa i o stavljanju izvan snage uredaba (EZ) br. 1165/2008, (EZ) br. 543/2009, (EZ) br. 1185/2009 i Direktive Vijeća 96/16/EZ.</w:t>
            </w:r>
          </w:p>
        </w:tc>
      </w:tr>
    </w:tbl>
    <w:p>
      <w:pPr>
        <w:rPr>
          <w:noProof/>
        </w:rPr>
      </w:pPr>
    </w:p>
    <w:p>
      <w:pPr>
        <w:pStyle w:val="ManualHeading2"/>
        <w:rPr>
          <w:noProof/>
        </w:rPr>
      </w:pPr>
      <w:bookmarkStart w:id="7" w:name="_Toc46138678"/>
      <w:r>
        <w:t>1.2.</w:t>
      </w:r>
      <w:r>
        <w:tab/>
      </w:r>
      <w:r>
        <w:rPr>
          <w:noProof/>
        </w:rPr>
        <w:t xml:space="preserve">Predmetna područja politike </w:t>
      </w:r>
      <w:r>
        <w:rPr>
          <w:i/>
          <w:noProof/>
        </w:rPr>
        <w:t>(klaster programa)</w:t>
      </w:r>
      <w:bookmarkEnd w:id="6"/>
      <w:bookmarkEnd w:id="7"/>
    </w:p>
    <w:p>
      <w:pPr>
        <w:pBdr>
          <w:top w:val="single" w:sz="4" w:space="1" w:color="auto"/>
          <w:left w:val="single" w:sz="4" w:space="4" w:color="auto"/>
          <w:bottom w:val="single" w:sz="4" w:space="1" w:color="auto"/>
          <w:right w:val="single" w:sz="4" w:space="4" w:color="auto"/>
        </w:pBdr>
        <w:ind w:left="850"/>
        <w:rPr>
          <w:noProof/>
        </w:rPr>
      </w:pPr>
      <w:bookmarkStart w:id="8" w:name="_Toc514941974"/>
      <w:r>
        <w:rPr>
          <w:noProof/>
        </w:rPr>
        <w:t>Izrada europske statistike</w:t>
      </w:r>
    </w:p>
    <w:p>
      <w:pPr>
        <w:pStyle w:val="ManualHeading2"/>
        <w:rPr>
          <w:noProof/>
        </w:rPr>
      </w:pPr>
      <w:bookmarkStart w:id="9" w:name="_Toc46138679"/>
      <w:r>
        <w:t>1.3.</w:t>
      </w:r>
      <w:r>
        <w:tab/>
      </w:r>
      <w:r>
        <w:rPr>
          <w:noProof/>
        </w:rPr>
        <w:t>Prijedlog/inicijativa odnosi se na:</w:t>
      </w:r>
      <w:bookmarkEnd w:id="8"/>
      <w:bookmarkEnd w:id="9"/>
      <w:r>
        <w:rPr>
          <w:noProof/>
        </w:rPr>
        <w:t xml:space="preserve"> </w:t>
      </w:r>
    </w:p>
    <w:p>
      <w:pPr>
        <w:ind w:left="850"/>
        <w:rPr>
          <w:b/>
          <w:noProof/>
          <w:sz w:val="22"/>
        </w:rPr>
      </w:pPr>
      <w:r>
        <w:rPr>
          <w:noProof/>
          <w:sz w:val="22"/>
        </w:rPr>
        <w:sym w:font="Wingdings" w:char="F0A8"/>
      </w:r>
      <w:r>
        <w:rPr>
          <w:b/>
          <w:i/>
          <w:noProof/>
          <w:sz w:val="22"/>
        </w:rPr>
        <w:t xml:space="preserve"> </w:t>
      </w:r>
      <w:r>
        <w:rPr>
          <w:b/>
          <w:noProof/>
        </w:rPr>
        <w:t>novo djelovanje</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novo djelovanje nakon pilot-projekta/pripremnog djelovanja</w:t>
      </w:r>
      <w:r>
        <w:rPr>
          <w:rStyle w:val="FootnoteReference"/>
          <w:noProof/>
        </w:rPr>
        <w:footnoteReference w:id="35"/>
      </w:r>
      <w:r>
        <w:rPr>
          <w:noProof/>
          <w:sz w:val="22"/>
        </w:rPr>
        <w:t xml:space="preserve"> </w:t>
      </w:r>
    </w:p>
    <w:p>
      <w:pPr>
        <w:ind w:left="850"/>
        <w:rPr>
          <w:noProof/>
          <w:sz w:val="22"/>
        </w:rPr>
      </w:pPr>
      <w:r>
        <w:rPr>
          <w:noProof/>
          <w:sz w:val="22"/>
        </w:rPr>
        <w:sym w:font="Wingdings" w:char="F0A8"/>
      </w:r>
      <w:r>
        <w:rPr>
          <w:i/>
          <w:noProof/>
          <w:sz w:val="22"/>
        </w:rPr>
        <w:t xml:space="preserve"> </w:t>
      </w:r>
      <w:r>
        <w:rPr>
          <w:b/>
          <w:noProof/>
        </w:rPr>
        <w:t>produženje postojećeg djelovanja</w:t>
      </w:r>
      <w:r>
        <w:rPr>
          <w:noProof/>
          <w:sz w:val="22"/>
        </w:rPr>
        <w:t xml:space="preserve"> </w:t>
      </w:r>
    </w:p>
    <w:p>
      <w:pPr>
        <w:ind w:left="850"/>
        <w:rPr>
          <w:noProof/>
        </w:rPr>
      </w:pPr>
      <w:r>
        <w:rPr>
          <w:b/>
          <w:noProof/>
          <w:sz w:val="22"/>
          <w:bdr w:val="single" w:sz="4" w:space="0" w:color="auto"/>
        </w:rPr>
        <w:t>X</w:t>
      </w:r>
      <w:r>
        <w:rPr>
          <w:noProof/>
          <w:sz w:val="22"/>
        </w:rPr>
        <w:t xml:space="preserve"> </w:t>
      </w:r>
      <w:r>
        <w:rPr>
          <w:b/>
          <w:noProof/>
        </w:rPr>
        <w:t>spajanje ili preusmjeravanje jednog ili više djelovanja u drugo/novo djelovanje</w:t>
      </w:r>
      <w:r>
        <w:rPr>
          <w:noProof/>
        </w:rPr>
        <w:t xml:space="preserve"> </w:t>
      </w:r>
    </w:p>
    <w:p>
      <w:pPr>
        <w:pStyle w:val="ManualHeading2"/>
        <w:rPr>
          <w:noProof/>
        </w:rPr>
      </w:pPr>
      <w:bookmarkStart w:id="10" w:name="_Toc514941975"/>
      <w:bookmarkStart w:id="11" w:name="_Toc46138680"/>
      <w:r>
        <w:t>1.4.</w:t>
      </w:r>
      <w:r>
        <w:tab/>
      </w:r>
      <w:r>
        <w:rPr>
          <w:noProof/>
        </w:rPr>
        <w:t>Osnova prijedloga/inicijative</w:t>
      </w:r>
      <w:bookmarkEnd w:id="10"/>
      <w:bookmarkEnd w:id="11"/>
      <w:r>
        <w:rPr>
          <w:noProof/>
        </w:rPr>
        <w:t xml:space="preserve"> </w:t>
      </w:r>
    </w:p>
    <w:p>
      <w:pPr>
        <w:pStyle w:val="ManualHeading3"/>
        <w:rPr>
          <w:noProof/>
        </w:rPr>
      </w:pPr>
      <w:bookmarkStart w:id="12" w:name="_Toc514941976"/>
      <w:bookmarkStart w:id="13" w:name="_Toc46138681"/>
      <w:r>
        <w:t>1.4.1.</w:t>
      </w:r>
      <w:r>
        <w:tab/>
      </w:r>
      <w:r>
        <w:rPr>
          <w:noProof/>
        </w:rPr>
        <w:t>Zahtjevi koje treba ispuniti u kratkoročnom ili dugoročnom razdoblju, uključujući detaljan vremenski plan provedbe inicijative</w:t>
      </w:r>
      <w:bookmarkEnd w:id="12"/>
      <w:bookmarkEnd w:id="13"/>
    </w:p>
    <w:tbl>
      <w:tblPr>
        <w:tblStyle w:val="TableGrid1"/>
        <w:tblW w:w="0" w:type="auto"/>
        <w:tblInd w:w="850" w:type="dxa"/>
        <w:tblLook w:val="04A0" w:firstRow="1" w:lastRow="0" w:firstColumn="1" w:lastColumn="0" w:noHBand="0" w:noVBand="1"/>
      </w:tblPr>
      <w:tblGrid>
        <w:gridCol w:w="8437"/>
      </w:tblGrid>
      <w:tr>
        <w:tc>
          <w:tcPr>
            <w:tcW w:w="9287" w:type="dxa"/>
          </w:tcPr>
          <w:p>
            <w:pPr>
              <w:rPr>
                <w:noProof/>
              </w:rPr>
            </w:pPr>
            <w:r>
              <w:rPr>
                <w:noProof/>
              </w:rPr>
              <w:t>Ovim prijedlogom o statistici poljoprivrednih inputa i outputa (SAIO) nastoje se poboljšati kvaliteta, usporedivost i usklađenost europske poljoprivredne statistike kako bi tvorci politika, poduzeća i javnost mogli donositi odgovarajuće odluke utemeljene na dokazima.</w:t>
            </w:r>
          </w:p>
          <w:p>
            <w:pPr>
              <w:rPr>
                <w:noProof/>
              </w:rPr>
            </w:pPr>
            <w:r>
              <w:rPr>
                <w:noProof/>
              </w:rPr>
              <w:t>Statistikom poljoprivrednih inputa i outputa obuhvaćeno je prikupljanje poljoprivrednih statistika o biljnoj i stočnoj proizvodnji, statistika o cijenama u poljoprivredi i statistika o hranjivima i sredstvima za zaštitu bilja uz glavnu okvirnu uredbu i provedbene akte. Uredba o statistici poljoprivrednih inputa i outputa izravno će se primjenjivati u svim državama članicama. U četirima provedbenim aktima uglavnom će biti utvrđeni popisi i opisi varijabli te metodološki zahtjevi. Pravni paket pojedinačno će se provoditi u državama članicama tako što će varijable i drugi zahtjevi biti preneseni u nacionalne baze podataka, upitnike itd. od trenutka donošenja akata. Očekuje se da će Europski parlament i Vijeće donijeti ovu Uredbu 2022., a provedbene akte 2023.</w:t>
            </w:r>
          </w:p>
        </w:tc>
      </w:tr>
    </w:tbl>
    <w:p>
      <w:pPr>
        <w:ind w:left="850"/>
        <w:rPr>
          <w:noProof/>
        </w:rPr>
      </w:pPr>
    </w:p>
    <w:p>
      <w:pPr>
        <w:pStyle w:val="ManualHeading3"/>
        <w:rPr>
          <w:noProof/>
        </w:rPr>
      </w:pPr>
      <w:bookmarkStart w:id="14" w:name="_Toc514941977"/>
      <w:bookmarkStart w:id="15" w:name="_Toc46138682"/>
      <w:r>
        <w:t>1.4.2.</w:t>
      </w:r>
      <w:r>
        <w:tab/>
      </w:r>
      <w:r>
        <w:rPr>
          <w:noProof/>
        </w:rPr>
        <w:t>Dodana vrijednost sudjelovanja Unije (može proizlaziti iz različitih čimbenika, npr. prednosti koordinacije, pravne sigurnosti, veće djelotvornosti ili komplementarnosti). Za potrebe ove točke „dodana vrijednost sudjelovanja Unije” vrijednost je koja proizlazi iz intervencije Unije i predstavlja dodatnu vrijednost u odnosu na vrijednost koju bi države članice inače ostvarile same.</w:t>
      </w:r>
      <w:bookmarkEnd w:id="14"/>
      <w:bookmarkEnd w:id="15"/>
    </w:p>
    <w:tbl>
      <w:tblPr>
        <w:tblStyle w:val="TableGrid1"/>
        <w:tblW w:w="0" w:type="auto"/>
        <w:tblInd w:w="850" w:type="dxa"/>
        <w:tblLook w:val="04A0" w:firstRow="1" w:lastRow="0" w:firstColumn="1" w:lastColumn="0" w:noHBand="0" w:noVBand="1"/>
      </w:tblPr>
      <w:tblGrid>
        <w:gridCol w:w="8437"/>
      </w:tblGrid>
      <w:tr>
        <w:tc>
          <w:tcPr>
            <w:tcW w:w="9287" w:type="dxa"/>
          </w:tcPr>
          <w:p>
            <w:pPr>
              <w:rPr>
                <w:noProof/>
              </w:rPr>
            </w:pPr>
            <w:r>
              <w:rPr>
                <w:noProof/>
              </w:rPr>
              <w:t>Važne zajedničke politike EU-a kao što je ZPP ovise o usporedivim, usklađenim i visokokvalitetnim poljoprivrednim statistikama na europskoj razini. To se najbolje može osigurati uredbama koje su izravno primjenjive u državama članicama i koje nije potrebno prethodno prenijeti u nacionalno pravo.</w:t>
            </w:r>
          </w:p>
          <w:p>
            <w:pPr>
              <w:rPr>
                <w:noProof/>
              </w:rPr>
            </w:pPr>
            <w:r>
              <w:rPr>
                <w:noProof/>
              </w:rPr>
              <w:t>Nakon što Uredba o statistici o sirovinama i proizvodnji u poljoprivredi u potpunosti stupi na snagu, EU i njezine države članice trebale bi imati visokokvalitetnu europsku poljoprivrednu statistiku koja je usporediva i dosljedna i koja davateljima podataka i izrađivačima podataka predstavlja prihvatljivo opterećenje u odnosu na koristi. Izrada politike koja se temelji na dokazima ključna je za uspjeh politika kao što je ZPP, koji je važan pokretač zapošljavanja i pametnog, održivog i uključivog rasta u Uniji.</w:t>
            </w:r>
          </w:p>
        </w:tc>
      </w:tr>
    </w:tbl>
    <w:p>
      <w:pPr>
        <w:ind w:left="850"/>
        <w:rPr>
          <w:noProof/>
        </w:rPr>
      </w:pPr>
    </w:p>
    <w:p>
      <w:pPr>
        <w:pStyle w:val="ManualHeading3"/>
        <w:rPr>
          <w:noProof/>
        </w:rPr>
      </w:pPr>
      <w:bookmarkStart w:id="16" w:name="_Toc514941978"/>
      <w:bookmarkStart w:id="17" w:name="_Toc46138683"/>
      <w:r>
        <w:t>1.4.3.</w:t>
      </w:r>
      <w:r>
        <w:tab/>
      </w:r>
      <w:r>
        <w:rPr>
          <w:noProof/>
        </w:rPr>
        <w:t>Pouke iz prijašnjih sličnih iskustava</w:t>
      </w:r>
      <w:bookmarkEnd w:id="16"/>
      <w:bookmarkEnd w:id="17"/>
    </w:p>
    <w:p>
      <w:pPr>
        <w:pBdr>
          <w:top w:val="single" w:sz="4" w:space="1" w:color="auto"/>
          <w:left w:val="single" w:sz="4" w:space="4" w:color="auto"/>
          <w:bottom w:val="single" w:sz="4" w:space="1" w:color="auto"/>
          <w:right w:val="single" w:sz="4" w:space="4" w:color="auto"/>
        </w:pBdr>
        <w:ind w:left="850"/>
        <w:rPr>
          <w:noProof/>
        </w:rPr>
      </w:pPr>
      <w:r>
        <w:rPr>
          <w:noProof/>
        </w:rPr>
        <w:t>Europska poljoprivredna statistika već je desetljećima temelj ZPP-a i mnogih drugih važnih politika EU-a. Potrebno je, međutim, ažurirati njezinu pravnu osnovu kako bi se odgovorilo na promjene u poljoprivredi i riješili glavni problemi utvrđeni u evaluaciji sadašnjeg sustava europske poljoprivredne statistike. Riječ je o problemima u nastavku:</w:t>
      </w:r>
    </w:p>
    <w:p>
      <w:pPr>
        <w:pBdr>
          <w:top w:val="single" w:sz="4" w:space="1" w:color="auto"/>
          <w:left w:val="single" w:sz="4" w:space="4" w:color="auto"/>
          <w:bottom w:val="single" w:sz="4" w:space="1" w:color="auto"/>
          <w:right w:val="single" w:sz="4" w:space="4" w:color="auto"/>
        </w:pBdr>
        <w:ind w:left="850"/>
        <w:rPr>
          <w:noProof/>
        </w:rPr>
      </w:pPr>
      <w:r>
        <w:rPr>
          <w:noProof/>
        </w:rPr>
        <w:t>1. sadašnjim zakonodavstvom o poljoprivrednoj statistici ne može se primjereno odgovoriti na nove i nadolazeće potrebe za podacima;</w:t>
      </w:r>
    </w:p>
    <w:p>
      <w:pPr>
        <w:pBdr>
          <w:top w:val="single" w:sz="4" w:space="1" w:color="auto"/>
          <w:left w:val="single" w:sz="4" w:space="4" w:color="auto"/>
          <w:bottom w:val="single" w:sz="4" w:space="1" w:color="auto"/>
          <w:right w:val="single" w:sz="4" w:space="4" w:color="auto"/>
        </w:pBdr>
        <w:ind w:left="850"/>
        <w:rPr>
          <w:noProof/>
        </w:rPr>
      </w:pPr>
      <w:r>
        <w:rPr>
          <w:noProof/>
        </w:rPr>
        <w:t>2. EASS nije dovoljno fleksibilan i ne reagira dovoljno brzo na nadolazeće potrebe;</w:t>
      </w:r>
    </w:p>
    <w:p>
      <w:pPr>
        <w:pBdr>
          <w:top w:val="single" w:sz="4" w:space="1" w:color="auto"/>
          <w:left w:val="single" w:sz="4" w:space="4" w:color="auto"/>
          <w:bottom w:val="single" w:sz="4" w:space="1" w:color="auto"/>
          <w:right w:val="single" w:sz="4" w:space="4" w:color="auto"/>
        </w:pBdr>
        <w:ind w:left="850"/>
        <w:rPr>
          <w:noProof/>
        </w:rPr>
      </w:pPr>
      <w:r>
        <w:rPr>
          <w:noProof/>
        </w:rPr>
        <w:t>3. prikupljanja podataka nisu u zadovoljavajućoj mjeri usklađena i dosljedna;</w:t>
      </w:r>
    </w:p>
    <w:p>
      <w:pPr>
        <w:pBdr>
          <w:top w:val="single" w:sz="4" w:space="1" w:color="auto"/>
          <w:left w:val="single" w:sz="4" w:space="4" w:color="auto"/>
          <w:bottom w:val="single" w:sz="4" w:space="1" w:color="auto"/>
          <w:right w:val="single" w:sz="4" w:space="4" w:color="auto"/>
        </w:pBdr>
        <w:ind w:left="850"/>
        <w:rPr>
          <w:noProof/>
        </w:rPr>
      </w:pPr>
      <w:r>
        <w:rPr>
          <w:noProof/>
        </w:rPr>
        <w:t>4. statistike bi se mogle izrađivati učinkovitije;</w:t>
      </w:r>
    </w:p>
    <w:p>
      <w:pPr>
        <w:pBdr>
          <w:top w:val="single" w:sz="4" w:space="1" w:color="auto"/>
          <w:left w:val="single" w:sz="4" w:space="4" w:color="auto"/>
          <w:bottom w:val="single" w:sz="4" w:space="1" w:color="auto"/>
          <w:right w:val="single" w:sz="4" w:space="4" w:color="auto"/>
        </w:pBdr>
        <w:ind w:left="850"/>
        <w:rPr>
          <w:noProof/>
        </w:rPr>
      </w:pPr>
      <w:r>
        <w:rPr>
          <w:noProof/>
        </w:rPr>
        <w:t>5. opterećenje uzrokovano davanjem podataka smatra se velikim.</w:t>
      </w:r>
    </w:p>
    <w:p>
      <w:pPr>
        <w:ind w:left="850"/>
        <w:rPr>
          <w:noProof/>
        </w:rPr>
      </w:pPr>
    </w:p>
    <w:p>
      <w:pPr>
        <w:pStyle w:val="ManualHeading3"/>
        <w:rPr>
          <w:noProof/>
        </w:rPr>
      </w:pPr>
      <w:bookmarkStart w:id="18" w:name="_Toc514941979"/>
      <w:bookmarkStart w:id="19" w:name="_Toc46138684"/>
      <w:r>
        <w:t>1.4.4.</w:t>
      </w:r>
      <w:r>
        <w:tab/>
      </w:r>
      <w:r>
        <w:rPr>
          <w:noProof/>
        </w:rPr>
        <w:t>Usklađenost i moguća sinergija s drugim prikladnim instrumentima</w:t>
      </w:r>
      <w:bookmarkEnd w:id="18"/>
      <w:bookmarkEnd w:id="19"/>
    </w:p>
    <w:tbl>
      <w:tblPr>
        <w:tblStyle w:val="TableGrid1"/>
        <w:tblW w:w="0" w:type="auto"/>
        <w:tblInd w:w="850" w:type="dxa"/>
        <w:tblLook w:val="04A0" w:firstRow="1" w:lastRow="0" w:firstColumn="1" w:lastColumn="0" w:noHBand="0" w:noVBand="1"/>
      </w:tblPr>
      <w:tblGrid>
        <w:gridCol w:w="8437"/>
      </w:tblGrid>
      <w:tr>
        <w:tc>
          <w:tcPr>
            <w:tcW w:w="9287" w:type="dxa"/>
          </w:tcPr>
          <w:p>
            <w:pPr>
              <w:rPr>
                <w:noProof/>
              </w:rPr>
            </w:pPr>
            <w:r>
              <w:rPr>
                <w:noProof/>
              </w:rPr>
              <w:t>Predložena uredba dio je Eurostatove strategije za poljoprivrednu statistiku za 2020. i nadalje, koja bi se trebala sastojati od dvije okvirne uredbe o integriranoj statistici na razini poljoprivrednih gospodarstava (IFS) i o statistici poljoprivrednih inputa i outputa (SAIO) te od ažurirane uredbe o ekonomskim računima u poljoprivredi (ERP). Sve tri uredbe imat će zajedničko područje primjene, dijeliti tehničku i metodološku dokumentaciju i zajednički obuhvaćati sve aspekte poljoprivredne statistike.</w:t>
            </w:r>
          </w:p>
        </w:tc>
      </w:tr>
    </w:tbl>
    <w:p>
      <w:pPr>
        <w:ind w:left="850"/>
        <w:rPr>
          <w:noProof/>
        </w:rPr>
      </w:pPr>
    </w:p>
    <w:p>
      <w:pPr>
        <w:pStyle w:val="ManualHeading2"/>
        <w:rPr>
          <w:noProof/>
        </w:rPr>
      </w:pPr>
      <w:r>
        <w:rPr>
          <w:noProof/>
        </w:rPr>
        <w:br w:type="page"/>
      </w:r>
      <w:bookmarkStart w:id="20" w:name="_Toc514941980"/>
      <w:bookmarkStart w:id="21" w:name="_Toc46138685"/>
      <w:r>
        <w:t>1.5.</w:t>
      </w:r>
      <w:r>
        <w:tab/>
      </w:r>
      <w:r>
        <w:rPr>
          <w:noProof/>
        </w:rPr>
        <w:t>Trajanje i financijski učinak</w:t>
      </w:r>
      <w:bookmarkEnd w:id="20"/>
      <w:bookmarkEnd w:id="21"/>
      <w:r>
        <w:rPr>
          <w:noProof/>
        </w:rPr>
        <w:t xml:space="preserve"> </w:t>
      </w:r>
    </w:p>
    <w:p>
      <w:pPr>
        <w:ind w:left="360"/>
        <w:rPr>
          <w:noProof/>
        </w:rPr>
      </w:pPr>
      <w:r>
        <w:rPr>
          <w:noProof/>
        </w:rPr>
        <w:sym w:font="Wingdings" w:char="F0A8"/>
      </w:r>
      <w:r>
        <w:rPr>
          <w:b/>
          <w:i/>
          <w:noProof/>
        </w:rPr>
        <w:t xml:space="preserve"> </w:t>
      </w:r>
      <w:r>
        <w:rPr>
          <w:b/>
          <w:noProof/>
        </w:rPr>
        <w:t xml:space="preserve">Ograničeno trajanje </w:t>
      </w:r>
    </w:p>
    <w:p>
      <w:pPr>
        <w:ind w:left="360"/>
        <w:rPr>
          <w:rFonts w:eastAsia="Times New Roman"/>
          <w:noProof/>
        </w:rPr>
      </w:pPr>
      <w:r>
        <w:rPr>
          <w:noProof/>
        </w:rPr>
        <w:sym w:font="Wingdings" w:char="F0A8"/>
      </w:r>
      <w:r>
        <w:rPr>
          <w:noProof/>
        </w:rPr>
        <w:tab/>
        <w:t xml:space="preserve">na snazi od [DD/MM]GGGG do [DD/MM]GGGG </w:t>
      </w:r>
    </w:p>
    <w:p>
      <w:pPr>
        <w:ind w:left="360"/>
        <w:rPr>
          <w:rFonts w:eastAsia="Times New Roman"/>
          <w:noProof/>
        </w:rPr>
      </w:pPr>
      <w:r>
        <w:rPr>
          <w:noProof/>
        </w:rPr>
        <w:sym w:font="Wingdings" w:char="F0A8"/>
      </w:r>
      <w:r>
        <w:rPr>
          <w:noProof/>
        </w:rPr>
        <w:tab/>
        <w:t xml:space="preserve">financijski učinak od GGGG do GGGG za odobrena sredstva za preuzete obveze i od GGGG do GGGG za odobrena sredstva za plaćanje </w:t>
      </w:r>
    </w:p>
    <w:p>
      <w:pPr>
        <w:ind w:left="360"/>
        <w:rPr>
          <w:noProof/>
        </w:rPr>
      </w:pPr>
      <w:r>
        <w:rPr>
          <w:noProof/>
          <w:bdr w:val="single" w:sz="4" w:space="0" w:color="auto"/>
        </w:rPr>
        <w:t>X</w:t>
      </w:r>
      <w:r>
        <w:rPr>
          <w:b/>
          <w:i/>
          <w:noProof/>
        </w:rPr>
        <w:t xml:space="preserve"> </w:t>
      </w:r>
      <w:r>
        <w:rPr>
          <w:b/>
          <w:noProof/>
        </w:rPr>
        <w:t>neograničeno trajanje</w:t>
      </w:r>
    </w:p>
    <w:p>
      <w:pPr>
        <w:ind w:left="360"/>
        <w:rPr>
          <w:rFonts w:eastAsia="Times New Roman"/>
          <w:noProof/>
        </w:rPr>
      </w:pPr>
      <w:r>
        <w:rPr>
          <w:noProof/>
        </w:rPr>
        <w:t>Provedba s razdobljem uspostave od 2022. do 2024., nakon čega će uslijediti redovna provedba.</w:t>
      </w:r>
    </w:p>
    <w:p>
      <w:pPr>
        <w:pStyle w:val="ManualHeading2"/>
        <w:rPr>
          <w:noProof/>
        </w:rPr>
      </w:pPr>
      <w:bookmarkStart w:id="22" w:name="_Toc514941981"/>
      <w:bookmarkStart w:id="23" w:name="_Toc46138686"/>
      <w:r>
        <w:t>1.6.</w:t>
      </w:r>
      <w:r>
        <w:tab/>
      </w:r>
      <w:r>
        <w:rPr>
          <w:noProof/>
        </w:rPr>
        <w:t>Predviđeni načini upravljanja</w:t>
      </w:r>
      <w:r>
        <w:rPr>
          <w:rStyle w:val="FootnoteReference"/>
          <w:noProof/>
        </w:rPr>
        <w:footnoteReference w:id="36"/>
      </w:r>
      <w:bookmarkEnd w:id="22"/>
      <w:bookmarkEnd w:id="23"/>
      <w:r>
        <w:rPr>
          <w:noProof/>
        </w:rPr>
        <w:t xml:space="preserve"> </w:t>
      </w:r>
    </w:p>
    <w:p>
      <w:pPr>
        <w:ind w:left="360"/>
        <w:rPr>
          <w:noProof/>
        </w:rPr>
      </w:pPr>
      <w:r>
        <w:rPr>
          <w:noProof/>
          <w:bdr w:val="single" w:sz="4" w:space="0" w:color="auto"/>
        </w:rPr>
        <w:t>X</w:t>
      </w:r>
      <w:r>
        <w:rPr>
          <w:i/>
          <w:noProof/>
        </w:rPr>
        <w:t xml:space="preserve"> </w:t>
      </w:r>
      <w:r>
        <w:rPr>
          <w:b/>
          <w:noProof/>
        </w:rPr>
        <w:t>Izravno upravljanje</w:t>
      </w:r>
      <w:r>
        <w:rPr>
          <w:noProof/>
        </w:rPr>
        <w:t xml:space="preserve"> koje provodi Komisija</w:t>
      </w:r>
    </w:p>
    <w:p>
      <w:pPr>
        <w:ind w:left="360"/>
        <w:rPr>
          <w:rFonts w:eastAsia="Times New Roman" w:cs="EUAlbertina"/>
          <w:noProof/>
        </w:rPr>
      </w:pPr>
      <w:r>
        <w:rPr>
          <w:noProof/>
          <w:bdr w:val="single" w:sz="4" w:space="0" w:color="auto"/>
        </w:rPr>
        <w:t>X</w:t>
      </w:r>
      <w:r>
        <w:rPr>
          <w:noProof/>
        </w:rPr>
        <w:t xml:space="preserve"> preko svojih službi, uključujući osoblje u delegacijama Unije </w:t>
      </w:r>
    </w:p>
    <w:p>
      <w:pPr>
        <w:ind w:left="360"/>
        <w:rPr>
          <w:rFonts w:eastAsia="Times New Roman"/>
          <w:noProof/>
        </w:rPr>
      </w:pPr>
      <w:r>
        <w:rPr>
          <w:noProof/>
        </w:rPr>
        <w:sym w:font="Wingdings" w:char="F0A8"/>
      </w:r>
      <w:r>
        <w:rPr>
          <w:noProof/>
        </w:rPr>
        <w:tab/>
        <w:t xml:space="preserve">preko izvršnih agencija </w:t>
      </w:r>
    </w:p>
    <w:p>
      <w:pPr>
        <w:ind w:left="360"/>
        <w:rPr>
          <w:noProof/>
        </w:rPr>
      </w:pPr>
      <w:r>
        <w:rPr>
          <w:noProof/>
        </w:rPr>
        <w:sym w:font="Wingdings" w:char="F0A8"/>
      </w:r>
      <w:r>
        <w:rPr>
          <w:b/>
          <w:i/>
          <w:noProof/>
        </w:rPr>
        <w:t xml:space="preserve"> </w:t>
      </w:r>
      <w:r>
        <w:rPr>
          <w:b/>
          <w:noProof/>
        </w:rPr>
        <w:t>Podijeljeno upravljanje</w:t>
      </w:r>
      <w:r>
        <w:rPr>
          <w:noProof/>
        </w:rPr>
        <w:t xml:space="preserve"> s državama članicama </w:t>
      </w:r>
    </w:p>
    <w:p>
      <w:pPr>
        <w:ind w:left="360"/>
        <w:rPr>
          <w:noProof/>
        </w:rPr>
      </w:pPr>
      <w:r>
        <w:rPr>
          <w:noProof/>
        </w:rPr>
        <w:sym w:font="Wingdings" w:char="F0A8"/>
      </w:r>
      <w:r>
        <w:rPr>
          <w:i/>
          <w:noProof/>
        </w:rPr>
        <w:t xml:space="preserve"> </w:t>
      </w:r>
      <w:r>
        <w:rPr>
          <w:b/>
          <w:noProof/>
        </w:rPr>
        <w:t>Neizravno upravljanje</w:t>
      </w:r>
      <w:r>
        <w:rPr>
          <w:noProof/>
        </w:rPr>
        <w:t xml:space="preserve"> povjeravanjem zadaća izvršenja proračuna:</w:t>
      </w:r>
    </w:p>
    <w:p>
      <w:pPr>
        <w:ind w:left="360"/>
        <w:rPr>
          <w:rFonts w:eastAsia="Times New Roman"/>
          <w:noProof/>
        </w:rPr>
      </w:pPr>
      <w:r>
        <w:rPr>
          <w:noProof/>
        </w:rPr>
        <w:sym w:font="Wingdings" w:char="F0A8"/>
      </w:r>
      <w:r>
        <w:rPr>
          <w:noProof/>
        </w:rPr>
        <w:t xml:space="preserve"> trećim zemljama ili tijelima koja su one odredile</w:t>
      </w:r>
    </w:p>
    <w:p>
      <w:pPr>
        <w:ind w:left="360"/>
        <w:rPr>
          <w:rFonts w:eastAsia="Times New Roman"/>
          <w:noProof/>
        </w:rPr>
      </w:pPr>
      <w:r>
        <w:rPr>
          <w:noProof/>
        </w:rPr>
        <w:sym w:font="Wingdings" w:char="F0A8"/>
      </w:r>
      <w:r>
        <w:rPr>
          <w:noProof/>
        </w:rPr>
        <w:t xml:space="preserve"> međunarodnim organizacijama i njihovim agencijama (navesti)</w:t>
      </w:r>
    </w:p>
    <w:p>
      <w:pPr>
        <w:ind w:left="360"/>
        <w:rPr>
          <w:rFonts w:eastAsia="Times New Roman"/>
          <w:noProof/>
        </w:rPr>
      </w:pPr>
      <w:r>
        <w:rPr>
          <w:noProof/>
        </w:rPr>
        <w:sym w:font="Wingdings" w:char="F0A8"/>
      </w:r>
      <w:r>
        <w:rPr>
          <w:noProof/>
        </w:rPr>
        <w:t>EIB-u i Europskom investicijskom fondu</w:t>
      </w:r>
    </w:p>
    <w:p>
      <w:pPr>
        <w:ind w:left="360"/>
        <w:rPr>
          <w:rFonts w:eastAsia="Times New Roman"/>
          <w:noProof/>
        </w:rPr>
      </w:pPr>
      <w:r>
        <w:rPr>
          <w:noProof/>
        </w:rPr>
        <w:sym w:font="Wingdings" w:char="F0A8"/>
      </w:r>
      <w:r>
        <w:rPr>
          <w:noProof/>
        </w:rPr>
        <w:t xml:space="preserve"> tijelima iz članaka 70. i 71. Financijske uredbe</w:t>
      </w:r>
    </w:p>
    <w:p>
      <w:pPr>
        <w:ind w:left="360"/>
        <w:rPr>
          <w:rFonts w:eastAsia="Times New Roman"/>
          <w:noProof/>
        </w:rPr>
      </w:pPr>
      <w:r>
        <w:rPr>
          <w:noProof/>
        </w:rPr>
        <w:sym w:font="Wingdings" w:char="F0A8"/>
      </w:r>
      <w:r>
        <w:rPr>
          <w:noProof/>
        </w:rPr>
        <w:t xml:space="preserve"> tijelima javnog prava</w:t>
      </w:r>
    </w:p>
    <w:p>
      <w:pPr>
        <w:ind w:left="360"/>
        <w:rPr>
          <w:rFonts w:eastAsia="Times New Roman"/>
          <w:noProof/>
        </w:rPr>
      </w:pPr>
      <w:r>
        <w:rPr>
          <w:noProof/>
        </w:rPr>
        <w:sym w:font="Wingdings" w:char="F0A8"/>
      </w:r>
      <w:r>
        <w:rPr>
          <w:noProof/>
        </w:rPr>
        <w:t xml:space="preserve"> tijelima uređenima privatnim pravom koja pružaju javne usluge u mjeri u kojoj daju odgovarajuća financijska jamstva</w:t>
      </w:r>
    </w:p>
    <w:p>
      <w:pPr>
        <w:ind w:left="360"/>
        <w:rPr>
          <w:rFonts w:eastAsia="Times New Roman"/>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ind w:left="360"/>
        <w:rPr>
          <w:rFonts w:eastAsia="Times New Roman"/>
          <w:noProof/>
        </w:rPr>
      </w:pPr>
      <w:r>
        <w:rPr>
          <w:noProof/>
        </w:rPr>
        <w:sym w:font="Wingdings" w:char="F0A8"/>
      </w:r>
      <w:r>
        <w:rPr>
          <w:noProof/>
        </w:rPr>
        <w:t xml:space="preserve"> osobama kojima je povjerena provedba određenih djelovanja u području ZVSP-a u skladu s glavom V. UEU-a i koje su navedene u odgovarajućem temeljnom aktu.</w:t>
      </w:r>
    </w:p>
    <w:p>
      <w:pPr>
        <w:ind w:left="360"/>
        <w:rPr>
          <w:rFonts w:eastAsia="Times New Roman"/>
          <w:i/>
          <w:noProof/>
          <w:sz w:val="18"/>
          <w:u w:val="single"/>
        </w:rPr>
      </w:pPr>
      <w:r>
        <w:rPr>
          <w:i/>
          <w:noProof/>
          <w:sz w:val="18"/>
        </w:rPr>
        <w:t>Ako je navedeno više načina upravljanja, potrebno je pojasniti u odjeljku „Napomene”.</w:t>
      </w:r>
    </w:p>
    <w:p>
      <w:pPr>
        <w:tabs>
          <w:tab w:val="left" w:pos="720"/>
        </w:tabs>
        <w:ind w:left="360"/>
        <w:rPr>
          <w:noProof/>
        </w:rPr>
      </w:pPr>
      <w:r>
        <w:rPr>
          <w:noProof/>
        </w:rPr>
        <w:t xml:space="preserve">Napomene </w:t>
      </w:r>
    </w:p>
    <w:p>
      <w:pPr>
        <w:rPr>
          <w:noProof/>
        </w:rPr>
      </w:pP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4" w:name="_Toc514941982"/>
      <w:bookmarkStart w:id="25" w:name="_Toc46138687"/>
      <w:r>
        <w:t>2.</w:t>
      </w:r>
      <w:r>
        <w:tab/>
      </w:r>
      <w:r>
        <w:rPr>
          <w:noProof/>
        </w:rPr>
        <w:t>MJERE UPRAVLJANJA</w:t>
      </w:r>
      <w:bookmarkEnd w:id="24"/>
      <w:bookmarkEnd w:id="25"/>
      <w:r>
        <w:rPr>
          <w:noProof/>
        </w:rPr>
        <w:t xml:space="preserve"> </w:t>
      </w:r>
    </w:p>
    <w:p>
      <w:pPr>
        <w:pStyle w:val="ManualHeading2"/>
        <w:rPr>
          <w:noProof/>
        </w:rPr>
      </w:pPr>
      <w:bookmarkStart w:id="26" w:name="_Toc514941983"/>
      <w:bookmarkStart w:id="27" w:name="_Toc46138688"/>
      <w:r>
        <w:t>2.1.</w:t>
      </w:r>
      <w:r>
        <w:tab/>
      </w:r>
      <w:r>
        <w:rPr>
          <w:noProof/>
        </w:rPr>
        <w:t>Pravila praćenja i izvješćivanja</w:t>
      </w:r>
      <w:bookmarkEnd w:id="26"/>
      <w:bookmarkEnd w:id="27"/>
      <w:r>
        <w:rPr>
          <w:noProof/>
        </w:rPr>
        <w:t xml:space="preserve"> </w:t>
      </w:r>
    </w:p>
    <w:p>
      <w:pPr>
        <w:ind w:left="709"/>
        <w:rPr>
          <w:i/>
          <w:noProof/>
          <w:sz w:val="20"/>
        </w:rPr>
      </w:pPr>
      <w:r>
        <w:rPr>
          <w:i/>
          <w:noProof/>
          <w:sz w:val="20"/>
        </w:rPr>
        <w:t>Navesti učestalost i uvjete.</w:t>
      </w:r>
    </w:p>
    <w:p>
      <w:pPr>
        <w:pBdr>
          <w:top w:val="single" w:sz="4" w:space="1" w:color="auto"/>
          <w:left w:val="single" w:sz="4" w:space="4" w:color="auto"/>
          <w:bottom w:val="single" w:sz="4" w:space="1" w:color="auto"/>
          <w:right w:val="single" w:sz="4" w:space="4" w:color="auto"/>
        </w:pBdr>
        <w:ind w:left="851"/>
        <w:rPr>
          <w:noProof/>
        </w:rPr>
      </w:pPr>
      <w:r>
        <w:rPr>
          <w:noProof/>
        </w:rPr>
        <w:t>Primatelji sredstava moraju dostavljati prikupljene podatke i popratno izvješće o kvaliteti.</w:t>
      </w:r>
    </w:p>
    <w:p>
      <w:pPr>
        <w:pStyle w:val="ManualHeading2"/>
        <w:rPr>
          <w:noProof/>
        </w:rPr>
      </w:pPr>
      <w:bookmarkStart w:id="28" w:name="_Toc514941984"/>
      <w:bookmarkStart w:id="29" w:name="_Toc46138689"/>
      <w:r>
        <w:t>2.2.</w:t>
      </w:r>
      <w:r>
        <w:tab/>
      </w:r>
      <w:r>
        <w:rPr>
          <w:noProof/>
        </w:rPr>
        <w:t>Sustavi upravljanja i kontrole</w:t>
      </w:r>
      <w:bookmarkEnd w:id="28"/>
      <w:bookmarkEnd w:id="29"/>
      <w:r>
        <w:rPr>
          <w:noProof/>
        </w:rPr>
        <w:t xml:space="preserve"> </w:t>
      </w:r>
    </w:p>
    <w:p>
      <w:pPr>
        <w:keepNext/>
        <w:ind w:left="1800"/>
        <w:outlineLvl w:val="2"/>
        <w:rPr>
          <w:rFonts w:eastAsiaTheme="majorEastAsia"/>
          <w:bCs/>
          <w:i/>
          <w:noProof/>
        </w:rPr>
      </w:pPr>
      <w:bookmarkStart w:id="30" w:name="_Toc514941985"/>
      <w:bookmarkStart w:id="31" w:name="_Toc46138690"/>
      <w:r>
        <w:rPr>
          <w:bCs/>
          <w:i/>
          <w:noProof/>
        </w:rPr>
        <w:t>Obrazloženje načina upravljanja, mehanizama provedbe financiranja, načina plaćanja i predložene strategije kontrole</w:t>
      </w:r>
      <w:bookmarkEnd w:id="30"/>
      <w:bookmarkEnd w:id="31"/>
    </w:p>
    <w:tbl>
      <w:tblPr>
        <w:tblStyle w:val="TableGrid1"/>
        <w:tblW w:w="0" w:type="auto"/>
        <w:tblInd w:w="850" w:type="dxa"/>
        <w:tblLook w:val="04A0" w:firstRow="1" w:lastRow="0" w:firstColumn="1" w:lastColumn="0" w:noHBand="0" w:noVBand="1"/>
      </w:tblPr>
      <w:tblGrid>
        <w:gridCol w:w="8437"/>
      </w:tblGrid>
      <w:tr>
        <w:tc>
          <w:tcPr>
            <w:tcW w:w="9287" w:type="dxa"/>
          </w:tcPr>
          <w:p>
            <w:pPr>
              <w:pBdr>
                <w:top w:val="nil"/>
                <w:left w:val="nil"/>
                <w:bottom w:val="nil"/>
                <w:right w:val="nil"/>
                <w:between w:val="nil"/>
                <w:bar w:val="nil"/>
              </w:pBdr>
              <w:spacing w:after="240"/>
              <w:ind w:left="1"/>
              <w:rPr>
                <w:noProof/>
              </w:rPr>
            </w:pPr>
            <w:r>
              <w:rPr>
                <w:noProof/>
              </w:rPr>
              <w:t>Primjenjuje se načelo supsidijarnosti jer prijedlog nije u isključivoj nadležnosti Unije. Europskim statističkim sustavom (ESS) osigurava se infrastruktura za statističke informacije. Sustav je osmišljen tako da zadovolji potrebe brojnih korisnika u svrhu donošenja odluka u demokratskim društvima. Prijedlog ove Uredbe sastavljen je tako da se zaštite ključne aktivnosti partnera ESS-a i da se pritom bolje osiguraju i zajamče kvaliteta i usporedivost poljoprivredne statistike.</w:t>
            </w:r>
          </w:p>
          <w:p>
            <w:pPr>
              <w:pBdr>
                <w:top w:val="nil"/>
                <w:left w:val="nil"/>
                <w:bottom w:val="nil"/>
                <w:right w:val="nil"/>
                <w:between w:val="nil"/>
                <w:bar w:val="nil"/>
              </w:pBdr>
              <w:spacing w:after="240"/>
              <w:ind w:left="1"/>
              <w:rPr>
                <w:noProof/>
              </w:rPr>
            </w:pPr>
            <w:r>
              <w:rPr>
                <w:noProof/>
              </w:rPr>
              <w:t xml:space="preserve">Usklađenost i usporedivost podataka među glavnim su kriterijima koje statistički podaci moraju zadovoljiti. Države članice ne mogu postići potrebnu usklađenost i usporedivost bez jasnog europskog okvira, tj. zakonodavstva Unije kojim se utvrđuju zajednički statistički koncepti, formati izvješćivanja i zahtjevi kvalitete. </w:t>
            </w:r>
          </w:p>
          <w:p>
            <w:pPr>
              <w:ind w:left="1"/>
              <w:rPr>
                <w:noProof/>
              </w:rPr>
            </w:pPr>
            <w:r>
              <w:rPr>
                <w:noProof/>
              </w:rPr>
              <w:t>Cilj predloženog djelovanja ne može se uspješno postići ako države članice djeluju samostalno. Djelovanje se može djelotvornije provesti na razini Unije, i to na temelju pravnog akta Unije kojim se osigurava usporedivost statističkih informacija u statističkim područjima koja su obuhvaćena predloženim aktom. Samo prikupljanje podataka pritom mogu izvoditi države članice.</w:t>
            </w:r>
          </w:p>
        </w:tc>
      </w:tr>
    </w:tbl>
    <w:p>
      <w:pPr>
        <w:pStyle w:val="ManualHeading3"/>
        <w:rPr>
          <w:noProof/>
        </w:rPr>
      </w:pPr>
      <w:bookmarkStart w:id="32" w:name="_Toc514941986"/>
      <w:bookmarkStart w:id="33" w:name="_Toc46138691"/>
      <w:r>
        <w:t>2.2.1.</w:t>
      </w:r>
      <w:r>
        <w:tab/>
      </w:r>
      <w:r>
        <w:rPr>
          <w:noProof/>
        </w:rPr>
        <w:t>Informacije o utvrđenim rizicima i uspostavljenim sustavima unutarnje kontrole za ublažavanje rizika</w:t>
      </w:r>
      <w:bookmarkEnd w:id="32"/>
      <w:bookmarkEnd w:id="33"/>
    </w:p>
    <w:p>
      <w:pPr>
        <w:pBdr>
          <w:top w:val="single" w:sz="4" w:space="1" w:color="auto"/>
          <w:left w:val="single" w:sz="4" w:space="4" w:color="auto"/>
          <w:bottom w:val="single" w:sz="4" w:space="1" w:color="auto"/>
          <w:right w:val="single" w:sz="4" w:space="4" w:color="auto"/>
        </w:pBdr>
        <w:tabs>
          <w:tab w:val="left" w:pos="720"/>
        </w:tabs>
        <w:spacing w:before="0" w:after="0"/>
        <w:ind w:left="851"/>
        <w:rPr>
          <w:noProof/>
        </w:rPr>
      </w:pPr>
      <w:r>
        <w:rPr>
          <w:noProof/>
        </w:rPr>
        <w:t>Rizici: moguće poteškoće u pogledu kvalitete i pravodobnosti podataka.</w:t>
      </w:r>
    </w:p>
    <w:p>
      <w:pPr>
        <w:pBdr>
          <w:top w:val="single" w:sz="4" w:space="1" w:color="auto"/>
          <w:left w:val="single" w:sz="4" w:space="4" w:color="auto"/>
          <w:bottom w:val="single" w:sz="4" w:space="1" w:color="auto"/>
          <w:right w:val="single" w:sz="4" w:space="4" w:color="auto"/>
        </w:pBdr>
        <w:spacing w:before="0" w:after="0"/>
        <w:ind w:left="851"/>
        <w:rPr>
          <w:noProof/>
        </w:rPr>
      </w:pPr>
    </w:p>
    <w:p>
      <w:pPr>
        <w:pBdr>
          <w:top w:val="single" w:sz="4" w:space="1" w:color="auto"/>
          <w:left w:val="single" w:sz="4" w:space="4" w:color="auto"/>
          <w:bottom w:val="single" w:sz="4" w:space="1" w:color="auto"/>
          <w:right w:val="single" w:sz="4" w:space="4" w:color="auto"/>
        </w:pBdr>
        <w:spacing w:before="0" w:after="0"/>
        <w:ind w:left="851"/>
        <w:rPr>
          <w:noProof/>
        </w:rPr>
      </w:pPr>
      <w:r>
        <w:rPr>
          <w:noProof/>
        </w:rPr>
        <w:t>Sustavi kontrole koji su uspostavljeni za smanjenje rizika: tehnička i metodološka dokumentacija i smjernice koje treba unaprijed priopćiti državama članicama. Pratit će se poštovanje rokova i provjeravati izvješća o kvaliteti.</w:t>
      </w:r>
    </w:p>
    <w:p>
      <w:pPr>
        <w:rPr>
          <w:noProof/>
        </w:rPr>
      </w:pPr>
    </w:p>
    <w:p>
      <w:pPr>
        <w:pStyle w:val="ManualHeading3"/>
        <w:rPr>
          <w:noProof/>
        </w:rPr>
      </w:pPr>
      <w:bookmarkStart w:id="34" w:name="_Toc514941987"/>
      <w:bookmarkStart w:id="35" w:name="_Toc46138692"/>
      <w:r>
        <w:t>2.2.2.</w:t>
      </w:r>
      <w:r>
        <w:tab/>
      </w:r>
      <w:r>
        <w:rPr>
          <w:noProof/>
        </w:rPr>
        <w:t>Procjena i obrazloženje troškovne učinkovitosti kontrola (omjer „troškova kontrole i vrijednosti sredstava kojima se upravlja”) i procjena očekivane razine rizika od pogreške (pri plaćanju i pri zaključenju)</w:t>
      </w:r>
      <w:bookmarkEnd w:id="34"/>
      <w:bookmarkEnd w:id="35"/>
      <w:r>
        <w:rPr>
          <w:noProof/>
        </w:rPr>
        <w:t xml:space="preserve"> </w:t>
      </w:r>
    </w:p>
    <w:p>
      <w:pPr>
        <w:pBdr>
          <w:top w:val="single" w:sz="4" w:space="1" w:color="auto"/>
          <w:left w:val="single" w:sz="4" w:space="4" w:color="auto"/>
          <w:bottom w:val="single" w:sz="4" w:space="1" w:color="auto"/>
          <w:right w:val="single" w:sz="4" w:space="4" w:color="auto"/>
        </w:pBdr>
        <w:ind w:left="851"/>
        <w:rPr>
          <w:noProof/>
        </w:rPr>
      </w:pPr>
      <w:r>
        <w:rPr>
          <w:noProof/>
        </w:rPr>
        <w:t>Kontrole provode službenici Komisije u okviru svojih redovitih dužnosti. Njima se postižu veća kvaliteta i usporedivost podataka. Očekivana je razina rizika od pogreške niska jer se prikupljanje podataka o poljoprivrednoj statistici provodi u uspješnoj suradnji s državama članicama od 1950-ih. Prilagodbom tehničkih i drugih sustava moglo bi kratkoročno doći do blagog povećanja rizika od pogreške, no očekuje se da će se on smanjiti u kratkoročnom do srednjoročnom razdoblju.</w:t>
      </w:r>
    </w:p>
    <w:p>
      <w:pPr>
        <w:ind w:left="850"/>
        <w:rPr>
          <w:noProof/>
        </w:rPr>
      </w:pPr>
    </w:p>
    <w:p>
      <w:pPr>
        <w:pStyle w:val="ManualHeading2"/>
        <w:rPr>
          <w:noProof/>
        </w:rPr>
      </w:pPr>
      <w:bookmarkStart w:id="36" w:name="_Toc514941988"/>
      <w:bookmarkStart w:id="37" w:name="_Toc46138693"/>
      <w:r>
        <w:t>2.3.</w:t>
      </w:r>
      <w:r>
        <w:tab/>
      </w:r>
      <w:r>
        <w:rPr>
          <w:noProof/>
        </w:rPr>
        <w:t>Mjere za sprečavanje prijevara i nepravilnosti</w:t>
      </w:r>
      <w:bookmarkEnd w:id="36"/>
      <w:bookmarkEnd w:id="37"/>
      <w:r>
        <w:rPr>
          <w:noProof/>
        </w:rPr>
        <w:t xml:space="preserve"> </w:t>
      </w:r>
    </w:p>
    <w:p>
      <w:pPr>
        <w:ind w:left="850"/>
        <w:rPr>
          <w:noProof/>
        </w:rPr>
      </w:pPr>
      <w:r>
        <w:rPr>
          <w:i/>
          <w:noProof/>
          <w:sz w:val="20"/>
        </w:rPr>
        <w:t>Navesti postojeće ili predviđene mjere za sprečavanje i zaštitu, npr. iz strategije za borbu protiv prijevara.</w:t>
      </w:r>
    </w:p>
    <w:p>
      <w:pPr>
        <w:pBdr>
          <w:top w:val="single" w:sz="4" w:space="1" w:color="auto"/>
          <w:left w:val="single" w:sz="4" w:space="4" w:color="auto"/>
          <w:bottom w:val="single" w:sz="4" w:space="1" w:color="auto"/>
          <w:right w:val="single" w:sz="4" w:space="4" w:color="auto"/>
        </w:pBdr>
        <w:ind w:left="850"/>
        <w:rPr>
          <w:noProof/>
        </w:rPr>
      </w:pPr>
      <w:r>
        <w:rPr>
          <w:noProof/>
        </w:rPr>
        <w:t>Uz primjenu svih regulatornih kontrolnih mehanizama Eurostat će primjenjivati i strategiju protiv prijevara u skladu s općim mjerama Komisije za borbu protiv prijevara. Time će se osigurati da pristup za upravljanje rizikom od prijevare bude usmjeren na prepoznavanje područja u kojima postoji rizik od prijevare i odgovarajuće odgovore. Prema potrebi, uspostavit će se skupine za umrežavanje i odgovarajući informatički alati za analizu slučajeva prijevara.</w:t>
      </w:r>
    </w:p>
    <w:p>
      <w:pPr>
        <w:pBdr>
          <w:top w:val="single" w:sz="4" w:space="1" w:color="auto"/>
          <w:left w:val="single" w:sz="4" w:space="4" w:color="auto"/>
          <w:bottom w:val="single" w:sz="4" w:space="1" w:color="auto"/>
          <w:right w:val="single" w:sz="4" w:space="4" w:color="auto"/>
        </w:pBdr>
        <w:ind w:left="850"/>
        <w:rPr>
          <w:noProof/>
        </w:rPr>
      </w:pPr>
      <w:r>
        <w:rPr>
          <w:noProof/>
        </w:rPr>
        <w:t xml:space="preserve">Eurostat je definirao strategiju kontrole kojom se prati provedba radnji za koje su odobreni rashodi. Mjere i alati ove strategije mogu se u potpunosti primijeniti na predloženu uredbu. Smanjenjem složenosti, primjenom troškovno učinkovitih postupaka praćenja, ali i provođenjem kontrola </w:t>
      </w:r>
      <w:r>
        <w:rPr>
          <w:i/>
          <w:noProof/>
        </w:rPr>
        <w:t>ex ante</w:t>
      </w:r>
      <w:r>
        <w:rPr>
          <w:noProof/>
        </w:rPr>
        <w:t xml:space="preserve"> i </w:t>
      </w:r>
      <w:r>
        <w:rPr>
          <w:i/>
          <w:noProof/>
        </w:rPr>
        <w:t>ex post</w:t>
      </w:r>
      <w:r>
        <w:rPr>
          <w:noProof/>
        </w:rPr>
        <w:t xml:space="preserve"> nastojat će se smanjiti vjerojatnost pojavljivanja prijevara i pridonijeti njihovu sprečavanju. Posebne mjere jačanja svijesti i odgovarajuća osposobljavanja u području sprečavanja prijevara dio su strategije kontrole.</w:t>
      </w:r>
    </w:p>
    <w:p>
      <w:pPr>
        <w:ind w:left="850"/>
        <w:rPr>
          <w:noProof/>
        </w:rPr>
      </w:pPr>
    </w:p>
    <w:p>
      <w:pPr>
        <w:ind w:left="850"/>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38" w:name="_Toc514941989"/>
      <w:bookmarkStart w:id="39" w:name="_Toc46138694"/>
      <w:r>
        <w:t>3.</w:t>
      </w:r>
      <w:r>
        <w:tab/>
      </w:r>
      <w:r>
        <w:rPr>
          <w:noProof/>
        </w:rPr>
        <w:t>PROCIJENJENI FINANCIJSKI UČINAK PRIJEDLOGA/INICIJATIVE</w:t>
      </w:r>
      <w:bookmarkEnd w:id="38"/>
      <w:bookmarkEnd w:id="39"/>
      <w:r>
        <w:rPr>
          <w:noProof/>
        </w:rPr>
        <w:t xml:space="preserve"> </w:t>
      </w:r>
    </w:p>
    <w:p>
      <w:pPr>
        <w:pStyle w:val="ManualHeading2"/>
        <w:rPr>
          <w:noProof/>
        </w:rPr>
      </w:pPr>
      <w:bookmarkStart w:id="40" w:name="_Toc514941990"/>
      <w:bookmarkStart w:id="41" w:name="_Toc46138695"/>
      <w:r>
        <w:t>3.1.</w:t>
      </w:r>
      <w:r>
        <w:tab/>
      </w:r>
      <w:r>
        <w:rPr>
          <w:noProof/>
        </w:rPr>
        <w:t>Naslov višegodišnjeg financijskog okvira i predložene nove proračunske linije rashoda</w:t>
      </w:r>
      <w:bookmarkEnd w:id="40"/>
      <w:bookmarkEnd w:id="41"/>
      <w:r>
        <w:rPr>
          <w:noProof/>
        </w:rPr>
        <w:t xml:space="preserve"> </w:t>
      </w:r>
    </w:p>
    <w:p>
      <w:pPr>
        <w:rPr>
          <w:noProof/>
        </w:rPr>
      </w:pPr>
      <w:r>
        <w:rPr>
          <w:noProof/>
        </w:rPr>
        <w:t xml:space="preserve">Financijski učinak prijedloga nije poznat u trenutku donošenja uredbe. Doprinos Unije ne primjenjuje se na redovno prikupljanje statističkih podataka, već samo na prikupljanje </w:t>
      </w:r>
      <w:r>
        <w:rPr>
          <w:i/>
          <w:noProof/>
        </w:rPr>
        <w:t>ad hoc</w:t>
      </w:r>
      <w:r>
        <w:rPr>
          <w:noProof/>
        </w:rPr>
        <w:t xml:space="preserve"> podataka iz članka 6. Prvo prikupljanje </w:t>
      </w:r>
      <w:r>
        <w:rPr>
          <w:i/>
          <w:noProof/>
        </w:rPr>
        <w:t>ad hoc</w:t>
      </w:r>
      <w:r>
        <w:rPr>
          <w:noProof/>
        </w:rPr>
        <w:t xml:space="preserve"> podataka može se provesti najranije dvije godine nakon prve referentne godine ako se utvrdi da postoji opravdana neočekivana potreba za podacima. Zbog toga u ovoj fazi nije moguće utvrditi financijski učinak. </w:t>
      </w:r>
    </w:p>
    <w:p>
      <w:pPr>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75"/>
        <w:gridCol w:w="1365"/>
        <w:gridCol w:w="1044"/>
        <w:gridCol w:w="1134"/>
        <w:gridCol w:w="851"/>
        <w:gridCol w:w="1411"/>
      </w:tblGrid>
      <w:tr>
        <w:tc>
          <w:tcPr>
            <w:tcW w:w="1080" w:type="dxa"/>
            <w:vMerge w:val="restart"/>
            <w:vAlign w:val="center"/>
          </w:tcPr>
          <w:p>
            <w:pPr>
              <w:spacing w:before="60" w:after="60"/>
              <w:jc w:val="center"/>
              <w:rPr>
                <w:noProof/>
              </w:rPr>
            </w:pPr>
            <w:r>
              <w:rPr>
                <w:noProof/>
                <w:sz w:val="18"/>
              </w:rPr>
              <w:t>Naslov višegodišnjeg financijskog okvira</w:t>
            </w:r>
          </w:p>
        </w:tc>
        <w:tc>
          <w:tcPr>
            <w:tcW w:w="3675" w:type="dxa"/>
            <w:vAlign w:val="center"/>
          </w:tcPr>
          <w:p>
            <w:pPr>
              <w:spacing w:before="60" w:after="60"/>
              <w:jc w:val="center"/>
              <w:rPr>
                <w:noProof/>
              </w:rPr>
            </w:pPr>
            <w:r>
              <w:rPr>
                <w:noProof/>
                <w:sz w:val="20"/>
              </w:rPr>
              <w:t>Proračunska linija</w:t>
            </w:r>
          </w:p>
        </w:tc>
        <w:tc>
          <w:tcPr>
            <w:tcW w:w="1365" w:type="dxa"/>
            <w:vAlign w:val="center"/>
          </w:tcPr>
          <w:p>
            <w:pPr>
              <w:spacing w:before="60" w:after="60"/>
              <w:jc w:val="center"/>
              <w:rPr>
                <w:noProof/>
              </w:rPr>
            </w:pPr>
            <w:r>
              <w:rPr>
                <w:noProof/>
                <w:sz w:val="18"/>
              </w:rPr>
              <w:t>Vrsta</w:t>
            </w:r>
            <w:r>
              <w:rPr>
                <w:noProof/>
              </w:rPr>
              <w:t xml:space="preserve"> </w:t>
            </w:r>
            <w:r>
              <w:rPr>
                <w:noProof/>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675" w:type="dxa"/>
            <w:vAlign w:val="center"/>
          </w:tcPr>
          <w:p>
            <w:pPr>
              <w:rPr>
                <w:noProof/>
              </w:rPr>
            </w:pPr>
            <w:r>
              <w:rPr>
                <w:noProof/>
                <w:sz w:val="20"/>
              </w:rPr>
              <w:t xml:space="preserve">Broj </w:t>
            </w:r>
            <w:r>
              <w:rPr>
                <w:noProof/>
              </w:rPr>
              <w:t xml:space="preserve"> </w:t>
            </w:r>
            <w:r>
              <w:rPr>
                <w:noProof/>
              </w:rPr>
              <w:br/>
            </w:r>
            <w:r>
              <w:rPr>
                <w:noProof/>
                <w:color w:val="0000FF"/>
                <w:sz w:val="22"/>
              </w:rPr>
              <w:t>[…]</w:t>
            </w:r>
            <w:r>
              <w:rPr>
                <w:noProof/>
                <w:sz w:val="20"/>
              </w:rPr>
              <w:t>[Naslov………………………...…………]</w:t>
            </w:r>
          </w:p>
        </w:tc>
        <w:tc>
          <w:tcPr>
            <w:tcW w:w="1365" w:type="dxa"/>
            <w:vAlign w:val="center"/>
          </w:tcPr>
          <w:p>
            <w:pPr>
              <w:jc w:val="center"/>
              <w:rPr>
                <w:noProof/>
              </w:rPr>
            </w:pPr>
            <w:r>
              <w:rPr>
                <w:noProof/>
                <w:sz w:val="18"/>
              </w:rPr>
              <w:t>dif./nedif.</w:t>
            </w:r>
            <w:r>
              <w:rPr>
                <w:rStyle w:val="FootnoteReference"/>
                <w:noProof/>
              </w:rPr>
              <w:footnoteReference w:id="37"/>
            </w:r>
          </w:p>
        </w:tc>
        <w:tc>
          <w:tcPr>
            <w:tcW w:w="1044" w:type="dxa"/>
            <w:vAlign w:val="center"/>
          </w:tcPr>
          <w:p>
            <w:pPr>
              <w:jc w:val="center"/>
              <w:rPr>
                <w:noProof/>
              </w:rPr>
            </w:pPr>
            <w:r>
              <w:rPr>
                <w:noProof/>
                <w:sz w:val="18"/>
              </w:rPr>
              <w:t>zemalja EFTA-e</w:t>
            </w:r>
            <w:r>
              <w:rPr>
                <w:rStyle w:val="FootnoteReference"/>
                <w:noProof/>
              </w:rPr>
              <w:footnoteReference w:id="38"/>
            </w:r>
          </w:p>
          <w:p>
            <w:pPr>
              <w:spacing w:before="0" w:after="0"/>
              <w:jc w:val="center"/>
              <w:rPr>
                <w:b/>
                <w:noProof/>
                <w:sz w:val="18"/>
              </w:rPr>
            </w:pPr>
          </w:p>
        </w:tc>
        <w:tc>
          <w:tcPr>
            <w:tcW w:w="1134" w:type="dxa"/>
            <w:vAlign w:val="center"/>
          </w:tcPr>
          <w:p>
            <w:pPr>
              <w:jc w:val="center"/>
              <w:rPr>
                <w:noProof/>
              </w:rPr>
            </w:pPr>
            <w:r>
              <w:rPr>
                <w:noProof/>
                <w:sz w:val="18"/>
              </w:rPr>
              <w:t>zemalja kandidatkinja</w:t>
            </w:r>
            <w:r>
              <w:rPr>
                <w:rStyle w:val="FootnoteReference"/>
                <w:noProof/>
              </w:rPr>
              <w:footnoteReference w:id="39"/>
            </w:r>
          </w:p>
          <w:p>
            <w:pPr>
              <w:spacing w:before="0" w:after="0"/>
              <w:jc w:val="center"/>
              <w:rPr>
                <w:noProof/>
                <w:sz w:val="18"/>
              </w:rPr>
            </w:pPr>
          </w:p>
        </w:tc>
        <w:tc>
          <w:tcPr>
            <w:tcW w:w="851" w:type="dxa"/>
            <w:vAlign w:val="center"/>
          </w:tcPr>
          <w:p>
            <w:pPr>
              <w:jc w:val="center"/>
              <w:rPr>
                <w:noProof/>
                <w:sz w:val="18"/>
              </w:rPr>
            </w:pPr>
            <w:r>
              <w:rPr>
                <w:noProof/>
                <w:sz w:val="18"/>
              </w:rPr>
              <w:t>trećih zemalja</w:t>
            </w:r>
          </w:p>
        </w:tc>
        <w:tc>
          <w:tcPr>
            <w:tcW w:w="1411"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color w:val="0000FF"/>
              </w:rPr>
            </w:pPr>
          </w:p>
        </w:tc>
        <w:tc>
          <w:tcPr>
            <w:tcW w:w="3675" w:type="dxa"/>
            <w:vAlign w:val="center"/>
          </w:tcPr>
          <w:p>
            <w:pPr>
              <w:spacing w:after="60"/>
              <w:rPr>
                <w:noProof/>
              </w:rPr>
            </w:pPr>
          </w:p>
        </w:tc>
        <w:tc>
          <w:tcPr>
            <w:tcW w:w="1365" w:type="dxa"/>
            <w:vAlign w:val="center"/>
          </w:tcPr>
          <w:p>
            <w:pPr>
              <w:jc w:val="center"/>
              <w:rPr>
                <w:noProof/>
                <w:color w:val="0000FF"/>
              </w:rPr>
            </w:pPr>
            <w:r>
              <w:rPr>
                <w:noProof/>
                <w:sz w:val="22"/>
              </w:rPr>
              <w:t>dif./nedif.</w:t>
            </w:r>
          </w:p>
        </w:tc>
        <w:tc>
          <w:tcPr>
            <w:tcW w:w="1044" w:type="dxa"/>
            <w:vAlign w:val="center"/>
          </w:tcPr>
          <w:p>
            <w:pPr>
              <w:jc w:val="center"/>
              <w:rPr>
                <w:noProof/>
              </w:rPr>
            </w:pPr>
            <w:r>
              <w:rPr>
                <w:noProof/>
                <w:sz w:val="22"/>
              </w:rPr>
              <w:t>DA/NE</w:t>
            </w:r>
          </w:p>
        </w:tc>
        <w:tc>
          <w:tcPr>
            <w:tcW w:w="1134" w:type="dxa"/>
            <w:vAlign w:val="center"/>
          </w:tcPr>
          <w:p>
            <w:pPr>
              <w:jc w:val="center"/>
              <w:rPr>
                <w:noProof/>
              </w:rPr>
            </w:pPr>
            <w:r>
              <w:rPr>
                <w:noProof/>
                <w:sz w:val="22"/>
              </w:rPr>
              <w:t>DA/NE</w:t>
            </w:r>
          </w:p>
        </w:tc>
        <w:tc>
          <w:tcPr>
            <w:tcW w:w="851" w:type="dxa"/>
            <w:vAlign w:val="center"/>
          </w:tcPr>
          <w:p>
            <w:pPr>
              <w:jc w:val="center"/>
              <w:rPr>
                <w:noProof/>
              </w:rPr>
            </w:pPr>
            <w:r>
              <w:rPr>
                <w:noProof/>
                <w:sz w:val="22"/>
              </w:rPr>
              <w:t>DA/NE</w:t>
            </w:r>
          </w:p>
        </w:tc>
        <w:tc>
          <w:tcPr>
            <w:tcW w:w="1411" w:type="dxa"/>
            <w:vAlign w:val="center"/>
          </w:tcPr>
          <w:p>
            <w:pPr>
              <w:jc w:val="center"/>
              <w:rPr>
                <w:noProof/>
              </w:rPr>
            </w:pPr>
            <w:r>
              <w:rPr>
                <w:noProof/>
                <w:sz w:val="22"/>
              </w:rPr>
              <w:t>DA/NE</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bookmarkStart w:id="42" w:name="_Toc514941991"/>
      <w:bookmarkStart w:id="43" w:name="_Toc46138696"/>
      <w:r>
        <w:t>3.2.</w:t>
      </w:r>
      <w:r>
        <w:tab/>
      </w:r>
      <w:r>
        <w:rPr>
          <w:noProof/>
        </w:rPr>
        <w:t>Procijenjeni učinak na rashode</w:t>
      </w:r>
      <w:bookmarkEnd w:id="42"/>
      <w:bookmarkEnd w:id="43"/>
      <w:r>
        <w:rPr>
          <w:noProof/>
        </w:rPr>
        <w:t xml:space="preserve"> </w:t>
      </w:r>
    </w:p>
    <w:p>
      <w:pPr>
        <w:pStyle w:val="ManualHeading3"/>
        <w:rPr>
          <w:noProof/>
          <w:u w:val="single"/>
        </w:rPr>
      </w:pPr>
      <w:bookmarkStart w:id="44" w:name="_Toc514941992"/>
      <w:bookmarkStart w:id="45" w:name="_Toc46138697"/>
      <w:r>
        <w:t>3.2.1.</w:t>
      </w:r>
      <w:r>
        <w:tab/>
      </w:r>
      <w:r>
        <w:rPr>
          <w:noProof/>
        </w:rPr>
        <w:t>Sažetak procijenjenog učinka na rashode</w:t>
      </w:r>
      <w:bookmarkEnd w:id="44"/>
      <w:bookmarkEnd w:id="45"/>
      <w:r>
        <w:rPr>
          <w:noProof/>
        </w:rPr>
        <w:t xml:space="preserve"> </w:t>
      </w:r>
    </w:p>
    <w:p>
      <w:pPr>
        <w:jc w:val="right"/>
        <w:rPr>
          <w:noProof/>
          <w:sz w:val="20"/>
        </w:rPr>
      </w:pPr>
      <w:r>
        <w:rPr>
          <w:noProof/>
          <w:sz w:val="20"/>
        </w:rPr>
        <w:t>U milijunima EUR (do tri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Naslov višegodišnjeg financijskog</w:t>
            </w:r>
            <w:r>
              <w:rPr>
                <w:noProof/>
              </w:rPr>
              <w:t xml:space="preserve"> </w:t>
            </w:r>
            <w:r>
              <w:rPr>
                <w:noProof/>
              </w:rPr>
              <w:br/>
            </w:r>
            <w:r>
              <w:rPr>
                <w:b/>
                <w:noProof/>
                <w:sz w:val="22"/>
              </w:rPr>
              <w:t xml:space="preserve">okvira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color w:val="0000FF"/>
                <w:sz w:val="22"/>
              </w:rPr>
              <w:t>[…]</w:t>
            </w:r>
            <w:r>
              <w:rPr>
                <w:noProof/>
                <w:sz w:val="22"/>
              </w:rPr>
              <w:t>[Naslov……………...……………………………………………………………]</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Nakon 2027.</w:t>
            </w:r>
          </w:p>
        </w:tc>
        <w:tc>
          <w:tcPr>
            <w:tcW w:w="1289" w:type="dxa"/>
            <w:vAlign w:val="center"/>
          </w:tcPr>
          <w:p>
            <w:pPr>
              <w:jc w:val="center"/>
              <w:rPr>
                <w:b/>
                <w:noProof/>
                <w:sz w:val="20"/>
              </w:rPr>
            </w:pPr>
            <w:r>
              <w:rPr>
                <w:b/>
                <w:noProof/>
                <w:sz w:val="20"/>
              </w:rPr>
              <w:t>UKUPNO</w:t>
            </w:r>
          </w:p>
        </w:tc>
      </w:tr>
      <w:tr>
        <w:trPr>
          <w:trHeight w:val="433"/>
          <w:jc w:val="center"/>
        </w:trPr>
        <w:tc>
          <w:tcPr>
            <w:tcW w:w="4103" w:type="dxa"/>
            <w:vMerge w:val="restart"/>
            <w:vAlign w:val="center"/>
          </w:tcPr>
          <w:p>
            <w:pPr>
              <w:rPr>
                <w:noProof/>
              </w:rPr>
            </w:pPr>
            <w:r>
              <w:rPr>
                <w:noProof/>
                <w:sz w:val="20"/>
              </w:rPr>
              <w:t xml:space="preserve">Odobrena sredstva za poslovanje (podijeljena prema proračunskim linijama iz točke 3.1.) </w:t>
            </w:r>
          </w:p>
        </w:tc>
        <w:tc>
          <w:tcPr>
            <w:tcW w:w="1440" w:type="dxa"/>
            <w:vAlign w:val="center"/>
          </w:tcPr>
          <w:p>
            <w:pPr>
              <w:spacing w:before="20" w:after="20"/>
              <w:jc w:val="left"/>
              <w:rPr>
                <w:noProof/>
                <w:sz w:val="18"/>
              </w:rPr>
            </w:pPr>
            <w:r>
              <w:rPr>
                <w:noProof/>
                <w:sz w:val="18"/>
              </w:rPr>
              <w:t>Obveze</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Plaćanja</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319"/>
          <w:jc w:val="center"/>
        </w:trPr>
        <w:tc>
          <w:tcPr>
            <w:tcW w:w="4103" w:type="dxa"/>
            <w:vAlign w:val="center"/>
          </w:tcPr>
          <w:p>
            <w:pPr>
              <w:spacing w:before="20" w:after="20"/>
              <w:jc w:val="left"/>
              <w:rPr>
                <w:noProof/>
              </w:rPr>
            </w:pPr>
            <w:r>
              <w:rPr>
                <w:noProof/>
                <w:sz w:val="20"/>
              </w:rPr>
              <w:t>Administrativna odobrena sredstva koja se financiraju iz omotnice programa</w:t>
            </w:r>
            <w:r>
              <w:rPr>
                <w:rStyle w:val="FootnoteReference"/>
                <w:noProof/>
              </w:rPr>
              <w:footnoteReference w:id="40"/>
            </w:r>
            <w:r>
              <w:rPr>
                <w:noProof/>
                <w:sz w:val="21"/>
              </w:rPr>
              <w:t xml:space="preserve"> </w:t>
            </w:r>
          </w:p>
        </w:tc>
        <w:tc>
          <w:tcPr>
            <w:tcW w:w="1440" w:type="dxa"/>
            <w:vAlign w:val="center"/>
          </w:tcPr>
          <w:p>
            <w:pPr>
              <w:spacing w:before="40" w:after="40"/>
              <w:jc w:val="left"/>
              <w:rPr>
                <w:noProof/>
                <w:sz w:val="18"/>
              </w:rPr>
            </w:pPr>
            <w:r>
              <w:rPr>
                <w:noProof/>
                <w:sz w:val="18"/>
              </w:rPr>
              <w:t>Obveze = plaćanja</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UKUPNA odobrena sredstva za omotnicu programa</w:t>
            </w:r>
          </w:p>
        </w:tc>
        <w:tc>
          <w:tcPr>
            <w:tcW w:w="1440" w:type="dxa"/>
            <w:vAlign w:val="center"/>
          </w:tcPr>
          <w:p>
            <w:pPr>
              <w:jc w:val="left"/>
              <w:rPr>
                <w:noProof/>
                <w:sz w:val="18"/>
              </w:rPr>
            </w:pPr>
            <w:r>
              <w:rPr>
                <w:noProof/>
                <w:sz w:val="18"/>
              </w:rPr>
              <w:t>Obveze</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Plaćanja</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Naslov višegodišnjeg financijskog</w:t>
            </w:r>
            <w:r>
              <w:rPr>
                <w:noProof/>
              </w:rPr>
              <w:t xml:space="preserve"> </w:t>
            </w:r>
            <w:r>
              <w:rPr>
                <w:noProof/>
              </w:rPr>
              <w:br/>
            </w:r>
            <w:r>
              <w:rPr>
                <w:b/>
                <w:noProof/>
                <w:sz w:val="22"/>
              </w:rPr>
              <w:t xml:space="preserve">okvira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„Administrativni rashodi”</w:t>
            </w:r>
          </w:p>
        </w:tc>
      </w:tr>
    </w:tbl>
    <w:p>
      <w:pPr>
        <w:jc w:val="left"/>
        <w:rPr>
          <w:noProof/>
        </w:rPr>
      </w:pPr>
      <w:r>
        <w:rPr>
          <w:noProof/>
        </w:rPr>
        <w:t xml:space="preserve">U ovaj se dio unose „administrativni proračunski podaci”, koji se najprije unose u </w:t>
      </w:r>
      <w:hyperlink r:id="rId13" w:history="1">
        <w:r>
          <w:rPr>
            <w:noProof/>
            <w:color w:val="0000FF"/>
            <w:u w:val="single"/>
          </w:rPr>
          <w:t>prilog zakonodavnom financijskom izvještaju</w:t>
        </w:r>
      </w:hyperlink>
      <w:r>
        <w:rPr>
          <w:noProof/>
        </w:rPr>
        <w:t>, koji se učitava u sustav DECIDE za potrebe savjetovanja među službama.</w:t>
      </w:r>
    </w:p>
    <w:p>
      <w:pPr>
        <w:jc w:val="left"/>
        <w:rPr>
          <w:noProof/>
          <w:color w:val="0000FF"/>
        </w:rPr>
      </w:pPr>
      <w:r>
        <w:rPr>
          <w:noProof/>
        </w:rPr>
        <w:br w:type="page"/>
      </w:r>
    </w:p>
    <w:p>
      <w:pPr>
        <w:jc w:val="left"/>
        <w:rPr>
          <w:noProof/>
        </w:rPr>
      </w:pPr>
    </w:p>
    <w:p>
      <w:pPr>
        <w:jc w:val="right"/>
        <w:rPr>
          <w:noProof/>
          <w:sz w:val="20"/>
        </w:rPr>
      </w:pPr>
      <w:r>
        <w:rPr>
          <w:noProof/>
          <w:sz w:val="20"/>
        </w:rPr>
        <w:t>U milijunima EUR (do tri decimalna mjesta)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Nakon 2027.</w:t>
            </w:r>
          </w:p>
        </w:tc>
        <w:tc>
          <w:tcPr>
            <w:tcW w:w="1291" w:type="dxa"/>
            <w:vAlign w:val="center"/>
          </w:tcPr>
          <w:p>
            <w:pPr>
              <w:jc w:val="center"/>
              <w:rPr>
                <w:b/>
                <w:noProof/>
                <w:sz w:val="20"/>
              </w:rPr>
            </w:pPr>
            <w:r>
              <w:rPr>
                <w:b/>
                <w:noProof/>
                <w:sz w:val="20"/>
              </w:rPr>
              <w:t>UKUPNO</w:t>
            </w:r>
          </w:p>
        </w:tc>
      </w:tr>
      <w:tr>
        <w:trPr>
          <w:trHeight w:val="313"/>
          <w:jc w:val="center"/>
        </w:trPr>
        <w:tc>
          <w:tcPr>
            <w:tcW w:w="6245" w:type="dxa"/>
            <w:gridSpan w:val="2"/>
            <w:vAlign w:val="center"/>
          </w:tcPr>
          <w:p>
            <w:pPr>
              <w:spacing w:before="20" w:after="20"/>
              <w:rPr>
                <w:noProof/>
              </w:rPr>
            </w:pPr>
            <w:r>
              <w:rPr>
                <w:noProof/>
                <w:sz w:val="22"/>
              </w:rPr>
              <w:t xml:space="preserve">Ljudski resursi </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2,100</w:t>
            </w:r>
          </w:p>
        </w:tc>
        <w:tc>
          <w:tcPr>
            <w:tcW w:w="868" w:type="dxa"/>
            <w:vAlign w:val="center"/>
          </w:tcPr>
          <w:p>
            <w:pPr>
              <w:spacing w:before="20" w:after="20"/>
              <w:jc w:val="right"/>
              <w:rPr>
                <w:noProof/>
                <w:sz w:val="20"/>
              </w:rPr>
            </w:pPr>
            <w:r>
              <w:rPr>
                <w:noProof/>
                <w:sz w:val="20"/>
              </w:rPr>
              <w:t>2,100</w:t>
            </w:r>
          </w:p>
        </w:tc>
        <w:tc>
          <w:tcPr>
            <w:tcW w:w="868" w:type="dxa"/>
            <w:vAlign w:val="center"/>
          </w:tcPr>
          <w:p>
            <w:pPr>
              <w:spacing w:before="20" w:after="20"/>
              <w:jc w:val="right"/>
              <w:rPr>
                <w:noProof/>
                <w:sz w:val="20"/>
              </w:rPr>
            </w:pPr>
            <w:r>
              <w:rPr>
                <w:noProof/>
                <w:sz w:val="20"/>
              </w:rPr>
              <w:t>2,100</w:t>
            </w:r>
          </w:p>
        </w:tc>
        <w:tc>
          <w:tcPr>
            <w:tcW w:w="868" w:type="dxa"/>
            <w:vAlign w:val="center"/>
          </w:tcPr>
          <w:p>
            <w:pPr>
              <w:spacing w:before="20" w:after="20"/>
              <w:jc w:val="right"/>
              <w:rPr>
                <w:noProof/>
                <w:sz w:val="20"/>
              </w:rPr>
            </w:pPr>
            <w:r>
              <w:rPr>
                <w:noProof/>
                <w:sz w:val="20"/>
              </w:rPr>
              <w:t>2,100</w:t>
            </w:r>
          </w:p>
        </w:tc>
        <w:tc>
          <w:tcPr>
            <w:tcW w:w="887" w:type="dxa"/>
            <w:shd w:val="clear" w:color="auto" w:fill="A6A6A6"/>
          </w:tcPr>
          <w:p>
            <w:pPr>
              <w:spacing w:before="20" w:after="20"/>
              <w:jc w:val="right"/>
              <w:rPr>
                <w:noProof/>
                <w:sz w:val="20"/>
              </w:rPr>
            </w:pPr>
            <w:r>
              <w:rPr>
                <w:noProof/>
                <w:sz w:val="20"/>
              </w:rPr>
              <w:t>2,100 godišnje</w:t>
            </w:r>
          </w:p>
        </w:tc>
        <w:tc>
          <w:tcPr>
            <w:tcW w:w="1291" w:type="dxa"/>
            <w:vAlign w:val="center"/>
          </w:tcPr>
          <w:p>
            <w:pPr>
              <w:spacing w:before="20" w:after="20"/>
              <w:jc w:val="right"/>
              <w:rPr>
                <w:b/>
                <w:noProof/>
                <w:sz w:val="20"/>
              </w:rPr>
            </w:pPr>
            <w:r>
              <w:rPr>
                <w:b/>
                <w:noProof/>
                <w:sz w:val="20"/>
              </w:rPr>
              <w:t>9,300</w:t>
            </w:r>
          </w:p>
        </w:tc>
      </w:tr>
      <w:tr>
        <w:trPr>
          <w:trHeight w:val="351"/>
          <w:jc w:val="center"/>
        </w:trPr>
        <w:tc>
          <w:tcPr>
            <w:tcW w:w="6245" w:type="dxa"/>
            <w:gridSpan w:val="2"/>
            <w:vAlign w:val="center"/>
          </w:tcPr>
          <w:p>
            <w:pPr>
              <w:spacing w:before="20" w:after="20"/>
              <w:rPr>
                <w:noProof/>
              </w:rPr>
            </w:pPr>
            <w:r>
              <w:rPr>
                <w:noProof/>
                <w:sz w:val="22"/>
              </w:rPr>
              <w:t xml:space="preserve">Ostali administrativni rashodi </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87" w:type="dxa"/>
            <w:shd w:val="clear" w:color="auto" w:fill="A6A6A6"/>
          </w:tcPr>
          <w:p>
            <w:pPr>
              <w:spacing w:before="20" w:after="20"/>
              <w:jc w:val="right"/>
              <w:rPr>
                <w:noProof/>
                <w:sz w:val="20"/>
              </w:rPr>
            </w:pPr>
            <w:r>
              <w:rPr>
                <w:noProof/>
                <w:sz w:val="20"/>
              </w:rPr>
              <w:t>0,030 godišnje</w:t>
            </w:r>
          </w:p>
        </w:tc>
        <w:tc>
          <w:tcPr>
            <w:tcW w:w="1291" w:type="dxa"/>
            <w:vAlign w:val="center"/>
          </w:tcPr>
          <w:p>
            <w:pPr>
              <w:spacing w:before="20" w:after="20"/>
              <w:jc w:val="right"/>
              <w:rPr>
                <w:b/>
                <w:noProof/>
                <w:sz w:val="20"/>
              </w:rPr>
            </w:pPr>
            <w:r>
              <w:rPr>
                <w:b/>
                <w:noProof/>
                <w:sz w:val="20"/>
              </w:rPr>
              <w:t>0,210</w:t>
            </w:r>
          </w:p>
        </w:tc>
      </w:tr>
      <w:tr>
        <w:trPr>
          <w:trHeight w:val="351"/>
          <w:jc w:val="center"/>
        </w:trPr>
        <w:tc>
          <w:tcPr>
            <w:tcW w:w="4199" w:type="dxa"/>
            <w:vAlign w:val="center"/>
          </w:tcPr>
          <w:p>
            <w:pPr>
              <w:spacing w:before="20" w:after="20"/>
              <w:jc w:val="left"/>
              <w:rPr>
                <w:b/>
                <w:noProof/>
                <w:sz w:val="22"/>
              </w:rPr>
            </w:pPr>
            <w:r>
              <w:rPr>
                <w:b/>
                <w:noProof/>
                <w:sz w:val="22"/>
              </w:rPr>
              <w:t>UKUPNA odobrena sredstva iz NASLOVA 7. višegodišnjeg financijskog okvira</w:t>
            </w:r>
          </w:p>
        </w:tc>
        <w:tc>
          <w:tcPr>
            <w:tcW w:w="2046" w:type="dxa"/>
            <w:vAlign w:val="center"/>
          </w:tcPr>
          <w:p>
            <w:pPr>
              <w:spacing w:before="20" w:after="20"/>
              <w:rPr>
                <w:noProof/>
                <w:sz w:val="22"/>
              </w:rPr>
            </w:pPr>
            <w:r>
              <w:rPr>
                <w:noProof/>
                <w:sz w:val="18"/>
              </w:rPr>
              <w:t>(ukupne obveze = ukupna plaćanja)</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9,510</w:t>
            </w:r>
          </w:p>
        </w:tc>
      </w:tr>
    </w:tbl>
    <w:p>
      <w:pPr>
        <w:jc w:val="right"/>
        <w:rPr>
          <w:noProof/>
          <w:sz w:val="20"/>
        </w:rPr>
      </w:pPr>
      <w:r>
        <w:rPr>
          <w:noProof/>
          <w:sz w:val="20"/>
        </w:rPr>
        <w:t>U milijunima EUR (do tri decimalna mjesta)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Nakon 2027.</w:t>
            </w:r>
          </w:p>
        </w:tc>
        <w:tc>
          <w:tcPr>
            <w:tcW w:w="1292" w:type="dxa"/>
            <w:vAlign w:val="center"/>
          </w:tcPr>
          <w:p>
            <w:pPr>
              <w:jc w:val="center"/>
              <w:rPr>
                <w:b/>
                <w:noProof/>
                <w:sz w:val="20"/>
              </w:rPr>
            </w:pPr>
            <w:r>
              <w:rPr>
                <w:b/>
                <w:noProof/>
                <w:sz w:val="20"/>
              </w:rPr>
              <w:t>UKUPNO</w:t>
            </w:r>
          </w:p>
        </w:tc>
      </w:tr>
      <w:tr>
        <w:trPr>
          <w:jc w:val="center"/>
        </w:trPr>
        <w:tc>
          <w:tcPr>
            <w:tcW w:w="4173" w:type="dxa"/>
            <w:vMerge w:val="restart"/>
            <w:shd w:val="clear" w:color="auto" w:fill="C0C0C0"/>
            <w:vAlign w:val="center"/>
          </w:tcPr>
          <w:p>
            <w:pPr>
              <w:jc w:val="center"/>
              <w:rPr>
                <w:b/>
                <w:noProof/>
              </w:rPr>
            </w:pPr>
            <w:r>
              <w:rPr>
                <w:b/>
                <w:noProof/>
                <w:sz w:val="22"/>
              </w:rPr>
              <w:t>UKUPNA odobrena sredstva</w:t>
            </w:r>
            <w:r>
              <w:rPr>
                <w:noProof/>
              </w:rPr>
              <w:t xml:space="preserve"> </w:t>
            </w:r>
            <w:r>
              <w:rPr>
                <w:noProof/>
              </w:rPr>
              <w:br/>
            </w:r>
            <w:r>
              <w:rPr>
                <w:b/>
                <w:noProof/>
                <w:sz w:val="22"/>
              </w:rPr>
              <w:t>po NASLOVIMA</w:t>
            </w:r>
            <w:r>
              <w:rPr>
                <w:noProof/>
              </w:rPr>
              <w:t xml:space="preserve"> </w:t>
            </w:r>
            <w:r>
              <w:rPr>
                <w:noProof/>
              </w:rPr>
              <w:br/>
            </w:r>
            <w:r>
              <w:rPr>
                <w:noProof/>
                <w:sz w:val="22"/>
              </w:rPr>
              <w:t>višegodišnjeg financijskog okvira</w:t>
            </w:r>
            <w:r>
              <w:rPr>
                <w:b/>
                <w:noProof/>
                <w:sz w:val="22"/>
              </w:rPr>
              <w:t xml:space="preserve"> </w:t>
            </w:r>
          </w:p>
        </w:tc>
        <w:tc>
          <w:tcPr>
            <w:tcW w:w="2094" w:type="dxa"/>
            <w:gridSpan w:val="2"/>
            <w:vAlign w:val="center"/>
          </w:tcPr>
          <w:p>
            <w:pPr>
              <w:rPr>
                <w:noProof/>
                <w:sz w:val="14"/>
              </w:rPr>
            </w:pPr>
            <w:r>
              <w:rPr>
                <w:noProof/>
                <w:sz w:val="18"/>
              </w:rPr>
              <w:t>Obveze</w:t>
            </w:r>
          </w:p>
        </w:tc>
        <w:tc>
          <w:tcPr>
            <w:tcW w:w="868" w:type="dxa"/>
            <w:vAlign w:val="center"/>
          </w:tcPr>
          <w:p>
            <w:pPr>
              <w:spacing w:before="60" w:after="60"/>
              <w:jc w:val="right"/>
              <w:rPr>
                <w:noProof/>
                <w:sz w:val="20"/>
              </w:rPr>
            </w:pPr>
            <w:r>
              <w:rPr>
                <w:noProof/>
                <w:sz w:val="20"/>
              </w:rPr>
              <w:t>0,330</w:t>
            </w:r>
          </w:p>
        </w:tc>
        <w:tc>
          <w:tcPr>
            <w:tcW w:w="868" w:type="dxa"/>
            <w:vAlign w:val="center"/>
          </w:tcPr>
          <w:p>
            <w:pPr>
              <w:spacing w:before="60" w:after="60"/>
              <w:jc w:val="right"/>
              <w:rPr>
                <w:noProof/>
                <w:sz w:val="20"/>
              </w:rPr>
            </w:pPr>
            <w:r>
              <w:rPr>
                <w:noProof/>
                <w:sz w:val="20"/>
              </w:rPr>
              <w:t>0,330</w:t>
            </w:r>
          </w:p>
        </w:tc>
        <w:tc>
          <w:tcPr>
            <w:tcW w:w="868" w:type="dxa"/>
            <w:vAlign w:val="center"/>
          </w:tcPr>
          <w:p>
            <w:pPr>
              <w:spacing w:before="60" w:after="60"/>
              <w:jc w:val="right"/>
              <w:rPr>
                <w:noProof/>
                <w:sz w:val="20"/>
              </w:rPr>
            </w:pPr>
            <w:r>
              <w:rPr>
                <w:noProof/>
                <w:sz w:val="20"/>
              </w:rPr>
              <w:t>0,330</w:t>
            </w:r>
          </w:p>
        </w:tc>
        <w:tc>
          <w:tcPr>
            <w:tcW w:w="868" w:type="dxa"/>
            <w:vAlign w:val="center"/>
          </w:tcPr>
          <w:p>
            <w:pPr>
              <w:spacing w:before="60" w:after="60"/>
              <w:jc w:val="right"/>
              <w:rPr>
                <w:noProof/>
                <w:sz w:val="20"/>
              </w:rPr>
            </w:pPr>
            <w:r>
              <w:rPr>
                <w:noProof/>
                <w:sz w:val="20"/>
              </w:rPr>
              <w:t>2,130</w:t>
            </w:r>
          </w:p>
        </w:tc>
        <w:tc>
          <w:tcPr>
            <w:tcW w:w="868" w:type="dxa"/>
            <w:vAlign w:val="center"/>
          </w:tcPr>
          <w:p>
            <w:pPr>
              <w:spacing w:before="60" w:after="60"/>
              <w:jc w:val="right"/>
              <w:rPr>
                <w:noProof/>
                <w:sz w:val="20"/>
              </w:rPr>
            </w:pPr>
            <w:r>
              <w:rPr>
                <w:noProof/>
                <w:sz w:val="20"/>
              </w:rPr>
              <w:t>2,130</w:t>
            </w:r>
          </w:p>
        </w:tc>
        <w:tc>
          <w:tcPr>
            <w:tcW w:w="868" w:type="dxa"/>
            <w:vAlign w:val="center"/>
          </w:tcPr>
          <w:p>
            <w:pPr>
              <w:spacing w:before="60" w:after="60"/>
              <w:jc w:val="right"/>
              <w:rPr>
                <w:noProof/>
                <w:sz w:val="20"/>
              </w:rPr>
            </w:pPr>
            <w:r>
              <w:rPr>
                <w:noProof/>
                <w:sz w:val="20"/>
              </w:rPr>
              <w:t>2,130</w:t>
            </w:r>
          </w:p>
        </w:tc>
        <w:tc>
          <w:tcPr>
            <w:tcW w:w="868" w:type="dxa"/>
            <w:vAlign w:val="center"/>
          </w:tcPr>
          <w:p>
            <w:pPr>
              <w:spacing w:before="60" w:after="60"/>
              <w:jc w:val="right"/>
              <w:rPr>
                <w:noProof/>
                <w:sz w:val="20"/>
              </w:rPr>
            </w:pPr>
            <w:r>
              <w:rPr>
                <w:noProof/>
                <w:sz w:val="20"/>
              </w:rPr>
              <w:t>2,130</w:t>
            </w:r>
          </w:p>
        </w:tc>
        <w:tc>
          <w:tcPr>
            <w:tcW w:w="877" w:type="dxa"/>
            <w:shd w:val="clear" w:color="auto" w:fill="A6A6A6"/>
          </w:tcPr>
          <w:p>
            <w:pPr>
              <w:spacing w:before="60" w:after="60"/>
              <w:jc w:val="right"/>
              <w:rPr>
                <w:noProof/>
                <w:sz w:val="20"/>
              </w:rPr>
            </w:pPr>
            <w:r>
              <w:rPr>
                <w:noProof/>
                <w:sz w:val="20"/>
              </w:rPr>
              <w:t>2,130 godišnje</w:t>
            </w:r>
          </w:p>
        </w:tc>
        <w:tc>
          <w:tcPr>
            <w:tcW w:w="1292" w:type="dxa"/>
            <w:vAlign w:val="center"/>
          </w:tcPr>
          <w:p>
            <w:pPr>
              <w:spacing w:before="60" w:after="60"/>
              <w:jc w:val="right"/>
              <w:rPr>
                <w:b/>
                <w:noProof/>
                <w:sz w:val="20"/>
              </w:rPr>
            </w:pPr>
            <w:r>
              <w:rPr>
                <w:b/>
                <w:noProof/>
                <w:sz w:val="20"/>
              </w:rPr>
              <w:t>9,510</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Plaćanja</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tcPr>
          <w:p>
            <w:pPr>
              <w:spacing w:before="60" w:after="60"/>
              <w:jc w:val="right"/>
              <w:rPr>
                <w:b/>
                <w:noProof/>
                <w:sz w:val="20"/>
              </w:rPr>
            </w:pPr>
          </w:p>
        </w:tc>
        <w:tc>
          <w:tcPr>
            <w:tcW w:w="1292" w:type="dxa"/>
            <w:vAlign w:val="center"/>
          </w:tcPr>
          <w:p>
            <w:pPr>
              <w:spacing w:before="60" w:after="60"/>
              <w:jc w:val="right"/>
              <w:rPr>
                <w:b/>
                <w:noProof/>
                <w:sz w:val="20"/>
              </w:rPr>
            </w:pP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noProof/>
          <w:szCs w:val="24"/>
        </w:rPr>
      </w:pPr>
      <w:bookmarkStart w:id="46" w:name="_Toc514941993"/>
      <w:bookmarkStart w:id="47" w:name="_Toc46138698"/>
      <w:r>
        <w:t>3.2.2.</w:t>
      </w:r>
      <w:r>
        <w:tab/>
      </w:r>
      <w:r>
        <w:rPr>
          <w:noProof/>
        </w:rPr>
        <w:t>Sažetak procijenjenog učinka na administrativna odobrena sredstva</w:t>
      </w:r>
      <w:bookmarkEnd w:id="46"/>
      <w:bookmarkEnd w:id="47"/>
    </w:p>
    <w:p>
      <w:pPr>
        <w:tabs>
          <w:tab w:val="num" w:pos="1134"/>
        </w:tabs>
        <w:ind w:left="1134"/>
        <w:rPr>
          <w:rFonts w:eastAsia="Times New Roman"/>
          <w:noProof/>
        </w:rPr>
      </w:pPr>
      <w:r>
        <w:rPr>
          <w:noProof/>
        </w:rPr>
        <w:sym w:font="Wingdings" w:char="F0A8"/>
      </w:r>
      <w:r>
        <w:rPr>
          <w:noProof/>
        </w:rPr>
        <w:tab/>
        <w:t xml:space="preserve">Za prijedlog/inicijativu nisu potrebna administrativna odobrena sredstva. </w:t>
      </w:r>
    </w:p>
    <w:p>
      <w:pPr>
        <w:tabs>
          <w:tab w:val="num" w:pos="1134"/>
        </w:tabs>
        <w:ind w:left="1134"/>
        <w:rPr>
          <w:rFonts w:eastAsia="Times New Roman"/>
          <w:noProof/>
        </w:rPr>
      </w:pPr>
      <w:r>
        <w:rPr>
          <w:noProof/>
          <w:bdr w:val="single" w:sz="4" w:space="0" w:color="auto"/>
        </w:rPr>
        <w:t>x</w:t>
      </w:r>
      <w:r>
        <w:rPr>
          <w:noProof/>
        </w:rPr>
        <w:tab/>
        <w:t>Za prijedlog/inicijativu potrebna su sljedeća administrativna odobrena sredstva:</w:t>
      </w:r>
    </w:p>
    <w:p>
      <w:pPr>
        <w:rPr>
          <w:noProof/>
          <w:sz w:val="20"/>
        </w:rPr>
      </w:pPr>
      <w:r>
        <w:rPr>
          <w:noProof/>
          <w:sz w:val="20"/>
        </w:rPr>
        <w:t>U milijunima EUR (do tri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Godine</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7.</w:t>
            </w:r>
            <w:r>
              <w:rPr>
                <w:noProof/>
              </w:rPr>
              <w:t xml:space="preserve"> </w:t>
            </w:r>
            <w:r>
              <w:rPr>
                <w:noProof/>
              </w:rPr>
              <w:br/>
            </w:r>
            <w:r>
              <w:rPr>
                <w:b/>
                <w:noProof/>
                <w:sz w:val="16"/>
              </w:rPr>
              <w:t>višegodišnjeg financijskog okvira</w:t>
            </w: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20" w:after="20"/>
              <w:jc w:val="right"/>
              <w:rPr>
                <w:noProof/>
                <w:sz w:val="20"/>
              </w:rPr>
            </w:pPr>
            <w:r>
              <w:rPr>
                <w:noProof/>
                <w:sz w:val="20"/>
              </w:rPr>
              <w:t>0,300</w:t>
            </w:r>
          </w:p>
        </w:tc>
        <w:tc>
          <w:tcPr>
            <w:tcW w:w="1080" w:type="dxa"/>
            <w:vAlign w:val="center"/>
          </w:tcPr>
          <w:p>
            <w:pPr>
              <w:spacing w:before="20" w:after="20"/>
              <w:jc w:val="right"/>
              <w:rPr>
                <w:noProof/>
                <w:sz w:val="20"/>
              </w:rPr>
            </w:pPr>
            <w:r>
              <w:rPr>
                <w:noProof/>
                <w:sz w:val="20"/>
              </w:rPr>
              <w:t>0,300</w:t>
            </w:r>
          </w:p>
        </w:tc>
        <w:tc>
          <w:tcPr>
            <w:tcW w:w="1080" w:type="dxa"/>
            <w:vAlign w:val="center"/>
          </w:tcPr>
          <w:p>
            <w:pPr>
              <w:spacing w:before="20" w:after="20"/>
              <w:jc w:val="right"/>
              <w:rPr>
                <w:noProof/>
                <w:sz w:val="20"/>
              </w:rPr>
            </w:pPr>
            <w:r>
              <w:rPr>
                <w:noProof/>
                <w:sz w:val="20"/>
              </w:rPr>
              <w:t>0,300</w:t>
            </w:r>
          </w:p>
        </w:tc>
        <w:tc>
          <w:tcPr>
            <w:tcW w:w="1080" w:type="dxa"/>
            <w:vAlign w:val="center"/>
          </w:tcPr>
          <w:p>
            <w:pPr>
              <w:spacing w:before="20" w:after="20"/>
              <w:jc w:val="right"/>
              <w:rPr>
                <w:noProof/>
                <w:sz w:val="20"/>
              </w:rPr>
            </w:pPr>
            <w:r>
              <w:rPr>
                <w:noProof/>
                <w:sz w:val="20"/>
              </w:rPr>
              <w:t>2,100</w:t>
            </w:r>
          </w:p>
        </w:tc>
        <w:tc>
          <w:tcPr>
            <w:tcW w:w="1080" w:type="dxa"/>
            <w:vAlign w:val="center"/>
          </w:tcPr>
          <w:p>
            <w:pPr>
              <w:spacing w:before="20" w:after="20"/>
              <w:jc w:val="right"/>
              <w:rPr>
                <w:noProof/>
                <w:sz w:val="20"/>
              </w:rPr>
            </w:pPr>
            <w:r>
              <w:rPr>
                <w:noProof/>
                <w:sz w:val="20"/>
              </w:rPr>
              <w:t>2,100</w:t>
            </w:r>
          </w:p>
        </w:tc>
        <w:tc>
          <w:tcPr>
            <w:tcW w:w="1080" w:type="dxa"/>
            <w:vAlign w:val="center"/>
          </w:tcPr>
          <w:p>
            <w:pPr>
              <w:spacing w:before="20" w:after="20"/>
              <w:jc w:val="right"/>
              <w:rPr>
                <w:noProof/>
                <w:sz w:val="20"/>
              </w:rPr>
            </w:pPr>
            <w:r>
              <w:rPr>
                <w:noProof/>
                <w:sz w:val="20"/>
              </w:rPr>
              <w:t>2,100</w:t>
            </w:r>
          </w:p>
        </w:tc>
        <w:tc>
          <w:tcPr>
            <w:tcW w:w="1080" w:type="dxa"/>
            <w:vAlign w:val="center"/>
          </w:tcPr>
          <w:p>
            <w:pPr>
              <w:spacing w:before="20" w:after="20"/>
              <w:jc w:val="right"/>
              <w:rPr>
                <w:noProof/>
                <w:sz w:val="20"/>
              </w:rPr>
            </w:pPr>
            <w:r>
              <w:rPr>
                <w:noProof/>
                <w:sz w:val="20"/>
              </w:rPr>
              <w:t>2,100</w:t>
            </w:r>
          </w:p>
        </w:tc>
        <w:tc>
          <w:tcPr>
            <w:tcW w:w="1080" w:type="dxa"/>
            <w:vAlign w:val="center"/>
          </w:tcPr>
          <w:p>
            <w:pPr>
              <w:spacing w:before="60" w:after="60" w:line="200" w:lineRule="exact"/>
              <w:jc w:val="right"/>
              <w:rPr>
                <w:b/>
                <w:noProof/>
                <w:sz w:val="20"/>
                <w:szCs w:val="20"/>
              </w:rPr>
            </w:pPr>
            <w:r>
              <w:rPr>
                <w:b/>
                <w:noProof/>
                <w:sz w:val="20"/>
                <w:szCs w:val="20"/>
              </w:rPr>
              <w:t>9,300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60" w:after="60" w:line="200" w:lineRule="exact"/>
              <w:jc w:val="right"/>
              <w:rPr>
                <w:b/>
                <w:noProof/>
                <w:sz w:val="20"/>
                <w:szCs w:val="20"/>
              </w:rPr>
            </w:pPr>
            <w:r>
              <w:rPr>
                <w:b/>
                <w:noProof/>
                <w:sz w:val="20"/>
                <w:szCs w:val="20"/>
              </w:rPr>
              <w:t>0,210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7.</w:t>
            </w:r>
            <w:r>
              <w:rPr>
                <w:noProof/>
              </w:rPr>
              <w:t xml:space="preserve"> </w:t>
            </w:r>
            <w:r>
              <w:rPr>
                <w:noProof/>
              </w:rPr>
              <w:br/>
            </w:r>
            <w:r>
              <w:rPr>
                <w:b/>
                <w:noProof/>
                <w:sz w:val="16"/>
              </w:rPr>
              <w:t xml:space="preserve">višegodišnjeg financijskog okvira </w:t>
            </w:r>
          </w:p>
        </w:tc>
        <w:tc>
          <w:tcPr>
            <w:tcW w:w="1080" w:type="dxa"/>
            <w:vAlign w:val="center"/>
          </w:tcPr>
          <w:p>
            <w:pPr>
              <w:spacing w:before="60" w:after="60"/>
              <w:jc w:val="right"/>
              <w:rPr>
                <w:noProof/>
                <w:sz w:val="20"/>
              </w:rPr>
            </w:pPr>
            <w:r>
              <w:rPr>
                <w:noProof/>
                <w:sz w:val="20"/>
              </w:rPr>
              <w:t>0,330</w:t>
            </w:r>
          </w:p>
        </w:tc>
        <w:tc>
          <w:tcPr>
            <w:tcW w:w="1080" w:type="dxa"/>
            <w:vAlign w:val="center"/>
          </w:tcPr>
          <w:p>
            <w:pPr>
              <w:spacing w:before="60" w:after="60"/>
              <w:jc w:val="right"/>
              <w:rPr>
                <w:noProof/>
                <w:sz w:val="20"/>
              </w:rPr>
            </w:pPr>
            <w:r>
              <w:rPr>
                <w:noProof/>
                <w:sz w:val="20"/>
              </w:rPr>
              <w:t>0,330</w:t>
            </w:r>
          </w:p>
        </w:tc>
        <w:tc>
          <w:tcPr>
            <w:tcW w:w="1080" w:type="dxa"/>
            <w:vAlign w:val="center"/>
          </w:tcPr>
          <w:p>
            <w:pPr>
              <w:spacing w:before="60" w:after="60"/>
              <w:jc w:val="right"/>
              <w:rPr>
                <w:noProof/>
                <w:sz w:val="20"/>
              </w:rPr>
            </w:pPr>
            <w:r>
              <w:rPr>
                <w:noProof/>
                <w:sz w:val="20"/>
              </w:rPr>
              <w:t>0,330</w:t>
            </w:r>
          </w:p>
        </w:tc>
        <w:tc>
          <w:tcPr>
            <w:tcW w:w="1080" w:type="dxa"/>
            <w:vAlign w:val="center"/>
          </w:tcPr>
          <w:p>
            <w:pPr>
              <w:spacing w:before="60" w:after="60"/>
              <w:jc w:val="right"/>
              <w:rPr>
                <w:noProof/>
                <w:sz w:val="20"/>
              </w:rPr>
            </w:pPr>
            <w:r>
              <w:rPr>
                <w:noProof/>
                <w:sz w:val="20"/>
              </w:rPr>
              <w:t>2,130</w:t>
            </w:r>
          </w:p>
        </w:tc>
        <w:tc>
          <w:tcPr>
            <w:tcW w:w="1080" w:type="dxa"/>
            <w:vAlign w:val="center"/>
          </w:tcPr>
          <w:p>
            <w:pPr>
              <w:spacing w:before="60" w:after="60"/>
              <w:jc w:val="right"/>
              <w:rPr>
                <w:noProof/>
                <w:sz w:val="20"/>
              </w:rPr>
            </w:pPr>
            <w:r>
              <w:rPr>
                <w:noProof/>
                <w:sz w:val="20"/>
              </w:rPr>
              <w:t>2,130</w:t>
            </w:r>
          </w:p>
        </w:tc>
        <w:tc>
          <w:tcPr>
            <w:tcW w:w="1080" w:type="dxa"/>
            <w:vAlign w:val="center"/>
          </w:tcPr>
          <w:p>
            <w:pPr>
              <w:spacing w:before="60" w:after="60"/>
              <w:jc w:val="right"/>
              <w:rPr>
                <w:noProof/>
                <w:sz w:val="20"/>
              </w:rPr>
            </w:pPr>
            <w:r>
              <w:rPr>
                <w:noProof/>
                <w:sz w:val="20"/>
              </w:rPr>
              <w:t>2,130</w:t>
            </w:r>
          </w:p>
        </w:tc>
        <w:tc>
          <w:tcPr>
            <w:tcW w:w="1080" w:type="dxa"/>
            <w:vAlign w:val="center"/>
          </w:tcPr>
          <w:p>
            <w:pPr>
              <w:spacing w:before="60" w:after="60"/>
              <w:jc w:val="right"/>
              <w:rPr>
                <w:noProof/>
                <w:sz w:val="20"/>
              </w:rPr>
            </w:pPr>
            <w:r>
              <w:rPr>
                <w:noProof/>
                <w:sz w:val="20"/>
              </w:rPr>
              <w:t>2,130</w:t>
            </w:r>
          </w:p>
        </w:tc>
        <w:tc>
          <w:tcPr>
            <w:tcW w:w="1080" w:type="dxa"/>
            <w:vAlign w:val="center"/>
          </w:tcPr>
          <w:p>
            <w:pPr>
              <w:spacing w:before="60" w:after="60" w:line="200" w:lineRule="exact"/>
              <w:jc w:val="right"/>
              <w:rPr>
                <w:b/>
                <w:noProof/>
                <w:sz w:val="20"/>
                <w:szCs w:val="20"/>
              </w:rPr>
            </w:pPr>
            <w:r>
              <w:rPr>
                <w:b/>
                <w:noProof/>
                <w:sz w:val="20"/>
                <w:szCs w:val="20"/>
              </w:rPr>
              <w:t>9,510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izvan NASLOVA 7.</w:t>
            </w:r>
            <w:r>
              <w:rPr>
                <w:rStyle w:val="FootnoteReference"/>
                <w:noProof/>
              </w:rPr>
              <w:footnoteReference w:id="41"/>
            </w:r>
            <w:r>
              <w:rPr>
                <w:noProof/>
              </w:rPr>
              <w:t xml:space="preserve"> </w:t>
            </w:r>
            <w:r>
              <w:rPr>
                <w:noProof/>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Ostali administrativni</w:t>
            </w:r>
            <w:r>
              <w:rPr>
                <w:noProof/>
              </w:rPr>
              <w:t xml:space="preserve"> </w:t>
            </w:r>
            <w:r>
              <w:rPr>
                <w:noProof/>
              </w:rPr>
              <w:br/>
            </w:r>
            <w:r>
              <w:rPr>
                <w:noProof/>
                <w:sz w:val="16"/>
              </w:rPr>
              <w:t>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w:t>
            </w:r>
            <w:r>
              <w:rPr>
                <w:noProof/>
              </w:rPr>
              <w:t xml:space="preserve"> </w:t>
            </w:r>
            <w:r>
              <w:rPr>
                <w:noProof/>
              </w:rPr>
              <w:br/>
            </w:r>
            <w:r>
              <w:rPr>
                <w:b/>
                <w:noProof/>
                <w:sz w:val="16"/>
              </w:rPr>
              <w:t>izvan NASLOVA 7.</w:t>
            </w:r>
            <w:r>
              <w:rPr>
                <w:noProof/>
              </w:rPr>
              <w:t xml:space="preserve"> </w:t>
            </w:r>
            <w:r>
              <w:rPr>
                <w:noProof/>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0,330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0,330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0,330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2,130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2,130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2,130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2,130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szCs w:val="16"/>
              </w:rPr>
              <w:t>9,510</w:t>
            </w:r>
          </w:p>
        </w:tc>
      </w:tr>
    </w:tbl>
    <w:p>
      <w:pPr>
        <w:rPr>
          <w:noProof/>
          <w:sz w:val="18"/>
        </w:rPr>
      </w:pPr>
      <w:r>
        <w:rPr>
          <w:noProof/>
          <w:sz w:val="18"/>
        </w:rPr>
        <w:t>Potrebna odobrena sredstva za ljudske resurse i ostale administrativne rashode pokrit će se odobrenim sredstvima glavne uprave koja su već dodijeljena za upravljanje djelovanjem i/ili su preraspodijeljena unutar glavne uprave te, prema potrebi, dodatnim sredstvima koja se mogu dodijeliti nadležnoj glavnoj upravi u okviru godišnjeg postupka dodjele sredstava uzimajući u obzir proračunska ograničenja.</w:t>
      </w:r>
    </w:p>
    <w:p>
      <w:pPr>
        <w:spacing w:before="0" w:after="200" w:line="276" w:lineRule="auto"/>
        <w:jc w:val="left"/>
        <w:rPr>
          <w:noProof/>
          <w:sz w:val="18"/>
        </w:rPr>
      </w:pPr>
      <w:r>
        <w:rPr>
          <w:noProof/>
        </w:rPr>
        <w:br w:type="page"/>
      </w:r>
    </w:p>
    <w:p>
      <w:pPr>
        <w:pStyle w:val="ManualHeading4"/>
        <w:rPr>
          <w:noProof/>
          <w:szCs w:val="24"/>
        </w:rPr>
      </w:pPr>
      <w:r>
        <w:t>3.2.2.1.</w:t>
      </w:r>
      <w:r>
        <w:tab/>
      </w:r>
      <w:r>
        <w:rPr>
          <w:noProof/>
        </w:rPr>
        <w:t>Procijenjene potrebe u pogledu ljudskih resursa</w:t>
      </w:r>
    </w:p>
    <w:p>
      <w:pPr>
        <w:tabs>
          <w:tab w:val="num" w:pos="1134"/>
        </w:tabs>
        <w:ind w:left="1134"/>
        <w:rPr>
          <w:rFonts w:eastAsia="Times New Roman"/>
          <w:noProof/>
        </w:rPr>
      </w:pPr>
      <w:r>
        <w:rPr>
          <w:noProof/>
        </w:rPr>
        <w:sym w:font="Wingdings" w:char="F0A8"/>
      </w:r>
      <w:r>
        <w:rPr>
          <w:noProof/>
        </w:rPr>
        <w:tab/>
        <w:t xml:space="preserve">Za prijedlog/inicijativu nisu potrebni ljudski resursi. </w:t>
      </w:r>
    </w:p>
    <w:p>
      <w:pPr>
        <w:tabs>
          <w:tab w:val="num" w:pos="1134"/>
        </w:tabs>
        <w:ind w:left="1134"/>
        <w:rPr>
          <w:rFonts w:eastAsia="Times New Roman"/>
          <w:noProof/>
        </w:rPr>
      </w:pPr>
      <w:r>
        <w:rPr>
          <w:noProof/>
          <w:bdr w:val="single" w:sz="4" w:space="0" w:color="auto"/>
        </w:rPr>
        <w:t>x</w:t>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i/>
                <w:noProof/>
                <w:sz w:val="16"/>
                <w:szCs w:val="16"/>
              </w:rPr>
            </w:pPr>
            <w:r>
              <w:rPr>
                <w:b/>
                <w:noProof/>
                <w:sz w:val="16"/>
                <w:szCs w:val="16"/>
              </w:rPr>
              <w:t>Godine</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t>Radna mjesta prema planu radnih mjesta (dužnosnici i privremeno osoblje)</w:t>
            </w:r>
          </w:p>
        </w:tc>
      </w:tr>
      <w:tr>
        <w:trPr>
          <w:trHeight w:val="289"/>
        </w:trPr>
        <w:tc>
          <w:tcPr>
            <w:tcW w:w="1472" w:type="pct"/>
            <w:gridSpan w:val="2"/>
          </w:tcPr>
          <w:p>
            <w:pPr>
              <w:spacing w:beforeLines="20" w:before="48" w:afterLines="20" w:after="48"/>
              <w:ind w:left="134"/>
              <w:rPr>
                <w:b/>
                <w:noProof/>
                <w:sz w:val="16"/>
                <w:szCs w:val="16"/>
              </w:rPr>
            </w:pPr>
            <w:r>
              <w:rPr>
                <w:noProof/>
                <w:sz w:val="16"/>
              </w:rPr>
              <w:t>Sjedište i predstavništva Komisije</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14</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14</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14</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14</w:t>
            </w:r>
          </w:p>
        </w:tc>
      </w:tr>
      <w:tr>
        <w:trPr>
          <w:trHeight w:val="289"/>
        </w:trPr>
        <w:tc>
          <w:tcPr>
            <w:tcW w:w="1472" w:type="pct"/>
            <w:gridSpan w:val="2"/>
          </w:tcPr>
          <w:p>
            <w:pPr>
              <w:spacing w:beforeLines="20" w:before="48" w:afterLines="20" w:after="48"/>
              <w:ind w:left="134"/>
              <w:rPr>
                <w:noProof/>
                <w:sz w:val="16"/>
                <w:szCs w:val="16"/>
              </w:rPr>
            </w:pPr>
            <w:r>
              <w:rPr>
                <w:noProof/>
                <w:sz w:val="16"/>
              </w:rPr>
              <w:t>Delegacije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rPr>
                <w:noProof/>
                <w:sz w:val="16"/>
                <w:szCs w:val="16"/>
              </w:rPr>
            </w:pPr>
            <w:r>
              <w:rPr>
                <w:noProof/>
                <w:sz w:val="16"/>
              </w:rPr>
              <w:t>Istraživanje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spacing w:before="60" w:after="60"/>
              <w:rPr>
                <w:b/>
                <w:noProof/>
                <w:sz w:val="16"/>
                <w:szCs w:val="16"/>
              </w:rPr>
            </w:pPr>
            <w:r>
              <w:rPr>
                <w:b/>
                <w:noProof/>
                <w:sz w:val="16"/>
              </w:rPr>
              <w:t>Vanjsko osoblje (u ekvivalentu punog radnog vremena: EPRV) – UO, LO, UNS, UsO i MSD</w:t>
            </w:r>
            <w:r>
              <w:rPr>
                <w:noProof/>
                <w:sz w:val="16"/>
              </w:rPr>
              <w:t xml:space="preserve"> </w:t>
            </w:r>
            <w:r>
              <w:rPr>
                <w:rStyle w:val="FootnoteReference"/>
                <w:noProof/>
              </w:rPr>
              <w:footnoteReference w:id="42"/>
            </w:r>
          </w:p>
          <w:p>
            <w:pPr>
              <w:rPr>
                <w:noProof/>
                <w:sz w:val="16"/>
                <w:szCs w:val="16"/>
              </w:rPr>
            </w:pPr>
            <w:r>
              <w:rPr>
                <w:noProof/>
                <w:sz w:val="16"/>
                <w:szCs w:val="16"/>
              </w:rPr>
              <w:t>Naslov 7.</w:t>
            </w:r>
          </w:p>
        </w:tc>
      </w:tr>
      <w:tr>
        <w:trPr>
          <w:trHeight w:val="485"/>
        </w:trPr>
        <w:tc>
          <w:tcPr>
            <w:tcW w:w="735" w:type="pct"/>
            <w:vMerge w:val="restart"/>
            <w:vAlign w:val="center"/>
          </w:tcPr>
          <w:p>
            <w:pPr>
              <w:spacing w:beforeLines="20" w:before="48" w:afterLines="20" w:after="48"/>
              <w:ind w:left="136"/>
              <w:rPr>
                <w:b/>
                <w:noProof/>
                <w:sz w:val="16"/>
                <w:szCs w:val="16"/>
              </w:rPr>
            </w:pPr>
            <w:r>
              <w:rPr>
                <w:noProof/>
                <w:sz w:val="16"/>
                <w:szCs w:val="16"/>
              </w:rPr>
              <w:t>Financirano iz NASLOVA 7. višegodišnjeg financijskog okvira</w:t>
            </w:r>
            <w:r>
              <w:rPr>
                <w:b/>
                <w:noProof/>
                <w:sz w:val="16"/>
              </w:rPr>
              <w:t xml:space="preserve"> </w:t>
            </w:r>
          </w:p>
        </w:tc>
        <w:tc>
          <w:tcPr>
            <w:tcW w:w="737" w:type="pct"/>
            <w:vAlign w:val="center"/>
          </w:tcPr>
          <w:p>
            <w:pPr>
              <w:spacing w:beforeLines="20" w:before="48" w:afterLines="20" w:after="48"/>
              <w:ind w:left="136"/>
              <w:rPr>
                <w:b/>
                <w:noProof/>
                <w:sz w:val="16"/>
                <w:szCs w:val="16"/>
              </w:rPr>
            </w:pPr>
            <w:r>
              <w:rPr>
                <w:noProof/>
                <w:sz w:val="16"/>
              </w:rPr>
              <w:t>– u sjedištima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spacing w:beforeLines="20" w:before="48" w:afterLines="20" w:after="48"/>
              <w:ind w:left="136"/>
              <w:rPr>
                <w:noProof/>
                <w:sz w:val="16"/>
                <w:szCs w:val="16"/>
              </w:rPr>
            </w:pPr>
          </w:p>
        </w:tc>
        <w:tc>
          <w:tcPr>
            <w:tcW w:w="737" w:type="pct"/>
            <w:vAlign w:val="center"/>
          </w:tcPr>
          <w:p>
            <w:pPr>
              <w:spacing w:beforeLines="20" w:before="48" w:afterLines="20" w:after="48"/>
              <w:ind w:left="136"/>
              <w:rPr>
                <w:noProof/>
                <w:sz w:val="16"/>
                <w:szCs w:val="16"/>
              </w:rPr>
            </w:pPr>
            <w:r>
              <w:rPr>
                <w:noProof/>
                <w:sz w:val="16"/>
              </w:rPr>
              <w:t xml:space="preserve">– u delegacijama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spacing w:beforeLines="20" w:before="48" w:afterLines="20" w:after="48"/>
              <w:ind w:left="136"/>
              <w:rPr>
                <w:b/>
                <w:noProof/>
                <w:sz w:val="16"/>
                <w:szCs w:val="16"/>
              </w:rPr>
            </w:pPr>
            <w:r>
              <w:rPr>
                <w:noProof/>
                <w:sz w:val="16"/>
                <w:szCs w:val="16"/>
              </w:rPr>
              <w:t>Financirano iz omotnice programa</w:t>
            </w:r>
            <w:r>
              <w:rPr>
                <w:b/>
                <w:noProof/>
                <w:sz w:val="16"/>
                <w:szCs w:val="16"/>
              </w:rPr>
              <w:t xml:space="preserve"> </w:t>
            </w:r>
            <w:r>
              <w:rPr>
                <w:rStyle w:val="FootnoteReference"/>
                <w:noProof/>
              </w:rPr>
              <w:footnoteReference w:id="43"/>
            </w:r>
          </w:p>
        </w:tc>
        <w:tc>
          <w:tcPr>
            <w:tcW w:w="737" w:type="pct"/>
            <w:shd w:val="clear" w:color="auto" w:fill="auto"/>
            <w:vAlign w:val="center"/>
          </w:tcPr>
          <w:p>
            <w:pPr>
              <w:spacing w:beforeLines="20" w:before="48" w:afterLines="20" w:after="48"/>
              <w:ind w:left="136"/>
              <w:rPr>
                <w:b/>
                <w:noProof/>
                <w:sz w:val="16"/>
                <w:szCs w:val="16"/>
              </w:rPr>
            </w:pPr>
            <w:r>
              <w:rPr>
                <w:noProof/>
                <w:sz w:val="16"/>
              </w:rPr>
              <w:t>– u sjedištima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spacing w:beforeLines="20" w:before="48" w:afterLines="20" w:after="48"/>
              <w:ind w:left="136"/>
              <w:rPr>
                <w:b/>
                <w:noProof/>
                <w:sz w:val="16"/>
                <w:szCs w:val="16"/>
              </w:rPr>
            </w:pPr>
          </w:p>
        </w:tc>
        <w:tc>
          <w:tcPr>
            <w:tcW w:w="737" w:type="pct"/>
            <w:shd w:val="clear" w:color="auto" w:fill="auto"/>
            <w:vAlign w:val="center"/>
          </w:tcPr>
          <w:p>
            <w:pPr>
              <w:spacing w:beforeLines="20" w:before="48" w:afterLines="20" w:after="48"/>
              <w:ind w:left="136"/>
              <w:rPr>
                <w:b/>
                <w:noProof/>
                <w:sz w:val="16"/>
                <w:szCs w:val="16"/>
              </w:rPr>
            </w:pPr>
            <w:r>
              <w:rPr>
                <w:noProof/>
                <w:sz w:val="16"/>
              </w:rPr>
              <w:t xml:space="preserve">– u delegacijama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6"/>
              <w:rPr>
                <w:noProof/>
                <w:sz w:val="16"/>
                <w:szCs w:val="16"/>
              </w:rPr>
            </w:pPr>
            <w:r>
              <w:rPr>
                <w:noProof/>
                <w:sz w:val="16"/>
                <w:szCs w:val="16"/>
              </w:rPr>
              <w:t>Istraživanje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rPr>
                <w:noProof/>
                <w:sz w:val="16"/>
                <w:szCs w:val="16"/>
              </w:rPr>
            </w:pPr>
            <w:r>
              <w:rPr>
                <w:noProof/>
                <w:sz w:val="16"/>
              </w:rPr>
              <w:t>Ostalo (navesti)</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rPr>
                <w:noProof/>
                <w:sz w:val="16"/>
                <w:szCs w:val="16"/>
              </w:rPr>
            </w:pPr>
            <w:r>
              <w:rPr>
                <w:b/>
                <w:noProof/>
                <w:sz w:val="16"/>
              </w:rPr>
              <w:t>UKUPNO</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14</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14</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14</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14</w:t>
            </w:r>
          </w:p>
        </w:tc>
      </w:tr>
    </w:tbl>
    <w:p>
      <w:pPr>
        <w:ind w:left="850"/>
        <w:rPr>
          <w:noProof/>
          <w:sz w:val="18"/>
          <w:szCs w:val="18"/>
        </w:rPr>
      </w:pPr>
      <w:r>
        <w:rPr>
          <w:noProof/>
          <w:sz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p>
    <w:p>
      <w:pPr>
        <w:rPr>
          <w:noProof/>
          <w:sz w:val="20"/>
        </w:rPr>
      </w:pPr>
      <w:r>
        <w:rPr>
          <w:noProof/>
          <w:sz w:val="20"/>
        </w:rPr>
        <w:t>Opis zadaća:</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Dužnosnici i privremeno osoblje</w:t>
            </w:r>
          </w:p>
        </w:tc>
        <w:tc>
          <w:tcPr>
            <w:tcW w:w="7392" w:type="dxa"/>
          </w:tcPr>
          <w:p>
            <w:pPr>
              <w:spacing w:after="0"/>
              <w:rPr>
                <w:noProof/>
                <w:sz w:val="20"/>
              </w:rPr>
            </w:pPr>
            <w:r>
              <w:rPr>
                <w:noProof/>
                <w:sz w:val="20"/>
              </w:rPr>
              <w:t>– provjera podataka</w:t>
            </w:r>
          </w:p>
          <w:p>
            <w:pPr>
              <w:spacing w:after="0"/>
              <w:rPr>
                <w:noProof/>
                <w:sz w:val="20"/>
              </w:rPr>
            </w:pPr>
            <w:r>
              <w:rPr>
                <w:noProof/>
                <w:sz w:val="20"/>
              </w:rPr>
              <w:t>– potpora i metodološki posao</w:t>
            </w:r>
          </w:p>
          <w:p>
            <w:pPr>
              <w:spacing w:after="0"/>
              <w:rPr>
                <w:noProof/>
                <w:sz w:val="20"/>
              </w:rPr>
            </w:pPr>
            <w:r>
              <w:rPr>
                <w:noProof/>
                <w:sz w:val="20"/>
              </w:rPr>
              <w:t>– analiza izvješća</w:t>
            </w:r>
          </w:p>
          <w:p>
            <w:pPr>
              <w:spacing w:after="0"/>
              <w:rPr>
                <w:noProof/>
                <w:sz w:val="20"/>
              </w:rPr>
            </w:pPr>
            <w:r>
              <w:rPr>
                <w:noProof/>
                <w:sz w:val="20"/>
              </w:rPr>
              <w:t>– diseminacija podataka</w:t>
            </w:r>
          </w:p>
          <w:p>
            <w:pPr>
              <w:spacing w:after="0"/>
              <w:rPr>
                <w:noProof/>
                <w:sz w:val="20"/>
              </w:rPr>
            </w:pPr>
            <w:r>
              <w:rPr>
                <w:noProof/>
                <w:sz w:val="20"/>
              </w:rPr>
              <w:t>– upravljanje sredstvima povezanima s inicijativom</w:t>
            </w:r>
          </w:p>
        </w:tc>
      </w:tr>
      <w:tr>
        <w:tc>
          <w:tcPr>
            <w:tcW w:w="3240" w:type="dxa"/>
          </w:tcPr>
          <w:p>
            <w:pPr>
              <w:spacing w:before="60" w:after="60"/>
              <w:rPr>
                <w:noProof/>
                <w:sz w:val="20"/>
              </w:rPr>
            </w:pPr>
            <w:r>
              <w:rPr>
                <w:noProof/>
                <w:sz w:val="20"/>
              </w:rPr>
              <w:t>Vanjsko osoblje</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noProof/>
          <w:szCs w:val="24"/>
        </w:rPr>
      </w:pPr>
      <w:bookmarkStart w:id="48" w:name="_Toc514941994"/>
      <w:bookmarkStart w:id="49" w:name="_Toc46138699"/>
      <w:r>
        <w:t>3.2.3.</w:t>
      </w:r>
      <w:r>
        <w:tab/>
      </w:r>
      <w:r>
        <w:rPr>
          <w:noProof/>
        </w:rPr>
        <w:t>Doprinos trećih strana</w:t>
      </w:r>
      <w:bookmarkEnd w:id="48"/>
      <w:bookmarkEnd w:id="49"/>
      <w:r>
        <w:rPr>
          <w:noProof/>
        </w:rPr>
        <w:t xml:space="preserve"> </w:t>
      </w:r>
    </w:p>
    <w:p>
      <w:pPr>
        <w:spacing w:before="0" w:after="240"/>
        <w:ind w:left="1202"/>
        <w:rPr>
          <w:noProof/>
          <w:szCs w:val="20"/>
        </w:rPr>
      </w:pPr>
      <w:r>
        <w:rPr>
          <w:noProof/>
        </w:rPr>
        <w:t>U prijedlogu/inicijativi:</w:t>
      </w:r>
    </w:p>
    <w:p>
      <w:pPr>
        <w:spacing w:before="0" w:after="240"/>
        <w:ind w:left="1202"/>
        <w:rPr>
          <w:rFonts w:eastAsia="Times New Roman"/>
          <w:noProof/>
          <w:szCs w:val="20"/>
        </w:rPr>
      </w:pPr>
      <w:r>
        <w:rPr>
          <w:noProof/>
          <w:szCs w:val="20"/>
          <w:bdr w:val="single" w:sz="4" w:space="0" w:color="auto"/>
        </w:rPr>
        <w:t>x</w:t>
      </w:r>
      <w:r>
        <w:rPr>
          <w:noProof/>
        </w:rPr>
        <w:tab/>
        <w:t>ne predviđa se sudjelovanje trećih strana u sufinanciranju</w:t>
      </w:r>
    </w:p>
    <w:p>
      <w:pPr>
        <w:spacing w:before="0" w:after="240"/>
        <w:ind w:left="1202"/>
        <w:rPr>
          <w:rFonts w:eastAsia="Times New Roman"/>
          <w:noProof/>
          <w:szCs w:val="20"/>
        </w:rPr>
      </w:pPr>
      <w:r>
        <w:rPr>
          <w:noProof/>
        </w:rPr>
        <w:sym w:font="Wingdings" w:char="F0A8"/>
      </w:r>
      <w:r>
        <w:rPr>
          <w:noProof/>
        </w:rPr>
        <w:tab/>
        <w:t>predviđa se sudjelovanje trećih strana u sufinanciranju prema sljedećoj procjeni:</w:t>
      </w:r>
    </w:p>
    <w:p>
      <w:pPr>
        <w:spacing w:before="0" w:after="240"/>
        <w:ind w:left="1202"/>
        <w:rPr>
          <w:noProof/>
          <w:szCs w:val="20"/>
        </w:rPr>
      </w:pPr>
      <w:r>
        <w:rPr>
          <w:noProof/>
        </w:rPr>
        <w:t>Odobrena sredstva u milijunima EUR (do tri decimalna mjesta)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Godine</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UKUPNO</w:t>
            </w:r>
          </w:p>
        </w:tc>
      </w:tr>
      <w:tr>
        <w:trPr>
          <w:cantSplit/>
          <w:jc w:val="center"/>
        </w:trPr>
        <w:tc>
          <w:tcPr>
            <w:tcW w:w="2340" w:type="dxa"/>
          </w:tcPr>
          <w:p>
            <w:pPr>
              <w:rPr>
                <w:noProof/>
              </w:rPr>
            </w:pPr>
            <w:r>
              <w:rPr>
                <w:noProof/>
                <w:sz w:val="20"/>
              </w:rPr>
              <w:t>Navesti tijelo koje sudjeluje u financiranju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UKUPNO sufinancirana odobrena sredstva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noProof/>
          <w:szCs w:val="24"/>
        </w:rPr>
      </w:pPr>
      <w:bookmarkStart w:id="50" w:name="_Toc514941995"/>
      <w:bookmarkStart w:id="51" w:name="_Toc46138700"/>
      <w:r>
        <w:t>3.3.</w:t>
      </w:r>
      <w:r>
        <w:tab/>
      </w:r>
      <w:r>
        <w:rPr>
          <w:noProof/>
        </w:rPr>
        <w:t>Procijenjeni učinak na prihode</w:t>
      </w:r>
      <w:bookmarkEnd w:id="50"/>
      <w:bookmarkEnd w:id="51"/>
      <w:r>
        <w:rPr>
          <w:noProof/>
        </w:rPr>
        <w:t xml:space="preserve"> </w:t>
      </w:r>
    </w:p>
    <w:p>
      <w:pPr>
        <w:tabs>
          <w:tab w:val="num" w:pos="1134"/>
        </w:tabs>
        <w:ind w:left="1134"/>
        <w:rPr>
          <w:rFonts w:eastAsia="Times New Roman"/>
          <w:noProof/>
        </w:rPr>
      </w:pPr>
      <w:r>
        <w:rPr>
          <w:noProof/>
          <w:bdr w:val="single" w:sz="4" w:space="0" w:color="auto"/>
        </w:rPr>
        <w:t>x</w:t>
      </w:r>
      <w:r>
        <w:rPr>
          <w:noProof/>
        </w:rPr>
        <w:tab/>
        <w:t>Prijedlog/inicijativa nema financijski učinak na prihode.</w:t>
      </w:r>
    </w:p>
    <w:p>
      <w:pPr>
        <w:tabs>
          <w:tab w:val="num" w:pos="1134"/>
        </w:tabs>
        <w:ind w:left="1134"/>
        <w:rPr>
          <w:rFonts w:eastAsia="Times New Roman"/>
          <w:noProof/>
        </w:rPr>
      </w:pPr>
      <w:r>
        <w:rPr>
          <w:noProof/>
        </w:rPr>
        <w:sym w:font="Wingdings" w:char="F0A8"/>
      </w:r>
      <w:r>
        <w:rPr>
          <w:noProof/>
        </w:rPr>
        <w:tab/>
        <w:t>Prijedlog/inicijativa ima sljedeći financijski učinak:</w:t>
      </w:r>
    </w:p>
    <w:p>
      <w:pPr>
        <w:pStyle w:val="ListNumberLevel3"/>
        <w:rPr>
          <w:noProof/>
        </w:rPr>
      </w:pPr>
      <w:r>
        <w:rPr>
          <w:noProof/>
        </w:rPr>
        <w:sym w:font="Wingdings" w:char="F0A8"/>
      </w:r>
      <w:r>
        <w:rPr>
          <w:noProof/>
        </w:rPr>
        <w:tab/>
        <w:t xml:space="preserve">na vlastita sredstva </w:t>
      </w:r>
    </w:p>
    <w:p>
      <w:pPr>
        <w:pStyle w:val="ListNumberLevel3"/>
        <w:rPr>
          <w:noProof/>
        </w:rPr>
      </w:pPr>
      <w:r>
        <w:rPr>
          <w:noProof/>
        </w:rPr>
        <w:sym w:font="Wingdings" w:char="F0A8"/>
      </w:r>
      <w:r>
        <w:rPr>
          <w:noProof/>
        </w:rPr>
        <w:tab/>
        <w:t xml:space="preserve">na razne prihode </w:t>
      </w:r>
    </w:p>
    <w:p>
      <w:pPr>
        <w:rPr>
          <w:noProof/>
        </w:rPr>
      </w:pPr>
      <w:r>
        <w:rPr>
          <w:noProof/>
        </w:rPr>
        <w:t>navesti jesu li prihodi namijenjeni proračunskim linijama rashoda</w:t>
      </w:r>
      <w:r>
        <w:rPr>
          <w:noProof/>
        </w:rPr>
        <w:sym w:font="Wingdings" w:char="F0A8"/>
      </w:r>
      <w:r>
        <w:rPr>
          <w:noProof/>
        </w:rPr>
        <w:tab/>
      </w:r>
    </w:p>
    <w:p>
      <w:pPr>
        <w:jc w:val="right"/>
        <w:rPr>
          <w:i/>
          <w:noProof/>
          <w:sz w:val="20"/>
        </w:rPr>
      </w:pPr>
      <w:r>
        <w:rPr>
          <w:noProof/>
        </w:rPr>
        <w:t>U milijunima EUR (do tri decimalna mjesta)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Proračunska linija prihoda:</w:t>
            </w:r>
          </w:p>
        </w:tc>
        <w:tc>
          <w:tcPr>
            <w:tcW w:w="7200" w:type="dxa"/>
            <w:gridSpan w:val="7"/>
            <w:vAlign w:val="center"/>
          </w:tcPr>
          <w:p>
            <w:pPr>
              <w:jc w:val="center"/>
              <w:rPr>
                <w:noProof/>
                <w:sz w:val="18"/>
              </w:rPr>
            </w:pPr>
            <w:r>
              <w:rPr>
                <w:noProof/>
                <w:sz w:val="18"/>
              </w:rPr>
              <w:t>Učinak prijedloga/inicijative</w:t>
            </w:r>
            <w:r>
              <w:rPr>
                <w:rStyle w:val="FootnoteReference"/>
                <w:noProof/>
              </w:rPr>
              <w:footnoteReference w:id="44"/>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Članak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Za namjenske prihode navesti odgovarajuće proračunske linije rashoda.</w:t>
      </w:r>
    </w:p>
    <w:p>
      <w:pPr>
        <w:pBdr>
          <w:top w:val="single" w:sz="4" w:space="1" w:color="auto"/>
          <w:left w:val="single" w:sz="4" w:space="4" w:color="auto"/>
          <w:bottom w:val="single" w:sz="4" w:space="1" w:color="auto"/>
          <w:right w:val="single" w:sz="4" w:space="4" w:color="auto"/>
        </w:pBdr>
        <w:ind w:left="850"/>
        <w:rPr>
          <w:noProof/>
        </w:rPr>
      </w:pPr>
      <w:r>
        <w:rPr>
          <w:noProof/>
        </w:rPr>
        <w:t>nije primjenjivo</w:t>
      </w:r>
    </w:p>
    <w:p>
      <w:pPr>
        <w:ind w:left="850"/>
        <w:rPr>
          <w:noProof/>
          <w:sz w:val="16"/>
          <w:szCs w:val="16"/>
        </w:rPr>
      </w:pPr>
      <w:r>
        <w:rPr>
          <w:noProof/>
          <w:sz w:val="20"/>
        </w:rPr>
        <w:t>Ostale napomene (npr. metoda/formula za izračun učinka na prihode ili druge informacije)</w:t>
      </w:r>
      <w:r>
        <w:rPr>
          <w:noProof/>
          <w:sz w:val="16"/>
          <w:szCs w:val="16"/>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nije primjenjivo</w:t>
      </w:r>
    </w:p>
    <w:p>
      <w:pPr>
        <w:ind w:left="850"/>
        <w:rPr>
          <w:noProof/>
        </w:rPr>
      </w:pPr>
    </w:p>
    <w:p>
      <w:pPr>
        <w:rPr>
          <w:noProof/>
        </w:rPr>
      </w:pPr>
    </w:p>
    <w:p>
      <w:pPr>
        <w:tabs>
          <w:tab w:val="left" w:pos="720"/>
        </w:tabs>
        <w:spacing w:before="0" w:after="0"/>
        <w:jc w:val="left"/>
        <w:rPr>
          <w:rFonts w:eastAsia="Calibri"/>
          <w:b/>
          <w:i/>
          <w:iCs/>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SWD(2017) 96 – radni dokument službi Komisije o evaluaciji koji je priložen dokumentu Strategija za poljoprivrednu statistiku za 2020. i nadalje i naknadni potencijalni zakonodavni scenariji (dostupno samo na engleskom).</w:t>
      </w:r>
    </w:p>
  </w:footnote>
  <w:footnote w:id="2">
    <w:p>
      <w:pPr>
        <w:pStyle w:val="FootnoteText"/>
      </w:pPr>
      <w:r>
        <w:rPr>
          <w:rStyle w:val="FootnoteReference"/>
        </w:rPr>
        <w:footnoteRef/>
      </w:r>
      <w:r>
        <w:tab/>
      </w:r>
      <w:hyperlink r:id="rId1" w:history="1">
        <w:r>
          <w:rPr>
            <w:rStyle w:val="Hyperlink"/>
          </w:rPr>
          <w:t>https://ec.europa.eu/eurostat/web/agriculture/methodology/strategy-beyond-2020</w:t>
        </w:r>
      </w:hyperlink>
      <w:r>
        <w:t xml:space="preserve"> (dostupno samo na engleskom).</w:t>
      </w:r>
    </w:p>
  </w:footnote>
  <w:footnote w:id="3">
    <w:p>
      <w:pPr>
        <w:pStyle w:val="FootnoteText"/>
      </w:pPr>
      <w:r>
        <w:rPr>
          <w:rStyle w:val="FootnoteReference"/>
        </w:rPr>
        <w:footnoteRef/>
      </w:r>
      <w:r>
        <w:tab/>
        <w:t>Uredba (EU) 2018/1091 Europskog parlamenta i Vijeća od 18. srpnja 2018. o integriranoj statistici na razini poljoprivrednih gospodarstava i stavljanju izvan snage uredaba (EZ) br. 1166/2008 i (EU) br. 1337/2011 (SL L 200, 7.8.2018., str. 1.).</w:t>
      </w:r>
    </w:p>
  </w:footnote>
  <w:footnote w:id="4">
    <w:p>
      <w:pPr>
        <w:pStyle w:val="FootnoteText"/>
      </w:pPr>
      <w:r>
        <w:rPr>
          <w:rStyle w:val="FootnoteReference"/>
        </w:rPr>
        <w:footnoteRef/>
      </w:r>
      <w:r>
        <w:tab/>
        <w:t>Uredba (EZ) br. 138/2004 Europskog parlamenta i Vijeća od 5. prosinca 2003. o ekonomskim računima u poljoprivredi na području Zajednice (SL L 33, 5.2.2004., str. 1.).</w:t>
      </w:r>
    </w:p>
  </w:footnote>
  <w:footnote w:id="5">
    <w:p>
      <w:pPr>
        <w:pStyle w:val="FootnoteText"/>
      </w:pPr>
      <w:r>
        <w:rPr>
          <w:rStyle w:val="FootnoteReference"/>
        </w:rPr>
        <w:footnoteRef/>
      </w:r>
      <w:r>
        <w:tab/>
        <w:t xml:space="preserve">Uredba (EU) br. 99/2013 Europskog parlamenta i Vijeća od 15. siječnja 2013. o europskome statističkom programu od 2013. do 2017. (SL L 39, 9.2.2013., str. 12.). </w:t>
      </w:r>
    </w:p>
  </w:footnote>
  <w:footnote w:id="6">
    <w:p>
      <w:pPr>
        <w:pStyle w:val="FootnoteText"/>
      </w:pPr>
      <w:r>
        <w:rPr>
          <w:rStyle w:val="FootnoteReference"/>
        </w:rPr>
        <w:footnoteRef/>
      </w:r>
      <w:r>
        <w:tab/>
        <w:t xml:space="preserve">Uredba (EU) 2017/1951 Europskog parlamenta i Vijeća od 25. listopada 2017. o izmjeni Uredbe (EU) br. 99/2013 o europskome statističkom programu od 2013. do 2017. njegovim produljenjem do 2020. (SL L 284, 31.10.2017., str. 1.). </w:t>
      </w:r>
    </w:p>
  </w:footnote>
  <w:footnote w:id="7">
    <w:p>
      <w:pPr>
        <w:pStyle w:val="FootnoteText"/>
      </w:pPr>
      <w:r>
        <w:rPr>
          <w:rStyle w:val="FootnoteReference"/>
        </w:rPr>
        <w:footnoteRef/>
      </w:r>
      <w:r>
        <w:tab/>
        <w:t xml:space="preserve">COM(2018) 441 </w:t>
      </w:r>
    </w:p>
  </w:footnote>
  <w:footnote w:id="8">
    <w:p>
      <w:pPr>
        <w:pStyle w:val="FootnoteText"/>
      </w:pPr>
      <w:r>
        <w:rPr>
          <w:rStyle w:val="FootnoteReference"/>
        </w:rPr>
        <w:footnoteRef/>
      </w:r>
      <w:r>
        <w:tab/>
        <w:t>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(SL L 87, 31.3.2009., str. 164.).</w:t>
      </w:r>
    </w:p>
  </w:footnote>
  <w:footnote w:id="9">
    <w:p>
      <w:pPr>
        <w:pStyle w:val="FootnoteText"/>
        <w:jc w:val="left"/>
      </w:pPr>
      <w:r>
        <w:rPr>
          <w:rStyle w:val="FootnoteReference"/>
        </w:rPr>
        <w:footnoteRef/>
      </w:r>
      <w:r>
        <w:tab/>
        <w:t xml:space="preserve">Eurostatova internetska stranica za javno savjetovanje: </w:t>
      </w:r>
      <w:hyperlink r:id="rId2" w:history="1">
        <w:r>
          <w:rPr>
            <w:color w:val="0000FF"/>
            <w:u w:val="single"/>
          </w:rPr>
          <w:t>http://ec.europa.eu/eurostat/about/opportunities/consultations/eass</w:t>
        </w:r>
      </w:hyperlink>
      <w:r>
        <w:rPr>
          <w:u w:val="single"/>
        </w:rPr>
        <w:t xml:space="preserve"> </w:t>
      </w:r>
      <w:r>
        <w:t xml:space="preserve"> </w:t>
      </w:r>
    </w:p>
    <w:p>
      <w:pPr>
        <w:pStyle w:val="FootnoteText"/>
      </w:pPr>
      <w:r>
        <w:tab/>
        <w:t>Izvješće o otvorenom javnom savjetovanju:</w:t>
      </w:r>
    </w:p>
    <w:p>
      <w:pPr>
        <w:pStyle w:val="FootnoteText"/>
      </w:pPr>
      <w:r>
        <w:tab/>
      </w:r>
      <w:hyperlink r:id="rId3" w:history="1">
        <w:r>
          <w:rPr>
            <w:rStyle w:val="Hyperlink"/>
          </w:rPr>
          <w:t>http://ec.europa.eu/eurostat/documents/10186/6937766/Agricultural-Statistics-Strategy-2020-Report.docx</w:t>
        </w:r>
      </w:hyperlink>
      <w:r>
        <w:t xml:space="preserve"> (dostupno samo na engleskom).</w:t>
      </w:r>
    </w:p>
  </w:footnote>
  <w:footnote w:id="10">
    <w:p>
      <w:pPr>
        <w:pStyle w:val="FootnoteText"/>
      </w:pPr>
      <w:r>
        <w:rPr>
          <w:rStyle w:val="FootnoteReference"/>
        </w:rPr>
        <w:footnoteRef/>
      </w:r>
      <w:r>
        <w:tab/>
      </w:r>
      <w:hyperlink r:id="rId4" w:history="1">
        <w:r>
          <w:t>SWD(2016) 430</w:t>
        </w:r>
      </w:hyperlink>
      <w:r>
        <w:t xml:space="preserve">. </w:t>
      </w:r>
    </w:p>
  </w:footnote>
  <w:footnote w:id="11">
    <w:p>
      <w:pPr>
        <w:pStyle w:val="FootnoteText"/>
      </w:pPr>
      <w:r>
        <w:rPr>
          <w:rStyle w:val="FootnoteReference"/>
        </w:rPr>
        <w:footnoteRef/>
      </w:r>
      <w:r>
        <w:tab/>
      </w:r>
      <w:hyperlink r:id="rId5" w:history="1">
        <w:r>
          <w:rPr>
            <w:rStyle w:val="Hyperlink"/>
          </w:rPr>
          <w:t>Procjena učinka</w:t>
        </w:r>
      </w:hyperlink>
      <w:r>
        <w:t xml:space="preserve">, </w:t>
      </w:r>
      <w:hyperlink r:id="rId6" w:history="1">
        <w:r>
          <w:rPr>
            <w:rStyle w:val="Hyperlink"/>
          </w:rPr>
          <w:t>Sažetak procjene učinka</w:t>
        </w:r>
      </w:hyperlink>
      <w:r>
        <w:t xml:space="preserve">, </w:t>
      </w:r>
      <w:hyperlink r:id="rId7" w:history="1">
        <w:r>
          <w:rPr>
            <w:rStyle w:val="Hyperlink"/>
          </w:rPr>
          <w:t>Mišljenje Odbora za nadzor regulative</w:t>
        </w:r>
      </w:hyperlink>
      <w:r>
        <w:rPr>
          <w:rStyle w:val="Hyperlink"/>
        </w:rPr>
        <w:t xml:space="preserve"> (dostupno samo na engleskom).</w:t>
      </w:r>
      <w:r>
        <w:t xml:space="preserve"> </w:t>
      </w:r>
    </w:p>
  </w:footnote>
  <w:footnote w:id="12">
    <w:p>
      <w:pPr>
        <w:pStyle w:val="FootnoteText"/>
      </w:pPr>
      <w:r>
        <w:rPr>
          <w:rStyle w:val="FootnoteReference"/>
        </w:rPr>
        <w:footnoteRef/>
      </w:r>
      <w:r>
        <w:tab/>
        <w:t>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(SL L 87, 31.3.2009., str. 164.).</w:t>
      </w:r>
    </w:p>
  </w:footnote>
  <w:footnote w:id="13">
    <w:p>
      <w:pPr>
        <w:pStyle w:val="FootnoteText"/>
      </w:pPr>
      <w:r>
        <w:rPr>
          <w:rStyle w:val="FootnoteReference"/>
        </w:rPr>
        <w:footnoteRef/>
      </w:r>
      <w:r>
        <w:tab/>
      </w:r>
      <w:hyperlink r:id="rId8" w:history="1">
        <w:r>
          <w:rPr>
            <w:rStyle w:val="Hyperlink"/>
          </w:rPr>
          <w:t>https://ec.europa.eu/eurostat/web/agriculture/methodology/strategy-beyond-2020</w:t>
        </w:r>
      </w:hyperlink>
      <w:r>
        <w:t xml:space="preserve"> </w:t>
      </w:r>
    </w:p>
  </w:footnote>
  <w:footnote w:id="14">
    <w:p>
      <w:pPr>
        <w:pStyle w:val="FootnoteText"/>
      </w:pPr>
      <w:r>
        <w:rPr>
          <w:rStyle w:val="FootnoteReference"/>
        </w:rPr>
        <w:footnoteRef/>
      </w:r>
      <w:r>
        <w:tab/>
        <w:t>Uredba (EU) 2018/1091 Europskog parlamenta i Vijeća od 18. srpnja 2018. o integriranoj statistici na razini poljoprivrednih gospodarstava i stavljanju izvan snage uredaba (EZ) br. 1166/2008 i (EU) br. 1337/2011 (SL L 200, 7.8.2018., str. 1.).</w:t>
      </w:r>
    </w:p>
  </w:footnote>
  <w:footnote w:id="15">
    <w:p>
      <w:pPr>
        <w:pStyle w:val="FootnoteText"/>
      </w:pPr>
      <w:r>
        <w:rPr>
          <w:rStyle w:val="FootnoteReference"/>
        </w:rPr>
        <w:footnoteRef/>
      </w:r>
      <w:r>
        <w:tab/>
        <w:t>Uredba (EZ) br. 1165/2008 Europskog parlamenta i Vijeća od 19. studenoga 2008. o statističkim podacima o stočarstvu i mesu i o stavljanju izvan snage direktiva Vijeća 93/23/EEZ, 93/24/EEZ i 93/25/EEZ (SL L 321, 1.12.2008., str. 1.).</w:t>
      </w:r>
    </w:p>
  </w:footnote>
  <w:footnote w:id="16">
    <w:p>
      <w:pPr>
        <w:pStyle w:val="FootnoteText"/>
      </w:pPr>
      <w:r>
        <w:rPr>
          <w:rStyle w:val="FootnoteReference"/>
        </w:rPr>
        <w:footnoteRef/>
      </w:r>
      <w:r>
        <w:tab/>
        <w:t>Uredba (EZ) br. 543/2009 Europskog parlamenta i Vijeća od 18. lipnja 2009. o statistici usjeva i stavljanju izvan snage uredaba Vijeća (EEZ) br. 837/90 i (EEZ) br. 959/93 (SL L 167, 29.6.2009., str. 1.).</w:t>
      </w:r>
    </w:p>
  </w:footnote>
  <w:footnote w:id="17">
    <w:p>
      <w:pPr>
        <w:pStyle w:val="FootnoteText"/>
      </w:pPr>
      <w:r>
        <w:rPr>
          <w:rStyle w:val="FootnoteReference"/>
        </w:rPr>
        <w:footnoteRef/>
      </w:r>
      <w:r>
        <w:tab/>
        <w:t>Uredba (EZ) br. 1185/2009 Europskog parlamenta i Vijeća od 25. studenoga 2009. o statističkim podacima o pesticidima (SL L 324, 10.12.2009., str. 1.).</w:t>
      </w:r>
    </w:p>
  </w:footnote>
  <w:footnote w:id="18">
    <w:p>
      <w:pPr>
        <w:pStyle w:val="FootnoteText"/>
      </w:pPr>
      <w:r>
        <w:rPr>
          <w:rStyle w:val="FootnoteReference"/>
        </w:rPr>
        <w:footnoteRef/>
      </w:r>
      <w:r>
        <w:tab/>
        <w:t xml:space="preserve">Direktiva Vijeća 96/16/EZ od 19. ožujka 1996. o statističkim istraživanjima o mlijeku i mliječnim proizvodima (SL L 78, 28.3.1996., str. 27.). </w:t>
      </w:r>
    </w:p>
  </w:footnote>
  <w:footnote w:id="19">
    <w:p>
      <w:pPr>
        <w:pStyle w:val="FootnoteText"/>
      </w:pPr>
      <w:r>
        <w:rPr>
          <w:rStyle w:val="FootnoteReference"/>
        </w:rPr>
        <w:footnoteRef/>
      </w:r>
      <w:r>
        <w:tab/>
        <w:t>Uredba Komisije (EZ) br. 617/2008 od 27. lipnja 2008. o utvrđivanju detaljnih pravila za provedbu Uredbe (EZ) br. 1234/2007 u pogledu tržišnih standarda za jaja za valenje i pilića domaće peradi (SL L 168, 28.6.2008., str. 5.).</w:t>
      </w:r>
    </w:p>
  </w:footnote>
  <w:footnote w:id="20">
    <w:p>
      <w:pPr>
        <w:pStyle w:val="FootnoteText"/>
      </w:pPr>
      <w:r>
        <w:rPr>
          <w:rStyle w:val="FootnoteReference"/>
        </w:rPr>
        <w:footnoteRef/>
      </w:r>
      <w:r>
        <w:tab/>
        <w:t>Uredba (EZ) br. 138/2004 Europskog parlamenta i Vijeća od 5. prosinca 2003. o ekonomskim računima u poljoprivredi na području Zajednice (SL L 33, 5.2.2004., str. 1.).</w:t>
      </w:r>
    </w:p>
  </w:footnote>
  <w:footnote w:id="21">
    <w:p>
      <w:pPr>
        <w:pStyle w:val="FootnoteText"/>
      </w:pPr>
      <w:r>
        <w:rPr>
          <w:rStyle w:val="FootnoteReference"/>
        </w:rPr>
        <w:footnoteRef/>
      </w:r>
      <w:r>
        <w:tab/>
        <w:t>Direktiva 2009/128/EZ Europskog parlamenta i Vijeća od 21. listopada 2009. o uspostavi okvira za djelovanje Zajednice u postizanju održive upotrebe pesticida (SL L 309, 24.11.2009., str. 71.).</w:t>
      </w:r>
    </w:p>
  </w:footnote>
  <w:footnote w:id="22">
    <w:p>
      <w:pPr>
        <w:pStyle w:val="FootnoteText"/>
      </w:pPr>
      <w:r>
        <w:rPr>
          <w:rStyle w:val="FootnoteReference"/>
        </w:rPr>
        <w:footnoteRef/>
      </w:r>
      <w:r>
        <w:tab/>
      </w:r>
      <w:r>
        <w:rPr>
          <w:sz w:val="18"/>
          <w:szCs w:val="18"/>
        </w:rPr>
        <w:t>Uredba (EZ) br. 1107/2009 Europskog parlamenta i Vijeća od 21. listopada 2009. o stavljanju na tržište sredstava za zaštitu bilja i stavljanju izvan snage direktiva Vijeća 79/117/EEZ i 91/414/EEZ (SL L 309, 24.11.2009., str. 1.).</w:t>
      </w:r>
    </w:p>
  </w:footnote>
  <w:footnote w:id="23">
    <w:p>
      <w:pPr>
        <w:pStyle w:val="FootnoteText"/>
      </w:pPr>
      <w:r>
        <w:rPr>
          <w:rStyle w:val="FootnoteReference"/>
        </w:rPr>
        <w:footnoteRef/>
      </w:r>
      <w:r>
        <w:tab/>
        <w:t>Uredba (EU) 2018/848 Europskog parlamenta i Vijeća od 30. svibnja 2018. o ekološkoj proizvodnji i označivanju ekoloških proizvoda te stavljanju izvan snage Uredbe Vijeća (EZ) br. 834/2007 (SL L 150, 14.6.2018., str. 1.).</w:t>
      </w:r>
    </w:p>
  </w:footnote>
  <w:footnote w:id="24">
    <w:p>
      <w:pPr>
        <w:pStyle w:val="FootnoteText"/>
      </w:pPr>
      <w:r>
        <w:rPr>
          <w:rStyle w:val="FootnoteReference"/>
        </w:rPr>
        <w:footnoteRef/>
      </w:r>
      <w:r>
        <w:tab/>
        <w:t>Uredba (EZ) br. 1059/2003 Europskog parlamenta i Vijeća od 26. svibnja 2003. o uspostavi zajedničke klasifikacije prostornih jedinica za statistiku (NUTS) (SL L 154, 21.6.2003., str. 1.).</w:t>
      </w:r>
    </w:p>
  </w:footnote>
  <w:footnote w:id="25">
    <w:p>
      <w:pPr>
        <w:pStyle w:val="FootnoteText"/>
        <w:rPr>
          <w:sz w:val="18"/>
          <w:szCs w:val="18"/>
        </w:rPr>
      </w:pPr>
      <w:r>
        <w:rPr>
          <w:rStyle w:val="FootnoteReference"/>
        </w:rPr>
        <w:footnoteRef/>
      </w:r>
      <w:r>
        <w:tab/>
      </w:r>
      <w:r>
        <w:rPr>
          <w:sz w:val="18"/>
          <w:szCs w:val="18"/>
        </w:rPr>
        <w:t>SL L 123, 12.5.2016., str. 1.</w:t>
      </w:r>
    </w:p>
  </w:footnote>
  <w:footnote w:id="26">
    <w:p>
      <w:pPr>
        <w:pStyle w:val="FootnoteText"/>
        <w:rPr>
          <w:sz w:val="18"/>
          <w:szCs w:val="18"/>
        </w:rPr>
      </w:pPr>
      <w:r>
        <w:rPr>
          <w:rStyle w:val="FootnoteReference"/>
        </w:rPr>
        <w:footnoteRef/>
      </w:r>
      <w:r>
        <w:rPr>
          <w:sz w:val="18"/>
          <w:szCs w:val="18"/>
        </w:rPr>
        <w:tab/>
        <w:t>Uredba (EU) br. 182/2011 Europskog parlamenta i Vijeća od 16. veljače 2011. o utvrđivanju pravila i općih načela u vezi s mehanizmima nadzora država članica nad izvršavanjem provedbenih ovlasti Komisije (SL L 55, 28.2.2011., str. 13.).</w:t>
      </w:r>
    </w:p>
  </w:footnote>
  <w:footnote w:id="27">
    <w:p>
      <w:pPr>
        <w:pStyle w:val="FootnoteText"/>
      </w:pPr>
      <w:r>
        <w:rPr>
          <w:rStyle w:val="FootnoteReference"/>
        </w:rPr>
        <w:footnoteRef/>
      </w:r>
      <w:r>
        <w:tab/>
        <w:t>Direktiva 2003/4/EZ Europskog parlamenta i Vijeća od 28. siječnja 2003. o javnom pristupu informacijama o okolišu i stavljanju izvan snage Direktive Vijeća 90/313/EEZ (SL L 41, 14.2.2003., str. 26.).</w:t>
      </w:r>
    </w:p>
  </w:footnote>
  <w:footnote w:id="28">
    <w:p>
      <w:pPr>
        <w:pStyle w:val="FootnoteText"/>
      </w:pPr>
      <w:r>
        <w:rPr>
          <w:rStyle w:val="FootnoteReference"/>
        </w:rPr>
        <w:footnoteRef/>
      </w:r>
      <w:r>
        <w:tab/>
        <w:t>Uredba (EZ) br. 1367/2006 Europskog parlamenta i Vijeća od 6. rujna 2006. o primjeni odredaba Aarhuške konvencije o pristupu informacijama, sudjelovanju javnosti u odlučivanju i pristupu pravosuđu u pitanjima okoliša na institucije i tijela Zajednice (SL L 264, 25.9.2006., str. 13.).</w:t>
      </w:r>
    </w:p>
  </w:footnote>
  <w:footnote w:id="29">
    <w:p>
      <w:pPr>
        <w:pStyle w:val="FootnoteText"/>
        <w:spacing w:after="60"/>
      </w:pPr>
      <w:r>
        <w:rPr>
          <w:rStyle w:val="FootnoteReference"/>
        </w:rPr>
        <w:footnoteRef/>
      </w:r>
      <w:r>
        <w:tab/>
      </w:r>
      <w:r>
        <w:rPr>
          <w:sz w:val="18"/>
          <w:szCs w:val="18"/>
        </w:rPr>
        <w:t>Uredba (EU) br. 1307/2013 Europskog parlamenta i Vijeća od 17. prosinca 2013. o utvrđivanju pravila za izravna plaćanja poljoprivrednicima u programima potpore u okviru zajedničke poljoprivredne politike i o stavljanju izvan snage Uredbe Vijeća (EZ) br. 637/2008 i Uredbe Vijeća (EZ) br. 73/2009 (SL L 347, 20.12.2013., str. 608.).</w:t>
      </w:r>
    </w:p>
  </w:footnote>
  <w:footnote w:id="30">
    <w:p>
      <w:pPr>
        <w:pStyle w:val="FootnoteText"/>
        <w:spacing w:after="60"/>
        <w:ind w:left="709" w:hanging="709"/>
      </w:pPr>
      <w:r>
        <w:rPr>
          <w:rStyle w:val="FootnoteReference"/>
        </w:rPr>
        <w:footnoteRef/>
      </w:r>
      <w:r>
        <w:tab/>
      </w:r>
      <w:r>
        <w:rPr>
          <w:sz w:val="18"/>
          <w:szCs w:val="18"/>
        </w:rPr>
        <w:t>Uredba (EZ) br. 1760/2000 Europskog parlamenta i Vijeća od 17. srpnja 2000. o uvođenju sustava označivanja i registracije životinja vrste goveda, označivanju goveđeg mesa i proizvoda od goveđeg mesa i stavljanju izvan snage Uredbe Vijeća (EZ) br. 820/97 (SL L 204, 11.8.2000., str. 1.).</w:t>
      </w:r>
    </w:p>
  </w:footnote>
  <w:footnote w:id="31">
    <w:p>
      <w:pPr>
        <w:pStyle w:val="FootnoteText"/>
        <w:spacing w:after="60"/>
        <w:ind w:left="709" w:hanging="709"/>
      </w:pPr>
      <w:r>
        <w:rPr>
          <w:rStyle w:val="FootnoteReference"/>
        </w:rPr>
        <w:footnoteRef/>
      </w:r>
      <w:r>
        <w:tab/>
      </w:r>
      <w:r>
        <w:rPr>
          <w:sz w:val="18"/>
          <w:szCs w:val="18"/>
        </w:rPr>
        <w:t>Uredba Vijeća (EZ) br. 21/2004 od 17. prosinca 2003. o uspostavi sustava za označivanje i registraciju ovaca i koza i izmjeni Uredbe (EZ) br. 1782/2003 i direktiva 92/102/EEZ i 64/432/EEZ (SL L 5, 9.1.2004., str. 8.).</w:t>
      </w:r>
    </w:p>
  </w:footnote>
  <w:footnote w:id="32">
    <w:p>
      <w:pPr>
        <w:pStyle w:val="FootnoteText"/>
        <w:spacing w:after="60"/>
        <w:ind w:left="709" w:hanging="709"/>
      </w:pPr>
      <w:r>
        <w:rPr>
          <w:rStyle w:val="FootnoteReference"/>
        </w:rPr>
        <w:footnoteRef/>
      </w:r>
      <w:r>
        <w:tab/>
      </w:r>
      <w:r>
        <w:rPr>
          <w:sz w:val="18"/>
          <w:szCs w:val="18"/>
        </w:rPr>
        <w:t>Uredba (EU) br. 1308/2013 Europskog parlamenta i Vijeća od 17. prosinca 2013. o uspostavljanju zajedničke organizacije tržišta poljoprivrednih proizvoda i stavljanju izvan snage uredbi Vijeća (EEZ) br. 922/72, (EEZ) br. 234/79, (EZ) br. 1037/2001 i (EZ) br. 1234/2007 (SL L 347, 20.12.2013., str. 671.).</w:t>
      </w:r>
    </w:p>
  </w:footnote>
  <w:footnote w:id="33">
    <w:p>
      <w:pPr>
        <w:pStyle w:val="FootnoteText"/>
      </w:pPr>
      <w:r>
        <w:rPr>
          <w:rStyle w:val="FootnoteReference"/>
        </w:rPr>
        <w:footnoteRef/>
      </w:r>
      <w:r>
        <w:tab/>
        <w:t>Uredba (EU, Euratom) br. 883/2013 Europskog parlamenta i Vijeća od 11. rujna 2013. o istragama koje provodi Europski ured za borbu protiv prijevara (OLAF) i stavljanju izvan snage Uredbe (EZ) br. 1073/1999 Europskog parlamenta i Vijeća te Uredbe Vijeća (Euratom) br. 1074/1999 (SL L 248, 18.9.2013., str. 1.).</w:t>
      </w:r>
    </w:p>
  </w:footnote>
  <w:footnote w:id="34">
    <w:p>
      <w:pPr>
        <w:pStyle w:val="FootnoteText"/>
        <w:rPr>
          <w:sz w:val="24"/>
          <w:szCs w:val="24"/>
        </w:rPr>
      </w:pPr>
      <w:r>
        <w:rPr>
          <w:rStyle w:val="FootnoteReference"/>
        </w:rPr>
        <w:footnoteRef/>
      </w:r>
      <w:r>
        <w:tab/>
        <w:t>Uredba Vijeća (Euratom, EZ) br. 2185/96 od 11. studenoga 1996. o provjerama i inspekcijama na terenu koje provodi Komisija s ciljem zaštite financijskih interesa Europskih zajednica od prijevara i ostalih nepravilnosti (SL L 292, 15.11.1996., str. 2.).</w:t>
      </w:r>
    </w:p>
  </w:footnote>
  <w:footnote w:id="35">
    <w:p>
      <w:pPr>
        <w:pStyle w:val="FootnoteText"/>
        <w:rPr>
          <w:szCs w:val="24"/>
        </w:rPr>
      </w:pPr>
      <w:r>
        <w:rPr>
          <w:rStyle w:val="FootnoteReference"/>
        </w:rPr>
        <w:footnoteRef/>
      </w:r>
      <w:r>
        <w:tab/>
        <w:t>Kako je navedeno u članku 58. stavku 2. točkama (a) ili (b) Financijske uredbe.</w:t>
      </w:r>
    </w:p>
  </w:footnote>
  <w:footnote w:id="36">
    <w:p>
      <w:pPr>
        <w:pStyle w:val="FootnoteText"/>
        <w:jc w:val="left"/>
        <w:rPr>
          <w:szCs w:val="24"/>
        </w:rPr>
      </w:pPr>
      <w:r>
        <w:rPr>
          <w:rStyle w:val="FootnoteReference"/>
        </w:rPr>
        <w:footnoteRef/>
      </w:r>
      <w:r>
        <w:tab/>
        <w:t xml:space="preserve">Informacije o načinima upravljanja i upućivanja na Financijsku uredbu dostupni su na internetskim stranicama BudgWeb: </w:t>
      </w:r>
      <w:hyperlink r:id="rId9" w:history="1">
        <w:r>
          <w:rPr>
            <w:rStyle w:val="Hyperlink"/>
          </w:rPr>
          <w:t>https://myintracomm.ec.europa.eu/budgweb/EN/man/budgmanag/Pages/budgmanag.aspx</w:t>
        </w:r>
      </w:hyperlink>
      <w:r>
        <w:t xml:space="preserve"> </w:t>
      </w:r>
    </w:p>
  </w:footnote>
  <w:footnote w:id="37">
    <w:p>
      <w:pPr>
        <w:pStyle w:val="FootnoteText"/>
        <w:rPr>
          <w:szCs w:val="24"/>
        </w:rPr>
      </w:pPr>
      <w:r>
        <w:rPr>
          <w:rStyle w:val="FootnoteReference"/>
        </w:rPr>
        <w:footnoteRef/>
      </w:r>
      <w:r>
        <w:tab/>
        <w:t>Dif. = diferencirana odobrena sredstva; nedif. = nediferencirana odobrena sredstva.</w:t>
      </w:r>
    </w:p>
  </w:footnote>
  <w:footnote w:id="38">
    <w:p>
      <w:pPr>
        <w:pStyle w:val="FootnoteText"/>
        <w:rPr>
          <w:szCs w:val="24"/>
        </w:rPr>
      </w:pPr>
      <w:r>
        <w:rPr>
          <w:rStyle w:val="FootnoteReference"/>
        </w:rPr>
        <w:footnoteRef/>
      </w:r>
      <w:r>
        <w:tab/>
        <w:t xml:space="preserve">EFTA: Europsko udruženje slobodne trgovine. </w:t>
      </w:r>
    </w:p>
  </w:footnote>
  <w:footnote w:id="39">
    <w:p>
      <w:pPr>
        <w:pStyle w:val="FootnoteText"/>
      </w:pPr>
      <w:r>
        <w:rPr>
          <w:rStyle w:val="FootnoteReference"/>
        </w:rPr>
        <w:footnoteRef/>
      </w:r>
      <w:r>
        <w:tab/>
        <w:t>Zemlje kandidatkinje i, ako je primjenjivo, potencijalni kandidati sa zapadnog Balkana.</w:t>
      </w:r>
    </w:p>
  </w:footnote>
  <w:footnote w:id="40">
    <w:p>
      <w:pPr>
        <w:pStyle w:val="FootnoteText"/>
        <w:rPr>
          <w:szCs w:val="24"/>
        </w:rPr>
      </w:pPr>
      <w:r>
        <w:rPr>
          <w:rStyle w:val="FootnoteReference"/>
        </w:rPr>
        <w:footnoteRef/>
      </w:r>
      <w:r>
        <w:tab/>
        <w:t>Tehnička i/ili administrativna pomoć i rashodi za potporu provedbi programa i/ili djelovanja EU-a (prijašnje linije „BA”), neizravno istraživanje, izravno istraživanje.</w:t>
      </w:r>
    </w:p>
  </w:footnote>
  <w:footnote w:id="41">
    <w:p>
      <w:pPr>
        <w:pStyle w:val="FootnoteText"/>
        <w:rPr>
          <w:szCs w:val="24"/>
        </w:rPr>
      </w:pPr>
      <w:r>
        <w:rPr>
          <w:rStyle w:val="FootnoteReference"/>
        </w:rPr>
        <w:footnoteRef/>
      </w:r>
      <w:r>
        <w:tab/>
        <w:t>Tehnička i/ili administrativna pomoć i rashodi za potporu provedbi programa i/ili djelovanja EU-a (prijašnje linije „BA”), neizravno istraživanje, izravno istraživanje.</w:t>
      </w:r>
    </w:p>
  </w:footnote>
  <w:footnote w:id="42">
    <w:p>
      <w:pPr>
        <w:pStyle w:val="FootnoteText"/>
        <w:rPr>
          <w:szCs w:val="24"/>
        </w:rPr>
      </w:pPr>
      <w:r>
        <w:rPr>
          <w:rStyle w:val="FootnoteReference"/>
        </w:rPr>
        <w:footnoteRef/>
      </w:r>
      <w:r>
        <w:tab/>
        <w:t xml:space="preserve">UO = ugovorno osoblje; LO = lokalno osoblje; UNS = upućeni nacionalni stručnjaci; UsO = ustupljeno osoblje; MSD = mladi stručnjaci u delegacijama. </w:t>
      </w:r>
    </w:p>
  </w:footnote>
  <w:footnote w:id="43">
    <w:p>
      <w:pPr>
        <w:pStyle w:val="FootnoteText"/>
        <w:rPr>
          <w:szCs w:val="24"/>
        </w:rPr>
      </w:pPr>
      <w:r>
        <w:rPr>
          <w:rStyle w:val="FootnoteReference"/>
        </w:rPr>
        <w:footnoteRef/>
      </w:r>
      <w:r>
        <w:tab/>
        <w:t>U okviru gornje granice za vanjsko osoblje iz odobrenih sredstava za poslovanje (prijašnje linije „BA”).</w:t>
      </w:r>
    </w:p>
  </w:footnote>
  <w:footnote w:id="44">
    <w:p>
      <w:pPr>
        <w:pStyle w:val="FootnoteText"/>
        <w:rPr>
          <w:szCs w:val="24"/>
        </w:rPr>
      </w:pPr>
      <w:r>
        <w:rPr>
          <w:rStyle w:val="FootnoteReference"/>
        </w:rPr>
        <w:footnoteRef/>
      </w:r>
      <w:r>
        <w:tab/>
        <w:t>Kad je riječ o tradicionalnim vlastitim sredstvima (carine, pristojbe na šećer) navedeni iznosi moraju biti neto iznosi, to jest bruto iznosi nakon odbitka od 20 %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 w:numId="28">
    <w:abstractNumId w:val="24"/>
  </w:num>
  <w:num w:numId="29">
    <w:abstractNumId w:val="6"/>
  </w:num>
  <w:num w:numId="30">
    <w:abstractNumId w:val="12"/>
  </w:num>
  <w:num w:numId="31">
    <w:abstractNumId w:val="4"/>
  </w:num>
  <w:num w:numId="32">
    <w:abstractNumId w:val="23"/>
  </w:num>
  <w:num w:numId="33">
    <w:abstractNumId w:val="3"/>
  </w:num>
  <w:num w:numId="34">
    <w:abstractNumId w:val="13"/>
  </w:num>
  <w:num w:numId="35">
    <w:abstractNumId w:val="19"/>
  </w:num>
  <w:num w:numId="36">
    <w:abstractNumId w:val="20"/>
  </w:num>
  <w:num w:numId="37">
    <w:abstractNumId w:val="5"/>
  </w:num>
  <w:num w:numId="38">
    <w:abstractNumId w:val="17"/>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oNotTrackFormatting/>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6 09:40: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67"/>
    <w:docVar w:name="DQCResult_ModifiedMarkers" w:val="0;0"/>
    <w:docVar w:name="DQCResult_ModifiedNumbering" w:val="0;0"/>
    <w:docVar w:name="DQCResult_Objects" w:val="0;0"/>
    <w:docVar w:name="DQCResult_Sections" w:val="0;0"/>
    <w:docVar w:name="DQCResult_StructureCheck" w:val="0;0"/>
    <w:docVar w:name="DQCResult_SuperfluousWhitespace" w:val="0;3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6DE976A-EB3F-4E00-9B31-CC12AD758B7E"/>
    <w:docVar w:name="LW_COVERPAGE_TYPE" w:val="1"/>
    <w:docVar w:name="LW_CROSSREFERENCE" w:val="&lt;UNUSED&gt;"/>
    <w:docVar w:name="LW_DocType" w:val="COM"/>
    <w:docVar w:name="LW_EMISSION" w:val="2.2.2021."/>
    <w:docVar w:name="LW_EMISSION_ISODATE" w:val="2021-02-02"/>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020"/>
    <w:docVar w:name="LW_REF.II.NEW.CP_YEAR" w:val="2021"/>
    <w:docVar w:name="LW_REF.INST.NEW" w:val="COM"/>
    <w:docVar w:name="LW_REF.INST.NEW_ADOPTED" w:val="final"/>
    <w:docVar w:name="LW_REF.INST.NEW_TEXT" w:val="(2021)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statistici poljoprivrednih inputa i outputa i o stavljanju izvan snage uredaba (EZ) br. 1165/2008, (EZ) br. 543/2009, (EZ) br. 1185/2009 i Direktive Vije\u263?a 96/16/EZ _x000b_"/>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hr-H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hr-H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6886">
      <w:bodyDiv w:val="1"/>
      <w:marLeft w:val="0"/>
      <w:marRight w:val="0"/>
      <w:marTop w:val="0"/>
      <w:marBottom w:val="0"/>
      <w:divBdr>
        <w:top w:val="none" w:sz="0" w:space="0" w:color="auto"/>
        <w:left w:val="none" w:sz="0" w:space="0" w:color="auto"/>
        <w:bottom w:val="none" w:sz="0" w:space="0" w:color="auto"/>
        <w:right w:val="none" w:sz="0" w:space="0" w:color="auto"/>
      </w:divBdr>
    </w:div>
    <w:div w:id="12981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web/agriculture/methodology/strategy-beyond-2020" TargetMode="External"/><Relationship Id="rId3" Type="http://schemas.openxmlformats.org/officeDocument/2006/relationships/hyperlink" Target="http://ec.europa.eu/eurostat/documents/10186/6937766/Agricultural-Statistics-Strategy-2020-Report.docx" TargetMode="External"/><Relationship Id="rId7" Type="http://schemas.openxmlformats.org/officeDocument/2006/relationships/hyperlink" Target="https://ec.europa.eu/smart-regulation/impact/ia_carried_out/docs/ia_2016/sec_2016_0519_en.pdf" TargetMode="External"/><Relationship Id="rId2" Type="http://schemas.openxmlformats.org/officeDocument/2006/relationships/hyperlink" Target="http://ec.europa.eu/eurostat/about/opportunities/consultations/eass" TargetMode="External"/><Relationship Id="rId1" Type="http://schemas.openxmlformats.org/officeDocument/2006/relationships/hyperlink" Target="https://ec.europa.eu/eurostat/web/agriculture/methodology/strategy-beyond-2020" TargetMode="External"/><Relationship Id="rId6" Type="http://schemas.openxmlformats.org/officeDocument/2006/relationships/hyperlink" Target="https://ec.europa.eu/transparency/regdoc/index.cfm;jsessionid=3EAB7C00BF4B14D59E2D411F4A3934A7.cfusion14601?fuseaction=list&amp;n=10&amp;adv=0&amp;coteId=10102&amp;year=2016&amp;number=429&amp;version=F&amp;dateFrom=&amp;dateTo=&amp;serviceId=&amp;documentType=&amp;title=&amp;titleLanguage=&amp;titleSearch=EXACT&amp;sortBy=NUMBER&amp;sortOrder=DESC&amp;language=hr" TargetMode="External"/><Relationship Id="rId5" Type="http://schemas.openxmlformats.org/officeDocument/2006/relationships/hyperlink" Target="https://ec.europa.eu/transparency/regdoc/index.cfm;jsessionid=3EAB7C00BF4B14D59E2D411F4A3934A7.cfusion14601?fuseaction=list&amp;n=10&amp;adv=0&amp;coteId=10102&amp;year=2016&amp;number=430&amp;version=F&amp;dateFrom=&amp;dateTo=&amp;serviceId=&amp;documentType=&amp;title=&amp;titleLanguage=&amp;titleSearch=EXACT&amp;sortBy=NUMBER&amp;sortOrder=DESC&amp;language=hr" TargetMode="External"/><Relationship Id="rId4" Type="http://schemas.openxmlformats.org/officeDocument/2006/relationships/hyperlink" Target="https://ec.europa.eu/transparency/regdoc/rep/10102/2016/EN/SWD-2016-430-F1-EN-MAIN-PART-1.PDF" TargetMode="External"/><Relationship Id="rId9"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6EFEA5A-2109-4932-97D4-B23AC8A7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38</Pages>
  <Words>10767</Words>
  <Characters>67189</Characters>
  <Application>Microsoft Office Word</Application>
  <DocSecurity>0</DocSecurity>
  <Lines>1638</Lines>
  <Paragraphs>756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2021-01-22T13:58:00Z</dcterms:created>
  <dcterms:modified xsi:type="dcterms:W3CDTF">2021-01-26T08:40:00Z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