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A75B2DD-B800-42E4-A8D2-1F9B0A8F4A1D" style="width:450.75pt;height:422.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Eurostat od dziesięcioleci zestawia europejskie statystyki dotyczące rolnictwa w UE. Obecnie obejmują one następujące aspekty: strukturę gospodarstw rolnych, rachunki ekonomiczne dla rolnictwa, produkcję zwierzęcą i roślinną, rolnictwo ekologiczne, ceny produktów rolnych, środki ochrony roślin, składniki odżywcze i inne aspekty rolnicze i środowiskowe. Głównym celem jest monitorowanie i ocena wspólnej polityki rolnej (WPR) i innych istotnych obszarów polityki UE oraz wspieranie procesu kształtowania polityki.</w:t>
      </w:r>
    </w:p>
    <w:p>
      <w:pPr>
        <w:pBdr>
          <w:top w:val="nil"/>
          <w:left w:val="nil"/>
          <w:bottom w:val="nil"/>
          <w:right w:val="nil"/>
          <w:between w:val="nil"/>
          <w:bar w:val="nil"/>
        </w:pBdr>
        <w:spacing w:before="0" w:after="240"/>
        <w:rPr>
          <w:rFonts w:eastAsia="Arial Unicode MS"/>
          <w:noProof/>
        </w:rPr>
      </w:pPr>
      <w:r>
        <w:rPr>
          <w:noProof/>
        </w:rPr>
        <w:t>Wymienione gromadzenie danych zostało poddane ocenie w 2016 r.</w:t>
      </w:r>
      <w:r>
        <w:rPr>
          <w:rStyle w:val="FootnoteReference"/>
          <w:noProof/>
        </w:rPr>
        <w:footnoteReference w:id="1"/>
      </w:r>
      <w:r>
        <w:rPr>
          <w:noProof/>
        </w:rPr>
        <w:t>, w ramach której stwierdzono, że wymagana jest aktualizacja, aby uwzględnić zmiany w rolnictwie, WPR i innych powiązanych obszarach polityki UE. Strategia dotycząca statystyki rolnictwa na rok 2020 i na okres późniejszy</w:t>
      </w:r>
      <w:r>
        <w:rPr>
          <w:rStyle w:val="FootnoteReference"/>
          <w:noProof/>
        </w:rPr>
        <w:footnoteReference w:id="2"/>
      </w:r>
      <w:r>
        <w:rPr>
          <w:noProof/>
        </w:rPr>
        <w:t xml:space="preserve"> to ważny program modernizacji statystyki rolnictwa Unii Europejskiej realizowany przez Komisję Europejską w ścisłej współpracy z państwami członkowskimi. Strategia ta, wspierana przez Komitet ds. Europejskiego Systemu Statystycznego, jest częścią programu sprawności i wydajności regulacyjnej (REFIT) i ma na celu usprawnienie i ulepszenie europejskiego systemu statystyki rolnictwa (EASS). Strategia uwzględnia także międzynarodowe zalecenia, takie jak wytyczne dotyczące sprawozdawczości w zakresie emisji gazów cieplarnianych Międzyrządowego Zespołu ds. Zmian Klimatu oraz standardy Organizacji Narodów Zjednoczonych ds. Wyżywienia i Rolnictwa, oraz realizuje cele światowej strategii ONZ na rzecz poprawy statystyk dotyczących rolnictwa i obszarów wiejskich.</w:t>
      </w:r>
    </w:p>
    <w:p>
      <w:pPr>
        <w:pBdr>
          <w:top w:val="nil"/>
          <w:left w:val="nil"/>
          <w:bottom w:val="nil"/>
          <w:right w:val="nil"/>
          <w:between w:val="nil"/>
          <w:bar w:val="nil"/>
        </w:pBdr>
        <w:spacing w:before="0" w:after="240"/>
        <w:rPr>
          <w:rFonts w:eastAsia="Arial Unicode MS"/>
          <w:noProof/>
        </w:rPr>
      </w:pPr>
      <w:r>
        <w:rPr>
          <w:noProof/>
        </w:rPr>
        <w:t xml:space="preserve">Z punktu widzenia gospodarki rolnictwo jest stosunkowo niewielkim sektorem, ale obejmuje ono prawie połowę obszaru lądowego UE i dostarcza większość żywności, zapewniając zarówno bezpieczeństwo żywności, jak i bezpieczeństwo żywnościowe. Rolnictwo ma duży wpływ na zmianę klimatu i środowisko i zależy od niego wiele społeczności wiejskich. UE potrzebuje możliwie jak najbardziej dokładnych informacji dotyczących rolnictwa, które umożliwiają opracowywanie polityki przynoszącej korzyści wszystkim mieszkańcom Unii Europejskiej oraz jak najbardziej skuteczne i efektywne przydzielanie znacznych nakładów z budżetu WPR i środków powiązanych w wielu wymiarach. Rolnictwo jest też centralnym elementem Europejskiego Zielonego Ładu, w szczególności strategii „od pola do stołu”. </w:t>
      </w:r>
    </w:p>
    <w:p>
      <w:pPr>
        <w:pBdr>
          <w:top w:val="nil"/>
          <w:left w:val="nil"/>
          <w:bottom w:val="nil"/>
          <w:right w:val="nil"/>
          <w:between w:val="nil"/>
          <w:bar w:val="nil"/>
        </w:pBdr>
        <w:spacing w:before="0" w:after="240"/>
        <w:rPr>
          <w:rFonts w:eastAsia="Arial Unicode MS"/>
          <w:noProof/>
        </w:rPr>
      </w:pPr>
      <w:r>
        <w:rPr>
          <w:noProof/>
        </w:rPr>
        <w:t xml:space="preserve">Zapewnienie, aby mieszkańcy UE mieli zawsze bezpieczny dostęp do wystarczającej ilości żywności wysokiej jakości ma największe znaczenie. To oznacza, że dostępne muszą być regularne statystyki dotyczące obszarów i produkcji różnych roślin, a także zwierząt i produktów pochodnych. Rolnictwo ma też wpływ na środowisko. Wpływu tego nie można ocenić, nie mając informacji na temat składników odżywczych i środków ochrony roślin. Wyniki działalności sektora rolnictwa w ujęciu ogólnym można ocenić na podstawie statystyk dotyczących cen nakładów i produkcji w rolnictwie. Rolnictwo pomaga zachować obszary wiejskie i krajobrazy w całej UE oraz utrzymać funkcjonowanie gospodarki wiejskiej, tworząc miejsca pracy w przedsiębiorstwach zapewniających wyroby i usługi na rzecz tego </w:t>
      </w:r>
      <w:r>
        <w:rPr>
          <w:noProof/>
        </w:rPr>
        <w:lastRenderedPageBreak/>
        <w:t xml:space="preserve">sektora, w branżach rolno-spożywczych i sektorach powiązanych. Statystyka rolnictwa musi zatem obejmować gospodarczy, środowiskowy i społeczny wymiar rolnictwa. </w:t>
      </w:r>
    </w:p>
    <w:p>
      <w:pPr>
        <w:pBdr>
          <w:top w:val="nil"/>
          <w:left w:val="nil"/>
          <w:bottom w:val="nil"/>
          <w:right w:val="nil"/>
          <w:between w:val="nil"/>
          <w:bar w:val="nil"/>
        </w:pBdr>
        <w:spacing w:before="0" w:after="240"/>
        <w:rPr>
          <w:rFonts w:eastAsia="Arial Unicode MS"/>
          <w:noProof/>
        </w:rPr>
      </w:pPr>
      <w:r>
        <w:rPr>
          <w:noProof/>
        </w:rPr>
        <w:t xml:space="preserve">Eurostat od lat 50-tych ubiegłego wieku dostarcza statystyki dotyczące upraw roślinnych i zwierząt, do których następnie dodał statystyki dotyczące cen produktów rolnych, struktury gospodarstw rolnych oraz składników odżywczych i środków ochrony roślin. Statystyki podlegają regulacjom zawartym w często aktualizowanych unijnych przepisach lub dżentelmeńskich umowach i porozumieniach Europejskiego Systemu Statystycznego (ESS). W ocenie obecnego systemu statystyki rolnictwa wyraźnie zalecono przyjęcie systematycznego podejścia w całym tym systemie. </w:t>
      </w:r>
    </w:p>
    <w:p>
      <w:pPr>
        <w:pBdr>
          <w:top w:val="nil"/>
          <w:left w:val="nil"/>
          <w:bottom w:val="nil"/>
          <w:right w:val="nil"/>
          <w:between w:val="nil"/>
          <w:bar w:val="nil"/>
        </w:pBdr>
        <w:spacing w:before="0" w:after="240"/>
        <w:rPr>
          <w:rFonts w:eastAsia="Arial Unicode MS"/>
          <w:noProof/>
        </w:rPr>
      </w:pPr>
      <w:r>
        <w:rPr>
          <w:noProof/>
        </w:rPr>
        <w:t>Najbardziej wykonalny z wariantów poddanych analizie w ocenie skutków, który następnie zaproponowano jako dalsze działanie, zakłada objęcie wszystkich statystyk rolnictwa trzema rozporządzeniami Parlamentu Europejskiego i Rady, dotyczącymi:</w:t>
      </w:r>
    </w:p>
    <w:p>
      <w:pPr>
        <w:pStyle w:val="Bullet0"/>
        <w:numPr>
          <w:ilvl w:val="0"/>
          <w:numId w:val="17"/>
        </w:numPr>
        <w:rPr>
          <w:noProof/>
        </w:rPr>
      </w:pPr>
      <w:r>
        <w:rPr>
          <w:noProof/>
        </w:rPr>
        <w:t xml:space="preserve">danych na poziomie gospodarstw rolnych, w tym przekazywania danych jednostkowych, w oparciu o podejście modułowe ze zmiennymi podstawowymi, modułami i rachunkami satelitarnymi. </w:t>
      </w:r>
    </w:p>
    <w:p>
      <w:pPr>
        <w:pStyle w:val="Bullet0"/>
        <w:rPr>
          <w:noProof/>
        </w:rPr>
      </w:pPr>
      <w:r>
        <w:rPr>
          <w:noProof/>
        </w:rPr>
        <w:t xml:space="preserve">rachunków ekonomicznych dla rolnictwa oraz </w:t>
      </w:r>
    </w:p>
    <w:p>
      <w:pPr>
        <w:pStyle w:val="Bullet0"/>
        <w:rPr>
          <w:noProof/>
        </w:rPr>
      </w:pPr>
      <w:r>
        <w:rPr>
          <w:noProof/>
        </w:rPr>
        <w:t>zagregowanych statystyk dotyczących nakładów/produkcji w rolnictwie obejmujących dane tabularne.</w:t>
      </w:r>
    </w:p>
    <w:p>
      <w:pPr>
        <w:pBdr>
          <w:top w:val="nil"/>
          <w:left w:val="nil"/>
          <w:bottom w:val="nil"/>
          <w:right w:val="nil"/>
          <w:between w:val="nil"/>
          <w:bar w:val="nil"/>
        </w:pBdr>
        <w:spacing w:before="0" w:after="240"/>
        <w:rPr>
          <w:rFonts w:eastAsia="Arial Unicode MS"/>
          <w:noProof/>
        </w:rPr>
      </w:pPr>
      <w:r>
        <w:rPr>
          <w:noProof/>
        </w:rPr>
        <w:t>Pierwsze z nich, rozporządzenie w sprawie zintegrowanych statystyk dotyczących gospodarstw rolnych, zostało przyjęte w 2018 r.</w:t>
      </w:r>
      <w:r>
        <w:rPr>
          <w:rStyle w:val="FootnoteReference"/>
          <w:rFonts w:eastAsia="Arial Unicode MS"/>
          <w:noProof/>
        </w:rPr>
        <w:footnoteReference w:id="3"/>
      </w:r>
      <w:r>
        <w:rPr>
          <w:noProof/>
        </w:rPr>
        <w:t>, zaś drugie, rozporządzenie dotyczące rachunków ekonomicznych dla rolnictwa</w:t>
      </w:r>
      <w:r>
        <w:rPr>
          <w:rStyle w:val="FootnoteReference"/>
          <w:noProof/>
        </w:rPr>
        <w:footnoteReference w:id="4"/>
      </w:r>
      <w:r>
        <w:rPr>
          <w:noProof/>
        </w:rPr>
        <w:t xml:space="preserve">, jest obecnie aktualizowane. </w:t>
      </w:r>
    </w:p>
    <w:p>
      <w:pPr>
        <w:pBdr>
          <w:top w:val="nil"/>
          <w:left w:val="nil"/>
          <w:bottom w:val="nil"/>
          <w:right w:val="nil"/>
          <w:between w:val="nil"/>
          <w:bar w:val="nil"/>
        </w:pBdr>
        <w:spacing w:before="0" w:after="240"/>
        <w:rPr>
          <w:rFonts w:eastAsia="Arial Unicode MS"/>
          <w:noProof/>
        </w:rPr>
      </w:pPr>
      <w:r>
        <w:rPr>
          <w:noProof/>
        </w:rPr>
        <w:t xml:space="preserve">Trzecim rozporządzeniem jest niniejszy wniosek ustawodawczy w sprawie statystyki dotyczącej nakładów i produkcji w rolnictwie (SAIO). </w:t>
      </w:r>
    </w:p>
    <w:p>
      <w:pPr>
        <w:pStyle w:val="ManualHeading2"/>
        <w:rPr>
          <w:rFonts w:eastAsia="Arial Unicode MS"/>
          <w:noProof/>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Aby decydenci, przedsiębiorstwa i obywatele mogli podejmować właściwe decyzje oparte na faktach, statystyki muszą być wiarygodne i wysokiej jakości.</w:t>
      </w:r>
    </w:p>
    <w:p>
      <w:pPr>
        <w:pBdr>
          <w:top w:val="nil"/>
          <w:left w:val="nil"/>
          <w:bottom w:val="nil"/>
          <w:right w:val="nil"/>
          <w:between w:val="nil"/>
          <w:bar w:val="nil"/>
        </w:pBdr>
        <w:spacing w:before="0" w:after="240"/>
        <w:rPr>
          <w:noProof/>
        </w:rPr>
      </w:pPr>
      <w:r>
        <w:rPr>
          <w:noProof/>
        </w:rPr>
        <w:t>Wspomniana wyżej strategia na 2020 r. dotycząca statystyki rolnictwa obejmuje następujące główne cele:</w:t>
      </w:r>
    </w:p>
    <w:p>
      <w:pPr>
        <w:pStyle w:val="Bullet0"/>
        <w:rPr>
          <w:noProof/>
        </w:rPr>
      </w:pPr>
      <w:r>
        <w:rPr>
          <w:noProof/>
        </w:rPr>
        <w:t>sporządzanie wysokiej jakości statystyk, które sprawnie i skutecznie zaspokajają potrzeby użytkowników oraz</w:t>
      </w:r>
    </w:p>
    <w:p>
      <w:pPr>
        <w:pStyle w:val="Bullet0"/>
        <w:rPr>
          <w:noProof/>
        </w:rPr>
      </w:pPr>
      <w:r>
        <w:rPr>
          <w:noProof/>
        </w:rPr>
        <w:t>poprawę harmonizacji i spójności europejskich statystyk rolnictwa.</w:t>
      </w:r>
    </w:p>
    <w:p>
      <w:pPr>
        <w:pBdr>
          <w:top w:val="nil"/>
          <w:left w:val="nil"/>
          <w:bottom w:val="nil"/>
          <w:right w:val="nil"/>
          <w:between w:val="nil"/>
          <w:bar w:val="nil"/>
        </w:pBdr>
        <w:spacing w:before="0" w:after="240"/>
        <w:rPr>
          <w:noProof/>
        </w:rPr>
      </w:pPr>
      <w:r>
        <w:rPr>
          <w:noProof/>
        </w:rPr>
        <w:t>Niniejszy wniosek bezpośrednio dotyczy tych celów.</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noProof/>
        </w:rPr>
      </w:pPr>
      <w:r>
        <w:rPr>
          <w:noProof/>
        </w:rPr>
        <w:t>Zapewnienie statystyk wysokiej jakości w celu wspierania unijnej polityki jest głównym motorem Europejskiego programu statystycznego na lata 2013–2017</w:t>
      </w:r>
      <w:r>
        <w:rPr>
          <w:rStyle w:val="FootnoteReference"/>
          <w:noProof/>
        </w:rPr>
        <w:footnoteReference w:id="5"/>
      </w:r>
      <w:r>
        <w:rPr>
          <w:noProof/>
        </w:rPr>
        <w:t xml:space="preserve"> (przedłużonego na </w:t>
      </w:r>
      <w:r>
        <w:rPr>
          <w:noProof/>
        </w:rPr>
        <w:lastRenderedPageBreak/>
        <w:t>okres 2018–2020</w:t>
      </w:r>
      <w:r>
        <w:rPr>
          <w:rStyle w:val="FootnoteReference"/>
          <w:noProof/>
        </w:rPr>
        <w:footnoteReference w:id="6"/>
      </w:r>
      <w:r>
        <w:rPr>
          <w:noProof/>
        </w:rPr>
        <w:t>). Statystyki dotyczące środowiska i rolnictwa stanowią w ramach tego programu jeden z trzech filarów tworzenia statystyk. Do ważnych celów tego programu należą „dokonywanie przeglądu i upraszczanie gromadzenia danych dotyczących rolnictwa zgodnie z przeglądem wspólnej polityki rolnej (WPR) w okresie po roku 2013 i zmiana procedur gromadzenia danych dotyczących rolnictwa, w szczególności w celu poprawy jakości i terminowości dostarczanych danych”. Niniejsza inicjatywa stanowi realizację tych celów.</w:t>
      </w:r>
    </w:p>
    <w:p>
      <w:pPr>
        <w:pBdr>
          <w:top w:val="nil"/>
          <w:left w:val="nil"/>
          <w:bottom w:val="nil"/>
          <w:right w:val="nil"/>
          <w:between w:val="nil"/>
          <w:bar w:val="nil"/>
        </w:pBdr>
        <w:spacing w:before="0" w:after="240"/>
        <w:rPr>
          <w:noProof/>
        </w:rPr>
      </w:pPr>
      <w:r>
        <w:rPr>
          <w:noProof/>
        </w:rPr>
        <w:t xml:space="preserve">Przez dostarczanie lepszej jakości danych do celów oceny zrównoważonego charakteru sektora rolnictwa z punktu widzenia środowiska, mieszkańców, regionów i gospodarki, europejski system statystyki rolnictwa przyczyniać się będzie również do realizacji co najmniej dwóch z sześciu priorytetów Komisji pod przewodnictwem Ursuli von der Leyen, a mianowicie: </w:t>
      </w:r>
    </w:p>
    <w:p>
      <w:pPr>
        <w:pStyle w:val="Bullet0"/>
        <w:rPr>
          <w:noProof/>
        </w:rPr>
      </w:pPr>
      <w:r>
        <w:rPr>
          <w:noProof/>
        </w:rPr>
        <w:t>Europejskiego Zielonego Ładu obejmującego strategię „od pola do stołu” i strategię na rzecz bioróżnorodności</w:t>
      </w:r>
    </w:p>
    <w:p>
      <w:pPr>
        <w:pStyle w:val="Bullet0"/>
        <w:rPr>
          <w:noProof/>
        </w:rPr>
      </w:pPr>
      <w:r>
        <w:rPr>
          <w:noProof/>
        </w:rPr>
        <w:t>gospodarki służącej ludziom.</w:t>
      </w:r>
    </w:p>
    <w:p>
      <w:pPr>
        <w:pBdr>
          <w:top w:val="nil"/>
          <w:left w:val="nil"/>
          <w:bottom w:val="nil"/>
          <w:right w:val="nil"/>
          <w:between w:val="nil"/>
          <w:bar w:val="nil"/>
        </w:pBdr>
        <w:spacing w:before="0" w:after="240"/>
        <w:rPr>
          <w:noProof/>
        </w:rPr>
      </w:pPr>
      <w:r>
        <w:rPr>
          <w:noProof/>
        </w:rPr>
        <w:t xml:space="preserve">. Statystyki rolnictwa są też przydatne w realizacji innych priorytetów Unii lub państw członkowskich, mających wpływ na rolnictwo i rozwój obszarów wiejskich czy też od nich uzależnionych. </w:t>
      </w:r>
    </w:p>
    <w:p>
      <w:pPr>
        <w:pBdr>
          <w:top w:val="nil"/>
          <w:left w:val="nil"/>
          <w:bottom w:val="nil"/>
          <w:right w:val="nil"/>
          <w:between w:val="nil"/>
          <w:bar w:val="nil"/>
        </w:pBdr>
        <w:spacing w:before="0" w:after="240"/>
        <w:rPr>
          <w:noProof/>
        </w:rPr>
      </w:pPr>
      <w:r>
        <w:rPr>
          <w:noProof/>
        </w:rPr>
        <w:t>Oprócz tego wniosek dotyczący programu na rzecz jednolitego rynku</w:t>
      </w:r>
      <w:r>
        <w:rPr>
          <w:rStyle w:val="FootnoteReference"/>
          <w:noProof/>
        </w:rPr>
        <w:footnoteReference w:id="7"/>
      </w:r>
      <w:r>
        <w:rPr>
          <w:noProof/>
        </w:rPr>
        <w:t>, obecnie w fazie dyskusji międzyinstytucjonalnych, zapewnia ramy finansowania opracowywania, tworzenia i rozpowszechniania statystyk europejskich. Realizacja unijnej polityki wymaga porównywalnych i wiarygodnych informacji statystycznych wysokiej jakości na temat sytuacji gospodarczej, społecznej, terytorialnej i środowiskowej w Unii. Ponadto europejskie statystyki pozwalają obywatelom Unii zrozumieć demokratyczne procesy i debaty na temat obecnego i przyszłego stanu Unii oraz w nich uczestniczyć. W przypadku statystyk rolnictwa nacisk kładzie się na zapewnianie aktualnych i wiarygodnych danych na potrzeby wspólnej polityki rolnej, wspólnej polityki rybołówstwa oraz polityk dotyczących środowiska, bezpieczeństwa żywnościowego i dobrostanu zwierząt.</w:t>
      </w:r>
    </w:p>
    <w:p>
      <w:pPr>
        <w:pBdr>
          <w:top w:val="nil"/>
          <w:left w:val="nil"/>
          <w:bottom w:val="nil"/>
          <w:right w:val="nil"/>
          <w:between w:val="nil"/>
          <w:bar w:val="nil"/>
        </w:pBdr>
        <w:spacing w:before="0" w:after="240"/>
        <w:rPr>
          <w:noProof/>
        </w:rPr>
      </w:pPr>
      <w:r>
        <w:rPr>
          <w:noProof/>
        </w:rPr>
        <w:t>Statystyki rolnictwa zapewniają wysokiej jakości informacje statystyczne dla celów wdrażania i monitorowania wspólnej polityki rolnej. WPR jest ważnym motorem tworzenia miejsc pracy oraz inteligentnego i zrównoważonego wzrostu sprzyjającego włączeniu społecznemu w Unii. Oprócz celów społecznych do głównych celów polityki rozwoju obszarów wiejskich, jako integralnej części WPR, należy poprawa konkurencyjności i zrównoważonego charakteru produkcji rolnej. W kontekście wieloletnich ram finansowych na lata 2014–2020 WPR stanowi ponad 37 % całkowitego budżetu Unii.</w:t>
      </w:r>
    </w:p>
    <w:p>
      <w:pPr>
        <w:pBdr>
          <w:top w:val="nil"/>
          <w:left w:val="nil"/>
          <w:bottom w:val="nil"/>
          <w:right w:val="nil"/>
          <w:between w:val="nil"/>
          <w:bar w:val="nil"/>
        </w:pBdr>
        <w:spacing w:before="0" w:after="240"/>
        <w:rPr>
          <w:noProof/>
        </w:rPr>
      </w:pPr>
      <w:r>
        <w:rPr>
          <w:noProof/>
        </w:rPr>
        <w:t>Statystyki rolnictwa są coraz częściej potrzebne do realizacji innych kluczowych strategii politycznych UE, takich jak Europejski Zielony Ład, strategie ochrony środowiska i przeciwdziałania zmianie klimatu, polityka handlowa, społeczna, regionalna itp.</w:t>
      </w:r>
    </w:p>
    <w:p>
      <w:pPr>
        <w:pStyle w:val="ManualHeading1"/>
        <w:rPr>
          <w:noProof/>
        </w:rPr>
      </w:pPr>
      <w:r>
        <w:rPr>
          <w:noProof/>
        </w:rPr>
        <w:lastRenderedPageBreak/>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pPr>
        <w:pBdr>
          <w:top w:val="nil"/>
          <w:left w:val="nil"/>
          <w:bottom w:val="nil"/>
          <w:right w:val="nil"/>
          <w:between w:val="nil"/>
          <w:bar w:val="nil"/>
        </w:pBdr>
        <w:spacing w:before="0" w:after="240"/>
        <w:rPr>
          <w:noProof/>
        </w:rPr>
      </w:pPr>
      <w:r>
        <w:rPr>
          <w:noProof/>
        </w:rPr>
        <w:t>Podstawą prawną dla statystyki europejskiej jest art. 338 Traktatu o funkcjonowaniu Unii Europejskiej (TFUE). Parlament Europejski i Rada, stanowiąc zgodnie ze zwykłą procedurą ustawodawczą, uchwalają środki w celu tworzenia statystyk, jeżeli statystyki te są konieczne do wykonywania działań Unii. Art. 338 określa wymogi w zakresie tworzenia statystyk europejskich, stanowiąc, że muszą one być zgodne z normami bezstronności, rzetelności, obiektywizmu, niezależności naukowej, efektywności pod względem kosztów oraz poufności informacji statystycznych.</w:t>
      </w:r>
      <w:r>
        <w:rPr>
          <w:noProof/>
        </w:rPr>
        <w:tab/>
      </w:r>
    </w:p>
    <w:p>
      <w:pPr>
        <w:pBdr>
          <w:top w:val="nil"/>
          <w:left w:val="nil"/>
          <w:bottom w:val="nil"/>
          <w:right w:val="nil"/>
          <w:between w:val="nil"/>
          <w:bar w:val="nil"/>
        </w:pBdr>
        <w:spacing w:before="0" w:after="240"/>
        <w:rPr>
          <w:noProof/>
        </w:rPr>
      </w:pPr>
      <w:r>
        <w:rPr>
          <w:noProof/>
        </w:rPr>
        <w:t>Podstawą prawną sprawozdań dotyczących jakości jest art. 12 rozporządzenia (WE) nr 223/2009 Parlamentu Europejskiego i Rady</w:t>
      </w:r>
      <w:r>
        <w:rPr>
          <w:rStyle w:val="FootnoteReference"/>
          <w:noProof/>
        </w:rPr>
        <w:footnoteReference w:id="8"/>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Pomocniczość (w przypadku kompetencji niewyłącznych) </w:t>
      </w:r>
    </w:p>
    <w:p>
      <w:pPr>
        <w:pBdr>
          <w:top w:val="nil"/>
          <w:left w:val="nil"/>
          <w:bottom w:val="nil"/>
          <w:right w:val="nil"/>
          <w:between w:val="nil"/>
          <w:bar w:val="nil"/>
        </w:pBdr>
        <w:tabs>
          <w:tab w:val="left" w:pos="720"/>
        </w:tabs>
        <w:spacing w:before="0" w:after="240"/>
        <w:rPr>
          <w:rFonts w:eastAsia="Arial Unicode MS"/>
          <w:noProof/>
        </w:rPr>
      </w:pPr>
      <w:r>
        <w:rPr>
          <w:noProof/>
        </w:rPr>
        <w:t>Zasada pomocniczości ma zastosowanie, jeżeli wniosek nie wchodzi w zakres wyłącznych kompetencji Unii. ESS zapewnia infrastrukturę na potrzeby informacji statystycznych. System ten jest zaprojektowany w taki sposób, aby był w stanie zaspokoić potrzeby wielu różnych użytkowników w procesie podejmowania decyzji w społeczeństwach demokratycznych. Niniejszy wniosek dotyczący rozporządzenia został opracowany w celu ochrony podstawowych działań partnerów ESS przy jednoczesnym zapewnieniu lepszej jakości i porównywalności statystyk rolnictwa.</w:t>
      </w:r>
    </w:p>
    <w:p>
      <w:pPr>
        <w:pBdr>
          <w:top w:val="nil"/>
          <w:left w:val="nil"/>
          <w:bottom w:val="nil"/>
          <w:right w:val="nil"/>
          <w:between w:val="nil"/>
          <w:bar w:val="nil"/>
        </w:pBdr>
        <w:tabs>
          <w:tab w:val="left" w:pos="720"/>
        </w:tabs>
        <w:spacing w:before="0" w:after="240"/>
        <w:rPr>
          <w:rFonts w:eastAsia="Arial Unicode MS"/>
          <w:noProof/>
        </w:rPr>
      </w:pPr>
      <w:r>
        <w:rPr>
          <w:noProof/>
        </w:rPr>
        <w:t xml:space="preserve">Jednymi z głównych kryteriów, które muszą spełniać dane statystyczne, są spójność i porównywalność. Państwa członkowskie nie są w stanie osiągnąć niezbędnej spójności i porównywalności bez jasnych ram europejskich, tj. unijnego prawodawstwa określającego wspólne pojęcia statystyczne, formaty sprawozdawczości oraz wymogi jakościowe. </w:t>
      </w:r>
    </w:p>
    <w:p>
      <w:pPr>
        <w:pBdr>
          <w:top w:val="nil"/>
          <w:left w:val="nil"/>
          <w:bottom w:val="nil"/>
          <w:right w:val="nil"/>
          <w:between w:val="nil"/>
          <w:bar w:val="nil"/>
        </w:pBdr>
        <w:tabs>
          <w:tab w:val="left" w:pos="720"/>
        </w:tabs>
        <w:spacing w:before="0" w:after="240"/>
        <w:rPr>
          <w:rFonts w:eastAsia="Arial Unicode MS"/>
          <w:noProof/>
        </w:rPr>
      </w:pPr>
      <w:r>
        <w:rPr>
          <w:noProof/>
        </w:rPr>
        <w:t>Wymóg porównywalności jest bardzo istotny dla statystyki rolnictwa ze względu na WPR. Państwa członkowskie działające niezależnie nie są w stanie osiągnąć w sposób wystarczający celu proponowanego działania. Skuteczniejsze działanie można podjąć na szczeblu Unii, na podstawie unijnego aktu prawnego zapewniającego porównywalność informacji statystycznych w dziedzinach statystycznych objętych proponowanym aktem. Samo gromadzenie danych może być prowadzone przez państwa członkowskie.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pPr>
        <w:tabs>
          <w:tab w:val="left" w:pos="720"/>
        </w:tabs>
        <w:rPr>
          <w:rFonts w:eastAsia="Calibri"/>
          <w:noProof/>
          <w:szCs w:val="24"/>
        </w:rPr>
      </w:pPr>
      <w:r>
        <w:rPr>
          <w:noProof/>
        </w:rPr>
        <w:t>Wniosek jest zgodny z zasadą proporcjonalności z następujących względów:</w:t>
      </w:r>
    </w:p>
    <w:p>
      <w:pPr>
        <w:tabs>
          <w:tab w:val="left" w:pos="720"/>
        </w:tabs>
        <w:rPr>
          <w:rFonts w:eastAsia="Arial Unicode MS"/>
          <w:noProof/>
        </w:rPr>
      </w:pPr>
      <w:r>
        <w:rPr>
          <w:noProof/>
        </w:rPr>
        <w:t>Zapewni on jakość i porównywalność europejskich statystyk rolnictwa gromadzonych i zestawianych przez stosowanie tych samych zasad we wszystkich państwach członkowskich. Sprawi również, że europejskie statystyki rolnictwa pozostaną przydatne i będą dostosowane do potrzeb użytkowników. Rozporządzenie zwiększy opłacalność tworzenia statystyk przy jednoczesnym poszanowaniu specyficznych cech systemów państw członkowskich.</w:t>
      </w:r>
    </w:p>
    <w:p>
      <w:pPr>
        <w:tabs>
          <w:tab w:val="left" w:pos="720"/>
        </w:tabs>
        <w:rPr>
          <w:rFonts w:eastAsia="Calibri"/>
          <w:noProof/>
          <w:szCs w:val="24"/>
        </w:rPr>
      </w:pPr>
      <w:r>
        <w:rPr>
          <w:noProof/>
        </w:rPr>
        <w:lastRenderedPageBreak/>
        <w:t xml:space="preserve">Zgodnie z zasadą proporcjonalności zakres proponowanego rozporządzenia jest ograniczony do niezbędnego minimum i nie wykracza poza to, co jest konieczne do osiągnięcia jego celów. </w:t>
      </w:r>
    </w:p>
    <w:p>
      <w:pPr>
        <w:pStyle w:val="ManualHeading2"/>
        <w:rPr>
          <w:rFonts w:eastAsia="Arial Unicode MS"/>
          <w:noProof/>
          <w:u w:color="000000"/>
          <w:bdr w:val="nil"/>
        </w:rPr>
      </w:pPr>
      <w:r>
        <w:rPr>
          <w:noProof/>
          <w:u w:color="000000"/>
          <w:bdr w:val="nil"/>
        </w:rPr>
        <w:t>•</w:t>
      </w:r>
      <w:r>
        <w:rPr>
          <w:noProof/>
        </w:rPr>
        <w:tab/>
      </w:r>
      <w:r>
        <w:rPr>
          <w:noProof/>
          <w:u w:color="000000"/>
          <w:bdr w:val="nil"/>
        </w:rPr>
        <w:t>Wybór instrumentu</w:t>
      </w:r>
    </w:p>
    <w:p>
      <w:pPr>
        <w:pBdr>
          <w:top w:val="nil"/>
          <w:left w:val="nil"/>
          <w:bottom w:val="nil"/>
          <w:right w:val="nil"/>
          <w:between w:val="nil"/>
          <w:bar w:val="nil"/>
        </w:pBdr>
        <w:tabs>
          <w:tab w:val="left" w:pos="720"/>
        </w:tabs>
        <w:spacing w:before="0" w:after="240"/>
        <w:rPr>
          <w:rFonts w:eastAsia="Arial Unicode MS"/>
          <w:noProof/>
        </w:rPr>
      </w:pPr>
      <w:r>
        <w:rPr>
          <w:noProof/>
        </w:rPr>
        <w:t>Proponowany instrument: rozporządzenie.</w:t>
      </w:r>
    </w:p>
    <w:p>
      <w:pPr>
        <w:pBdr>
          <w:top w:val="nil"/>
          <w:left w:val="nil"/>
          <w:bottom w:val="nil"/>
          <w:right w:val="nil"/>
          <w:between w:val="nil"/>
          <w:bar w:val="nil"/>
        </w:pBdr>
        <w:tabs>
          <w:tab w:val="left" w:pos="720"/>
        </w:tabs>
        <w:spacing w:before="0" w:after="240"/>
        <w:rPr>
          <w:rFonts w:eastAsia="Calibri"/>
          <w:noProof/>
        </w:rPr>
      </w:pPr>
      <w:r>
        <w:rPr>
          <w:noProof/>
        </w:rPr>
        <w:t xml:space="preserve">Mając na uwadze cele i treść wniosku, za najbardziej odpowiedni instrument uznaje się rozporządzenie. Ważne wspólne polityki UE, takie jak WPR, są z natury uzależnione od porównywalnych i zharmonizowanych wysokiej jakości statystyk rolnictwa na poziomie europejskim. Statystyki te można najskuteczniej zapewnić w drodze rozporządzeń, które są bezpośrednio stosowane w państwach członkowskich i nie wymagają uprzedniej transpozycji do prawa krajowego. </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u w:color="000000"/>
          <w:bdr w:val="nil"/>
        </w:rPr>
        <w:t>•</w:t>
      </w:r>
      <w:r>
        <w:rPr>
          <w:noProof/>
        </w:rPr>
        <w:tab/>
      </w:r>
      <w:r>
        <w:rPr>
          <w:noProof/>
          <w:u w:color="000000"/>
          <w:bdr w:val="nil"/>
        </w:rPr>
        <w:t>Oceny ex post/oceny adekwatności obowiązującego prawodawstwa</w:t>
      </w:r>
    </w:p>
    <w:p>
      <w:pPr>
        <w:pBdr>
          <w:top w:val="nil"/>
          <w:left w:val="nil"/>
          <w:bottom w:val="nil"/>
          <w:right w:val="nil"/>
          <w:between w:val="nil"/>
          <w:bar w:val="nil"/>
        </w:pBdr>
        <w:tabs>
          <w:tab w:val="left" w:pos="720"/>
        </w:tabs>
        <w:spacing w:before="0" w:after="240"/>
        <w:rPr>
          <w:rFonts w:eastAsia="Arial Unicode MS"/>
          <w:noProof/>
        </w:rPr>
      </w:pPr>
      <w:r>
        <w:rPr>
          <w:noProof/>
        </w:rPr>
        <w:t xml:space="preserve">W ocenie europejskiego systemu statystyki rolnictwa, przeprowadzonej na potrzeby strategii dotyczącej statystyki rolnictwa na rok 2020 i na okres późniejszy, wskazano na potrzebę bardziej systematycznego podejścia do całej dziedziny rolnictwa. </w:t>
      </w:r>
    </w:p>
    <w:p>
      <w:pPr>
        <w:pBdr>
          <w:top w:val="nil"/>
          <w:left w:val="nil"/>
          <w:bottom w:val="nil"/>
          <w:right w:val="nil"/>
          <w:between w:val="nil"/>
          <w:bar w:val="nil"/>
        </w:pBdr>
        <w:tabs>
          <w:tab w:val="left" w:pos="720"/>
        </w:tabs>
        <w:spacing w:before="0" w:after="240"/>
        <w:rPr>
          <w:rFonts w:eastAsia="Arial Unicode MS"/>
          <w:noProof/>
        </w:rPr>
      </w:pPr>
      <w:r>
        <w:rPr>
          <w:noProof/>
        </w:rPr>
        <w:t>Ocena systemu statystyki rolnictwa pokazała, że:</w:t>
      </w:r>
    </w:p>
    <w:p>
      <w:pPr>
        <w:pStyle w:val="Bullet0"/>
        <w:rPr>
          <w:noProof/>
        </w:rPr>
      </w:pPr>
      <w:r>
        <w:rPr>
          <w:noProof/>
        </w:rPr>
        <w:t>obecne prawodawstwo dotyczące statystyki rolnictwa nie zaspokaja w wystarczający sposób nowych i pojawiających się potrzeb w zakresie danych, ponieważ dostarczanie tych danych nie jest objęte tym prawodawstwem. Ponadto przedmiotowe akty prawne nie są wystarczająco elastyczne i zintegrowane, aby dostatecznie szybko reagować na nowe potrzeby;</w:t>
      </w:r>
    </w:p>
    <w:p>
      <w:pPr>
        <w:pStyle w:val="Bullet0"/>
        <w:rPr>
          <w:noProof/>
        </w:rPr>
      </w:pPr>
      <w:r>
        <w:rPr>
          <w:noProof/>
        </w:rPr>
        <w:t>EASS nie jest wystarczająco elastyczny i nie reaguje dostatecznie szybko na pojawiające się potrzeby, częściowo ze względu na samo funkcjonowanie statystyki, częściowo z uwagi na konstrukcję rozporządzeń, a także z powodu braków budżetowych i kadrowych;</w:t>
      </w:r>
    </w:p>
    <w:p>
      <w:pPr>
        <w:pStyle w:val="Bullet0"/>
        <w:rPr>
          <w:noProof/>
        </w:rPr>
      </w:pPr>
      <w:r>
        <w:rPr>
          <w:noProof/>
        </w:rPr>
        <w:t>zbiory danych nie są dostatecznie zharmonizowane ani spójne, ponieważ pojawiają się nowe potrzeby w zakresie danych, prawodawstwo było od wielu lat opracowywane oddzielnie i w różnych obszarach rolnictwa czasami stosuje się odmienne definicje i pojęcia;</w:t>
      </w:r>
    </w:p>
    <w:p>
      <w:pPr>
        <w:pStyle w:val="Bullet0"/>
        <w:rPr>
          <w:noProof/>
        </w:rPr>
      </w:pPr>
      <w:r>
        <w:rPr>
          <w:noProof/>
        </w:rPr>
        <w:t>statystyki mogłyby być tworzone bardziej efektywnie, gdyby prawodawstwo zostało dostosowane tak, aby umożliwić stosowanie różnych źródeł informacji, a państwa członkowskie przystosowały się do nowoczesnej technologii.</w:t>
      </w:r>
    </w:p>
    <w:p>
      <w:pPr>
        <w:tabs>
          <w:tab w:val="left" w:pos="720"/>
        </w:tabs>
        <w:rPr>
          <w:rFonts w:eastAsia="Calibri"/>
          <w:noProof/>
        </w:rPr>
      </w:pPr>
      <w:r>
        <w:rPr>
          <w:noProof/>
        </w:rPr>
        <w:t>Na potrzeby oceny przeprowadzono konsultacje publiczne, których wyniki przedstawiono w odrębnym sprawozdaniu</w:t>
      </w:r>
      <w:r>
        <w:rPr>
          <w:rStyle w:val="FootnoteReference"/>
          <w:noProof/>
        </w:rPr>
        <w:footnoteReference w:id="9"/>
      </w:r>
      <w:r>
        <w:rPr>
          <w:noProof/>
        </w:rPr>
        <w:t>.</w:t>
      </w:r>
    </w:p>
    <w:p>
      <w:pPr>
        <w:pBdr>
          <w:top w:val="nil"/>
          <w:left w:val="nil"/>
          <w:bottom w:val="nil"/>
          <w:right w:val="nil"/>
          <w:between w:val="nil"/>
          <w:bar w:val="nil"/>
        </w:pBdr>
        <w:tabs>
          <w:tab w:val="left" w:pos="720"/>
        </w:tabs>
        <w:spacing w:before="0" w:after="240"/>
        <w:rPr>
          <w:rFonts w:eastAsia="Arial Unicode MS"/>
          <w:noProof/>
        </w:rPr>
      </w:pPr>
      <w:r>
        <w:rPr>
          <w:noProof/>
        </w:rPr>
        <w:lastRenderedPageBreak/>
        <w:t xml:space="preserve">W opracowanej następnie strategii dotyczącej statystyki rolnictwa stwierdzono, że statystyka ta musi być zaprojektowana i musi funkcjonować jako system, którego elementy do siebie pasują, dając wynik bardziej znaczący niż suma tych elementów. Statystyka rolnictwa musi ponadto płynnie wpasowywać się w cały Europejski System Statystyczny. Źródła danych muszą być zróżnicowane. Na ile to możliwe, wykorzystywać należy inne źródła danych; w proces ten należy włączyć ICT i inne nowe technologie (np. duże zbiory danych, innowacje oparte na badaniach naukowych); skuteczność i efektywność metod gromadzenia danych musi być oceniana z perspektywy potrzeb w zakresie danych i kryteriów jakości, a obecne rozdrobnione procesy gromadzenia danych powinny zostać usunięte. </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pPr>
        <w:pBdr>
          <w:top w:val="nil"/>
          <w:left w:val="nil"/>
          <w:bottom w:val="nil"/>
          <w:right w:val="nil"/>
          <w:between w:val="nil"/>
          <w:bar w:val="nil"/>
        </w:pBdr>
        <w:tabs>
          <w:tab w:val="left" w:pos="720"/>
        </w:tabs>
        <w:spacing w:before="0" w:after="240"/>
        <w:rPr>
          <w:rFonts w:eastAsia="Arial Unicode MS"/>
          <w:noProof/>
        </w:rPr>
      </w:pPr>
      <w:r>
        <w:rPr>
          <w:noProof/>
        </w:rPr>
        <w:t>Eurostat opracowuje, tworzy i rozpowszechnia europejskie statystyki rolnictwa w ścisłej, skoordynowanej i regularnej współpracy w ramach ESS, w oparciu o długotrwałe partnerstwo z krajowymi urzędami statystycznymi i innymi właściwymi organami.</w:t>
      </w:r>
    </w:p>
    <w:p>
      <w:pPr>
        <w:pBdr>
          <w:top w:val="nil"/>
          <w:left w:val="nil"/>
          <w:bottom w:val="nil"/>
          <w:right w:val="nil"/>
          <w:between w:val="nil"/>
          <w:bar w:val="nil"/>
        </w:pBdr>
        <w:tabs>
          <w:tab w:val="left" w:pos="720"/>
        </w:tabs>
        <w:spacing w:before="0" w:after="240"/>
        <w:rPr>
          <w:rFonts w:eastAsia="Arial Unicode MS"/>
          <w:noProof/>
        </w:rPr>
      </w:pPr>
      <w:r>
        <w:rPr>
          <w:noProof/>
        </w:rPr>
        <w:t>Na ogólnym poziomie i w odniesieniu do strategii dotyczącej statystyki rolnictwa na rok 2020 i na okres późniejszy główne kategorie zainteresowanych stron w dziedzinie europejskiej statystyki rolnictwa stanowią podmioty tworzące dane (krajowe urzędy statystyczne i inne organy krajowe, a także Eurostat), respondenci (rolnicy, organizacje rolników i przedsiębiorstwa rolne) oraz użytkownicy (badacze, dziennikarze oraz prywatne i publiczne podmioty kształtujące politykę, w tym inne departamenty Komisji). Z tymi zainteresowanymi stronami przeprowadzono szeroko zakrojone konsultacje dotyczące problemów i pożądanych zmian w status quo, ich potrzeb i priorytetów, możliwych wariantów polityki służących rozwiązaniu tych problemów, skutków proponowanych działań oraz w szczególności sformułowania strategii. Za najważniejsze fora tych konsultacji posłużyły: (i) spotkania i seminaria Stałego Komitetu ds. Statystyk Rolniczych (CPSA) i jego następcy Grupy Dyrektorów ds. Statystyk Rolnictwa (DGAS) (złożonej z dyrektorów ds. statystyk rolnictwa krajowych urzędów statystycznych), podczas których często głos zabierają departamenty Komisji, organizacje międzynarodowe i organizacje rolników; (ii) spotkania Komitetu ds. Europejskiego Systemu Statystycznego (złożonego z dyrektorów generalnych krajowych urzędów statystycznych) oraz (iii) regularnie organizowane konsultacje i wysłuchania w departamentach Komisji. Ponadto na platformie Komisji Europejskiej „Wyraź swoją opinię” opublikowano plan działania dotyczący wniosku ustawodawczego w sprawie statystyki dotyczącej nakładów i produkcji w rolnictwie (SAIO) i przez 4 tygodnie zbierano uwagi opinii publicznej na ten temat.</w:t>
      </w:r>
    </w:p>
    <w:p>
      <w:pPr>
        <w:pBdr>
          <w:top w:val="nil"/>
          <w:left w:val="nil"/>
          <w:bottom w:val="nil"/>
          <w:right w:val="nil"/>
          <w:between w:val="nil"/>
          <w:bar w:val="nil"/>
        </w:pBdr>
        <w:tabs>
          <w:tab w:val="left" w:pos="720"/>
        </w:tabs>
        <w:spacing w:before="0" w:after="240"/>
        <w:rPr>
          <w:rFonts w:eastAsia="Arial Unicode MS"/>
          <w:noProof/>
        </w:rPr>
      </w:pPr>
      <w:r>
        <w:rPr>
          <w:noProof/>
        </w:rPr>
        <w:t>Wyniki wszystkich tych konsultacji wzięto pod uwagę w ocenie wspomnianej powyżej oraz w pracach nad niniejszym wnioskiem.</w:t>
      </w:r>
    </w:p>
    <w:p>
      <w:pPr>
        <w:pStyle w:val="ManualHeading2"/>
        <w:rPr>
          <w:rFonts w:eastAsia="Arial Unicode MS"/>
          <w:noProof/>
          <w:u w:color="000000"/>
          <w:bdr w:val="nil"/>
        </w:rPr>
      </w:pPr>
      <w:r>
        <w:rPr>
          <w:noProof/>
          <w:u w:color="000000"/>
          <w:bdr w:val="nil"/>
        </w:rPr>
        <w:t>•</w:t>
      </w:r>
      <w:r>
        <w:rPr>
          <w:noProof/>
        </w:rPr>
        <w:tab/>
      </w:r>
      <w:r>
        <w:rPr>
          <w:noProof/>
          <w:u w:color="000000"/>
          <w:bdr w:val="nil"/>
        </w:rPr>
        <w:t>Gromadzenie i wykorzystanie wiedzy eksperckiej</w:t>
      </w:r>
    </w:p>
    <w:p>
      <w:pPr>
        <w:pBdr>
          <w:top w:val="nil"/>
          <w:left w:val="nil"/>
          <w:bottom w:val="nil"/>
          <w:right w:val="nil"/>
          <w:between w:val="nil"/>
          <w:bar w:val="nil"/>
        </w:pBdr>
        <w:tabs>
          <w:tab w:val="left" w:pos="720"/>
        </w:tabs>
        <w:spacing w:before="0" w:after="240"/>
        <w:rPr>
          <w:rFonts w:eastAsia="Arial Unicode MS"/>
          <w:noProof/>
        </w:rPr>
      </w:pPr>
      <w:r>
        <w:rPr>
          <w:noProof/>
        </w:rPr>
        <w:t xml:space="preserve">Eurostat przeprowadził szerokie dyskusje nad treścią niniejszego wniosku z krajowymi urzędami statystycznymi za pośrednictwem właściwych grup zadaniowych oraz istniejących grup ekspertów, w tym na poziomie dyrektorów. </w:t>
      </w:r>
    </w:p>
    <w:p>
      <w:pPr>
        <w:pBdr>
          <w:top w:val="nil"/>
          <w:left w:val="nil"/>
          <w:bottom w:val="nil"/>
          <w:right w:val="nil"/>
          <w:between w:val="nil"/>
          <w:bar w:val="nil"/>
        </w:pBdr>
        <w:tabs>
          <w:tab w:val="left" w:pos="720"/>
        </w:tabs>
        <w:spacing w:before="0" w:after="240"/>
        <w:rPr>
          <w:rFonts w:eastAsia="Arial Unicode MS"/>
          <w:noProof/>
        </w:rPr>
      </w:pPr>
      <w:r>
        <w:rPr>
          <w:noProof/>
        </w:rPr>
        <w:t xml:space="preserve">Wniosek przedstawiono też Komitetowi ds. Europejskiego Systemu Statystycznego w październiku 2020 r.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Ocena skutków</w:t>
      </w:r>
    </w:p>
    <w:p>
      <w:pPr>
        <w:pBdr>
          <w:top w:val="nil"/>
          <w:left w:val="nil"/>
          <w:bottom w:val="nil"/>
          <w:right w:val="nil"/>
          <w:between w:val="nil"/>
          <w:bar w:val="nil"/>
        </w:pBdr>
        <w:tabs>
          <w:tab w:val="left" w:pos="720"/>
        </w:tabs>
        <w:rPr>
          <w:rFonts w:eastAsia="Calibri"/>
          <w:noProof/>
        </w:rPr>
      </w:pPr>
      <w:r>
        <w:rPr>
          <w:noProof/>
        </w:rPr>
        <w:t>Ocena skutków strategii dotyczącej statystyki rolnictwa na rok 2020 i na okres późniejszy</w:t>
      </w:r>
      <w:r>
        <w:rPr>
          <w:rStyle w:val="FootnoteReference"/>
          <w:noProof/>
        </w:rPr>
        <w:footnoteReference w:id="10"/>
      </w:r>
      <w:r>
        <w:rPr>
          <w:noProof/>
        </w:rPr>
        <w:t>, której elementem jest SAIO, spotkała się z pozytywną opinią Rady ds. Kontroli Regulacyjnej</w:t>
      </w:r>
      <w:r>
        <w:rPr>
          <w:rStyle w:val="FootnoteReference"/>
          <w:noProof/>
        </w:rPr>
        <w:footnoteReference w:id="11"/>
      </w:r>
      <w:r>
        <w:rPr>
          <w:noProof/>
        </w:rPr>
        <w:t>.</w:t>
      </w:r>
    </w:p>
    <w:p>
      <w:pPr>
        <w:pBdr>
          <w:top w:val="nil"/>
          <w:left w:val="nil"/>
          <w:bottom w:val="nil"/>
          <w:right w:val="nil"/>
          <w:between w:val="nil"/>
          <w:bar w:val="nil"/>
        </w:pBdr>
        <w:tabs>
          <w:tab w:val="left" w:pos="720"/>
        </w:tabs>
        <w:spacing w:before="0" w:after="240"/>
        <w:rPr>
          <w:rFonts w:eastAsia="Calibri"/>
          <w:noProof/>
          <w:szCs w:val="24"/>
        </w:rPr>
      </w:pPr>
      <w:r>
        <w:rPr>
          <w:noProof/>
        </w:rPr>
        <w:t>Ocenę skutków przeprowadzono na poziomie strategii ze względu na zastosowanie systematycznego podejścia w całym systemie statystyki rolnictwa, aby zapewnić dopasowanie wszystkich elementów.</w:t>
      </w:r>
    </w:p>
    <w:p>
      <w:pPr>
        <w:pBdr>
          <w:top w:val="nil"/>
          <w:left w:val="nil"/>
          <w:bottom w:val="nil"/>
          <w:right w:val="nil"/>
          <w:between w:val="nil"/>
          <w:bar w:val="nil"/>
        </w:pBdr>
        <w:tabs>
          <w:tab w:val="left" w:pos="720"/>
        </w:tabs>
        <w:spacing w:before="0" w:after="240"/>
        <w:rPr>
          <w:rFonts w:eastAsia="Calibri"/>
          <w:noProof/>
          <w:szCs w:val="24"/>
        </w:rPr>
      </w:pPr>
      <w:r>
        <w:rPr>
          <w:noProof/>
        </w:rPr>
        <w:t>Analizie poddano cztery warianty:</w:t>
      </w:r>
    </w:p>
    <w:p>
      <w:pPr>
        <w:pStyle w:val="Point0"/>
        <w:rPr>
          <w:noProof/>
        </w:rPr>
      </w:pPr>
      <w:r>
        <w:rPr>
          <w:noProof/>
        </w:rPr>
        <w:t>1)</w:t>
      </w:r>
      <w:r>
        <w:rPr>
          <w:noProof/>
        </w:rPr>
        <w:tab/>
        <w:t xml:space="preserve">scenariusz bazowy – brak działania UE w zakresie danych strukturalnych w dziedzinie rolnictwa: ten wariant pozostawiłby gromadzenie danych w gestii państw członkowskich, prowadząc do rozbieżnych podejść i jakości; </w:t>
      </w:r>
    </w:p>
    <w:p>
      <w:pPr>
        <w:pStyle w:val="Point0"/>
        <w:rPr>
          <w:noProof/>
        </w:rPr>
      </w:pPr>
      <w:r>
        <w:rPr>
          <w:noProof/>
        </w:rPr>
        <w:t>2)</w:t>
      </w:r>
      <w:r>
        <w:rPr>
          <w:noProof/>
        </w:rPr>
        <w:tab/>
        <w:t>przedłużenie obowiązywania rozporządzenia (WE) nr 1166/2008: ten wariant oznaczałby utrzymanie status quo;</w:t>
      </w:r>
    </w:p>
    <w:p>
      <w:pPr>
        <w:pStyle w:val="Point0"/>
        <w:rPr>
          <w:noProof/>
        </w:rPr>
      </w:pPr>
      <w:r>
        <w:rPr>
          <w:noProof/>
        </w:rPr>
        <w:t>3)</w:t>
      </w:r>
      <w:r>
        <w:rPr>
          <w:noProof/>
        </w:rPr>
        <w:tab/>
        <w:t>jednolite ramy prawne dla wszystkich statystyk rolnictwa: ten wariant objąłby gromadzenie wszystkich danych statystycznych w dziedzinie rolnictwa jednym nowym rozporządzeniem ramowym;</w:t>
      </w:r>
    </w:p>
    <w:p>
      <w:pPr>
        <w:pStyle w:val="Point0"/>
        <w:rPr>
          <w:noProof/>
        </w:rPr>
      </w:pPr>
      <w:r>
        <w:rPr>
          <w:noProof/>
        </w:rPr>
        <w:t>4)</w:t>
      </w:r>
      <w:r>
        <w:rPr>
          <w:noProof/>
        </w:rPr>
        <w:tab/>
        <w:t>dwuetapowa integracja statystyk rolnictwa: ten wariant zachowałby korzyści, jakie daje wariant 3, przy jednoczesnym zwiększeniu elastyczności i zmniejszeniu presji czasowej, dzięki wprowadzeniu dwóch nowych rozporządzeń ramowych w dwóch odrębnych etapach.</w:t>
      </w:r>
    </w:p>
    <w:p>
      <w:pPr>
        <w:pBdr>
          <w:top w:val="nil"/>
          <w:left w:val="nil"/>
          <w:bottom w:val="nil"/>
          <w:right w:val="nil"/>
          <w:between w:val="nil"/>
          <w:bar w:val="nil"/>
        </w:pBdr>
        <w:tabs>
          <w:tab w:val="left" w:pos="720"/>
        </w:tabs>
        <w:spacing w:before="0" w:after="240"/>
        <w:rPr>
          <w:rFonts w:eastAsia="Calibri"/>
          <w:noProof/>
          <w:szCs w:val="24"/>
        </w:rPr>
      </w:pPr>
      <w:r>
        <w:rPr>
          <w:noProof/>
        </w:rPr>
        <w:t>Jako wariant preferowany wskazano wariant 4, gdyż oferuje on najlepszy sposób osiągnięcia wyznaczonych celów.</w:t>
      </w:r>
    </w:p>
    <w:p>
      <w:pPr>
        <w:pBdr>
          <w:top w:val="nil"/>
          <w:left w:val="nil"/>
          <w:bottom w:val="nil"/>
          <w:right w:val="nil"/>
          <w:between w:val="nil"/>
          <w:bar w:val="nil"/>
        </w:pBdr>
        <w:tabs>
          <w:tab w:val="left" w:pos="720"/>
        </w:tabs>
        <w:spacing w:before="0" w:after="240"/>
        <w:rPr>
          <w:rFonts w:eastAsia="Calibri"/>
          <w:noProof/>
          <w:szCs w:val="24"/>
        </w:rPr>
      </w:pPr>
      <w:r>
        <w:rPr>
          <w:noProof/>
        </w:rPr>
        <w:t xml:space="preserve">W ocenie skutków stwierdzono, że w ramach preferowanego wariantu EASS powinien ostatecznie zostać objęty trzema rozporządzeniami. Dwa z tych rozporządzeń będą nowe i zastąpią kilka starszych unijnych rozporządzeń w dziedzinie statystyki rolnictwa. Pierwsze z nich, rozporządzenie (UE) 2018/1091 w sprawie zintegrowanych statystyk dotyczących gospodarstw rolnych, które obejmuje dane dotyczące struktury gospodarstw rolnych, sadów i winnic, zostało przyjęte w 2018 r. Drugie rozporządzenie zawarte jest w niniejszym wniosku dotyczącym rozporządzenia w sprawie statystyki dotyczącej nakładów i produkcji w rolnictwie (SAIO), obejmującej nakłady i produkcję w sektorze rolnictwa: produkcję rolną (roślin i zwierząt), w tym rolnictwo ekologiczne, ceny produktów rolnych, składniki odżywcze i środki ochrony roślin. Trzecie rozporządzenie, o którym mowa w ocenie skutków, dotyczyć będzie zmiany rozporządzenia (WE) nr 138/2004 dotyczącego rachunków ekonomicznych dla rolnictwa. Z uwagi na to, że rachunki ekonomiczne dla rolnictwa są </w:t>
      </w:r>
      <w:r>
        <w:rPr>
          <w:noProof/>
        </w:rPr>
        <w:lastRenderedPageBreak/>
        <w:t>rachunkami satelitarnymi rachunków narodowych i mają charakter makroekonomiczny, nie zaproponowano ich włączenia do nowych rozporządzeń ramowych. Zamiast tego zaproponowano, aby nadal podlegały one odrębnemu prawodawstwu, jak to ma miejsce od 2004 r., kiedy rozporządzenie w sprawie rachunków ekonomicznych dla rolnictwa po raz pierwszy weszło w życie, oraz aby je zmodernizowano równocześnie z SAIO.</w:t>
      </w:r>
    </w:p>
    <w:p>
      <w:pPr>
        <w:pBdr>
          <w:top w:val="nil"/>
          <w:left w:val="nil"/>
          <w:bottom w:val="nil"/>
          <w:right w:val="nil"/>
          <w:between w:val="nil"/>
          <w:bar w:val="nil"/>
        </w:pBdr>
        <w:tabs>
          <w:tab w:val="left" w:pos="720"/>
        </w:tabs>
        <w:spacing w:before="0" w:after="240"/>
        <w:rPr>
          <w:rFonts w:eastAsia="Calibri"/>
          <w:noProof/>
          <w:szCs w:val="24"/>
        </w:rPr>
      </w:pPr>
      <w:r>
        <w:rPr>
          <w:noProof/>
        </w:rPr>
        <w:t xml:space="preserve">Prawodawstwo w dziedzinie statystyki jest przede wszystkim prawodawstwem administracyjnym, mającym wpływ na użytkowników danych (głównie departamenty Komisji kształtujące politykę), podmioty tworzące dane (krajowe urzędy statystyczne) oraz respondentów (rolnicy). Jego bezpośrednie skutki gospodarcze, społeczne i środowiskowe są więc ograniczone. Główne koszty bezpośrednie dla zainteresowanych podmiotów wiążą się z dostosowaniem do nowych systemów statystycznych i technicznych. Szacowano, że w perspektywie średnio- i długoterminowej wynikiem działań modernizacyjnych będą nieco mniejsze obciążenia i oszczędności kosztów. Większość oszczędności miałaby pochodzić z obniżenia wymogów dotyczących pokrycia w rozporządzeniu (UE) 2018/1091. Koszty statystyki trzeba oceniać w stosunku do korzyści społecznych, a także w porównaniu z kosztami braku statystyk lub dostępności wyłącznie statystyk niskiej jakości. </w:t>
      </w:r>
    </w:p>
    <w:p>
      <w:pPr>
        <w:pStyle w:val="ManualHeading2"/>
        <w:rPr>
          <w:rFonts w:eastAsia="Arial Unicode MS"/>
          <w:noProof/>
          <w:u w:color="000000"/>
          <w:bdr w:val="nil"/>
        </w:rPr>
      </w:pPr>
      <w:r>
        <w:rPr>
          <w:noProof/>
          <w:u w:color="000000"/>
          <w:bdr w:val="nil"/>
        </w:rPr>
        <w:t>•</w:t>
      </w:r>
      <w:r>
        <w:rPr>
          <w:noProof/>
        </w:rPr>
        <w:tab/>
      </w:r>
      <w:r>
        <w:rPr>
          <w:noProof/>
          <w:u w:color="000000"/>
          <w:bdr w:val="nil"/>
        </w:rPr>
        <w:t>Sprawność regulacyjna i uproszczenie</w:t>
      </w:r>
    </w:p>
    <w:p>
      <w:pPr>
        <w:pBdr>
          <w:top w:val="nil"/>
          <w:left w:val="nil"/>
          <w:bottom w:val="nil"/>
          <w:right w:val="nil"/>
          <w:between w:val="nil"/>
          <w:bar w:val="nil"/>
        </w:pBdr>
        <w:tabs>
          <w:tab w:val="left" w:pos="720"/>
        </w:tabs>
        <w:spacing w:before="0" w:after="240"/>
        <w:rPr>
          <w:rFonts w:eastAsia="Arial Unicode MS"/>
          <w:noProof/>
        </w:rPr>
      </w:pPr>
      <w:r>
        <w:rPr>
          <w:noProof/>
        </w:rPr>
        <w:t xml:space="preserve">Wniosek jest elementem strategii dotyczącej statystyk rolnictwa na rok 2020 i na okres późniejszy, ważnego programu modernizacji statystyki rolnictwa Unii Europejskiej realizowanego przez Komisję Europejską w ścisłej współpracy z państwami członkowskimi. W szczególności strategia ma na celu usprawnienie i udoskonalenie EASS; wspierana jest przez Komitet ds. Europejskiego Systemu Statystycznego i stanowi część programu sprawności i wydajności regulacyjnej (REFIT). </w:t>
      </w:r>
    </w:p>
    <w:p>
      <w:pPr>
        <w:pBdr>
          <w:top w:val="nil"/>
          <w:left w:val="nil"/>
          <w:bottom w:val="nil"/>
          <w:right w:val="nil"/>
          <w:between w:val="nil"/>
          <w:bar w:val="nil"/>
        </w:pBdr>
        <w:tabs>
          <w:tab w:val="left" w:pos="720"/>
        </w:tabs>
        <w:spacing w:before="0" w:after="240"/>
        <w:rPr>
          <w:rFonts w:eastAsia="Arial Unicode MS"/>
          <w:noProof/>
        </w:rPr>
      </w:pPr>
      <w:r>
        <w:rPr>
          <w:noProof/>
        </w:rPr>
        <w:t xml:space="preserve">Statystyki rolnictwa obecnie opierają się na kilku różnych aktach prawnych i porozumieniach. Należy je zebrać razem i połączyć, aby stworzyć systematyczne podejście. W ten sposób systemy gromadzenia danych statystycznych zostaną uproszczone. Planuje się także umożliwienie stosowania różnych źródeł danych, w tym teledetekcji, aby zmniejszyć obciążenie dla respondentów. </w:t>
      </w:r>
    </w:p>
    <w:p>
      <w:pPr>
        <w:pBdr>
          <w:top w:val="nil"/>
          <w:left w:val="nil"/>
          <w:bottom w:val="nil"/>
          <w:right w:val="nil"/>
          <w:between w:val="nil"/>
          <w:bar w:val="nil"/>
        </w:pBdr>
        <w:tabs>
          <w:tab w:val="left" w:pos="720"/>
        </w:tabs>
        <w:spacing w:before="0" w:after="240"/>
        <w:rPr>
          <w:rFonts w:eastAsia="Arial Unicode MS"/>
          <w:noProof/>
        </w:rPr>
      </w:pPr>
      <w:r>
        <w:rPr>
          <w:noProof/>
        </w:rPr>
        <w:t xml:space="preserve">Wniosek obejmuje zagregowaną produkcję rolną (roślin i zwierząt), w tym rolnictwo ekologiczne, ceny produktów rolnych, składniki odżywcze i środki ochrony roślin. Dotyczy nakładów w rolnictwie (ceny nasion, środków ochrony roślin, paszy itp.) i produkcji rolnej (produkcja roślinna i zwierzęca oraz ceny). Dane mogą pochodzić od gospodarstw rolnych, źródeł danych administracyjnych, pośredników (mleczarni itp.), hurtowników i organizacji rynku, i często obejmują pewną część danych szacunkowych. Wprowadzenie spójnych ram umożliwi w szczególności stworzenie zintegrowanej struktury prawnej, a także lepsze planowanie i większą spójność badań ankietowych i innych zbiorów danych. </w:t>
      </w:r>
    </w:p>
    <w:p>
      <w:pPr>
        <w:pStyle w:val="ManualHeading2"/>
        <w:rPr>
          <w:rFonts w:eastAsia="Arial Unicode MS"/>
          <w:noProof/>
          <w:u w:color="000000"/>
          <w:bdr w:val="nil"/>
        </w:rPr>
      </w:pPr>
      <w:r>
        <w:rPr>
          <w:noProof/>
          <w:u w:color="000000"/>
          <w:bdr w:val="nil"/>
        </w:rPr>
        <w:t>•</w:t>
      </w:r>
      <w:r>
        <w:rPr>
          <w:noProof/>
        </w:rPr>
        <w:tab/>
      </w:r>
      <w:r>
        <w:rPr>
          <w:noProof/>
          <w:u w:color="000000"/>
          <w:bdr w:val="nil"/>
        </w:rPr>
        <w:t>Prawa podstawowe</w:t>
      </w:r>
    </w:p>
    <w:p>
      <w:pPr>
        <w:pBdr>
          <w:top w:val="nil"/>
          <w:left w:val="nil"/>
          <w:bottom w:val="nil"/>
          <w:right w:val="nil"/>
          <w:between w:val="nil"/>
          <w:bar w:val="nil"/>
        </w:pBdr>
        <w:tabs>
          <w:tab w:val="left" w:pos="720"/>
        </w:tabs>
        <w:spacing w:before="0" w:after="240"/>
        <w:rPr>
          <w:rFonts w:eastAsia="Arial Unicode MS"/>
          <w:noProof/>
        </w:rPr>
      </w:pPr>
      <w:r>
        <w:rPr>
          <w:noProof/>
        </w:rPr>
        <w:t xml:space="preserve">Wniosek nie ma skutków dla ochrony praw podstawowych. </w:t>
      </w:r>
    </w:p>
    <w:p>
      <w:pPr>
        <w:pStyle w:val="ManualHeading1"/>
        <w:rPr>
          <w:noProof/>
        </w:rPr>
      </w:pPr>
      <w:r>
        <w:rPr>
          <w:noProof/>
        </w:rPr>
        <w:t>4.</w:t>
      </w:r>
      <w:r>
        <w:rPr>
          <w:noProof/>
        </w:rPr>
        <w:tab/>
        <w:t>WPŁYW NA BUDŻET</w:t>
      </w:r>
    </w:p>
    <w:p>
      <w:pPr>
        <w:pBdr>
          <w:top w:val="nil"/>
          <w:left w:val="nil"/>
          <w:bottom w:val="nil"/>
          <w:right w:val="nil"/>
          <w:between w:val="nil"/>
          <w:bar w:val="nil"/>
        </w:pBdr>
        <w:tabs>
          <w:tab w:val="left" w:pos="720"/>
        </w:tabs>
        <w:spacing w:before="0" w:after="240"/>
        <w:rPr>
          <w:rFonts w:eastAsia="Calibri"/>
          <w:noProof/>
        </w:rPr>
      </w:pPr>
      <w:r>
        <w:rPr>
          <w:noProof/>
        </w:rPr>
        <w:t xml:space="preserve">Wpływ finansowy wniosku jest nieograniczony w czasie. Wniosek nie obejmuje finansowania regularnego gromadzenia danych, ale przewiduje unijne współfinansowanie gromadzenia danych ad hoc, bez określonego terminu. Można oczekiwać, że pierwsze gromadzenie danych ad hoc nastąpi najwcześniej po 2 latach od wejścia w życie planowanego rozporządzenia. Jako że takie gromadzenie danych nie jest znane z wyprzedzeniem, nie można przedstawić </w:t>
      </w:r>
      <w:r>
        <w:rPr>
          <w:noProof/>
        </w:rPr>
        <w:lastRenderedPageBreak/>
        <w:t xml:space="preserve">informacji dotyczących jego wpływu na budżet. W momencie, gdy takie gromadzenie danych ad hoc będzie wymagane, koszty z nim związane zostaną ocenione i szczegółowo przedstawione wraz z projektami aktów delegowanych i wykonawczych, i w każdym razie pokryte zostaną z przydziału puli środków finansowych odpowiednich programów w budżecie UE. </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u w:color="000000"/>
          <w:bdr w:val="nil"/>
        </w:rPr>
        <w:t>•</w:t>
      </w:r>
      <w:r>
        <w:rPr>
          <w:noProof/>
        </w:rPr>
        <w:tab/>
      </w:r>
      <w:r>
        <w:rPr>
          <w:noProof/>
          <w:u w:color="000000"/>
          <w:bdr w:val="nil"/>
        </w:rPr>
        <w:t>Plany wdrożenia i monitorowanie, ocena i sprawozdania</w:t>
      </w:r>
    </w:p>
    <w:p>
      <w:pPr>
        <w:pBdr>
          <w:top w:val="nil"/>
          <w:left w:val="nil"/>
          <w:bottom w:val="nil"/>
          <w:right w:val="nil"/>
          <w:between w:val="nil"/>
          <w:bar w:val="nil"/>
        </w:pBdr>
        <w:tabs>
          <w:tab w:val="left" w:pos="720"/>
        </w:tabs>
        <w:spacing w:before="0" w:after="240"/>
        <w:rPr>
          <w:rFonts w:eastAsia="Arial Unicode MS"/>
          <w:noProof/>
        </w:rPr>
      </w:pPr>
      <w:r>
        <w:rPr>
          <w:noProof/>
        </w:rPr>
        <w:t>Przewiduje się, że Parlament Europejski i Rada przyjmą proponowane rozporządzenie w 2022, a wkrótce potem Komisja uchwali środki wykonawcze. Rozporządzenie będzie bezpośrednio stosowane we wszystkich państwach członkowskich UE bez potrzeby planu wdrażania.</w:t>
      </w:r>
    </w:p>
    <w:p>
      <w:pPr>
        <w:pBdr>
          <w:top w:val="nil"/>
          <w:left w:val="nil"/>
          <w:bottom w:val="nil"/>
          <w:right w:val="nil"/>
          <w:between w:val="nil"/>
          <w:bar w:val="nil"/>
        </w:pBdr>
        <w:tabs>
          <w:tab w:val="left" w:pos="720"/>
        </w:tabs>
        <w:spacing w:before="0" w:after="240"/>
        <w:rPr>
          <w:rFonts w:eastAsia="Arial Unicode MS"/>
          <w:noProof/>
        </w:rPr>
      </w:pPr>
      <w:r>
        <w:rPr>
          <w:noProof/>
        </w:rPr>
        <w:t xml:space="preserve">Oczekuje się, że państwa członkowskie rozpoczną przekazywanie danych do Komisji na podstawie nowego rozporządzenia w 2023 r. </w:t>
      </w:r>
    </w:p>
    <w:p>
      <w:pPr>
        <w:pBdr>
          <w:top w:val="nil"/>
          <w:left w:val="nil"/>
          <w:bottom w:val="nil"/>
          <w:right w:val="nil"/>
          <w:between w:val="nil"/>
          <w:bar w:val="nil"/>
        </w:pBdr>
        <w:tabs>
          <w:tab w:val="left" w:pos="720"/>
        </w:tabs>
        <w:spacing w:before="0" w:after="240"/>
        <w:rPr>
          <w:rFonts w:eastAsia="Arial Unicode MS"/>
          <w:noProof/>
        </w:rPr>
      </w:pPr>
      <w:r>
        <w:rPr>
          <w:noProof/>
        </w:rPr>
        <w:t>Proponowany instrument prawny jest częścią EASS, który będzie poddawany regularnym ocenom, aby stwierdzić m.in. jego skuteczność i efektywność w osiąganiu założonych celów oraz zdecydować, czy konieczne są nowe środki lub zmiany przepisów.</w:t>
      </w:r>
    </w:p>
    <w:p>
      <w:pPr>
        <w:pStyle w:val="ManualHeading2"/>
        <w:rPr>
          <w:rFonts w:eastAsia="Arial Unicode MS"/>
          <w:noProof/>
          <w:u w:color="000000"/>
          <w:bdr w:val="nil"/>
        </w:rPr>
      </w:pPr>
      <w:r>
        <w:rPr>
          <w:noProof/>
          <w:u w:color="000000"/>
          <w:bdr w:val="nil"/>
        </w:rPr>
        <w:t>•</w:t>
      </w:r>
      <w:r>
        <w:rPr>
          <w:noProof/>
        </w:rPr>
        <w:tab/>
      </w:r>
      <w:r>
        <w:rPr>
          <w:noProof/>
          <w:u w:color="000000"/>
          <w:bdr w:val="nil"/>
        </w:rPr>
        <w:t>Monitorowanie zgodności tworzonych statystyk</w:t>
      </w:r>
    </w:p>
    <w:p>
      <w:pPr>
        <w:pBdr>
          <w:top w:val="nil"/>
          <w:left w:val="nil"/>
          <w:bottom w:val="nil"/>
          <w:right w:val="nil"/>
          <w:between w:val="nil"/>
          <w:bar w:val="nil"/>
        </w:pBdr>
        <w:tabs>
          <w:tab w:val="left" w:pos="720"/>
        </w:tabs>
        <w:spacing w:before="0" w:after="240"/>
        <w:rPr>
          <w:rFonts w:eastAsia="Arial Unicode MS"/>
          <w:noProof/>
        </w:rPr>
      </w:pPr>
      <w:r>
        <w:rPr>
          <w:noProof/>
        </w:rPr>
        <w:t xml:space="preserve">Eurostat przeprowadza regularne oceny zgodności. Oceny te obejmują przegląd dostępności, jakości i terminowości danych oraz działania następcze w przypadku niezgodności. </w:t>
      </w:r>
    </w:p>
    <w:p>
      <w:pPr>
        <w:pBdr>
          <w:top w:val="nil"/>
          <w:left w:val="nil"/>
          <w:bottom w:val="nil"/>
          <w:right w:val="nil"/>
          <w:between w:val="nil"/>
          <w:bar w:val="nil"/>
        </w:pBdr>
        <w:tabs>
          <w:tab w:val="left" w:pos="720"/>
        </w:tabs>
        <w:spacing w:before="0" w:after="240"/>
        <w:rPr>
          <w:rFonts w:eastAsia="Arial Unicode MS"/>
          <w:noProof/>
        </w:rPr>
      </w:pPr>
      <w:r>
        <w:rPr>
          <w:noProof/>
        </w:rPr>
        <w:t xml:space="preserve">Zgodnie z wymogami unijnego prawodawstwa państwa członkowskie dostarczają Komisji odpowiednie dane z zakresu statystyki rolnictwa. Przekazywanie tych danych podlega surowym terminom, które muszą być dotrzymane, mając na uwadze dobre zarządzanie, rozpowszechnianie i użyteczność statystyk europejskich, jako że brakujące lub niepełne dane prowadzą do braków w zakresie dostępności informacji (tj. nie jest możliwe obliczenie agregatów dla Unii oraz opublikowanie danych według zaplanowanego harmonogramu). </w:t>
      </w:r>
    </w:p>
    <w:p>
      <w:pPr>
        <w:pBdr>
          <w:top w:val="nil"/>
          <w:left w:val="nil"/>
          <w:bottom w:val="nil"/>
          <w:right w:val="nil"/>
          <w:between w:val="nil"/>
          <w:bar w:val="nil"/>
        </w:pBdr>
        <w:tabs>
          <w:tab w:val="left" w:pos="720"/>
        </w:tabs>
        <w:spacing w:before="0" w:after="240"/>
        <w:rPr>
          <w:rFonts w:eastAsia="Arial Unicode MS"/>
          <w:noProof/>
        </w:rPr>
      </w:pPr>
      <w:r>
        <w:rPr>
          <w:noProof/>
        </w:rPr>
        <w:t xml:space="preserve">Rozporządzenie (WE) nr 223/2009 stanowi podstawowe ramy prawne dla funkcjonowania europejskiego systemu statystycznego i dla całego prawodawstwa sektorowego dotyczącego tworzenia statystyk europejskich. </w:t>
      </w:r>
    </w:p>
    <w:p>
      <w:pPr>
        <w:pBdr>
          <w:top w:val="nil"/>
          <w:left w:val="nil"/>
          <w:bottom w:val="nil"/>
          <w:right w:val="nil"/>
          <w:between w:val="nil"/>
          <w:bar w:val="nil"/>
        </w:pBdr>
        <w:tabs>
          <w:tab w:val="left" w:pos="720"/>
        </w:tabs>
        <w:spacing w:before="0" w:after="240"/>
        <w:rPr>
          <w:rFonts w:eastAsia="Arial Unicode MS"/>
          <w:noProof/>
        </w:rPr>
      </w:pPr>
      <w:r>
        <w:rPr>
          <w:noProof/>
        </w:rPr>
        <w:t>Chociaż aktualność, terminowość i kompletność już są ważnymi czynnikami w kontekście ocen zgodności, aby zagwarantować terminowe rozpowszechnianie statystyk rolnictwa, większa uwaga zostanie zwrócona na te i inne aspekty jakościowe, aby zapewnić zaufanie do statystyk tworzonych przez Eurostat i ESS.</w:t>
      </w:r>
    </w:p>
    <w:p>
      <w:pPr>
        <w:pBdr>
          <w:top w:val="nil"/>
          <w:left w:val="nil"/>
          <w:bottom w:val="nil"/>
          <w:right w:val="nil"/>
          <w:between w:val="nil"/>
          <w:bar w:val="nil"/>
        </w:pBdr>
        <w:tabs>
          <w:tab w:val="left" w:pos="720"/>
        </w:tabs>
        <w:spacing w:before="0" w:after="240"/>
        <w:rPr>
          <w:rFonts w:eastAsia="Arial Unicode MS"/>
          <w:b/>
          <w:noProof/>
        </w:rPr>
      </w:pPr>
      <w:r>
        <w:rPr>
          <w:noProof/>
        </w:rPr>
        <w:t>•</w:t>
      </w:r>
      <w:r>
        <w:rPr>
          <w:noProof/>
        </w:rPr>
        <w:tab/>
      </w:r>
      <w:r>
        <w:rPr>
          <w:b/>
          <w:noProof/>
        </w:rPr>
        <w:t>Ciągłe doskonalenie EASS: określenie nowych potrzeb w zakresie danych i nowych źródeł danych, poprawa spójności, zmniejszanie obciążeń</w:t>
      </w:r>
    </w:p>
    <w:p>
      <w:pPr>
        <w:pBdr>
          <w:top w:val="nil"/>
          <w:left w:val="nil"/>
          <w:bottom w:val="nil"/>
          <w:right w:val="nil"/>
          <w:between w:val="nil"/>
          <w:bar w:val="nil"/>
        </w:pBdr>
        <w:tabs>
          <w:tab w:val="left" w:pos="720"/>
        </w:tabs>
        <w:spacing w:before="0" w:after="240"/>
        <w:rPr>
          <w:rFonts w:eastAsia="Arial Unicode MS"/>
          <w:noProof/>
        </w:rPr>
      </w:pPr>
      <w:r>
        <w:rPr>
          <w:noProof/>
        </w:rPr>
        <w:t>Eurostat przeprowadza obecnie coroczne wysłuchania z innymi departamentami Komisji. Ważnym punktem tych wysłuchań jest wymiana informacji na temat odnośnych programów prac. Stanowią one formalną platformę umożliwiającą zgłaszanie przyszłych zapotrzebowań na nowe statystyki oraz ocenę przydatności dostępnych statystyk.</w:t>
      </w:r>
    </w:p>
    <w:p>
      <w:pPr>
        <w:pBdr>
          <w:top w:val="nil"/>
          <w:left w:val="nil"/>
          <w:bottom w:val="nil"/>
          <w:right w:val="nil"/>
          <w:between w:val="nil"/>
          <w:bar w:val="nil"/>
        </w:pBdr>
        <w:tabs>
          <w:tab w:val="left" w:pos="720"/>
        </w:tabs>
        <w:spacing w:before="0" w:after="240"/>
        <w:rPr>
          <w:rFonts w:eastAsia="Arial Unicode MS"/>
          <w:noProof/>
        </w:rPr>
      </w:pPr>
      <w:r>
        <w:rPr>
          <w:noProof/>
        </w:rPr>
        <w:t xml:space="preserve">Dalsza współpraca z innymi departamentami Komisji, krajowymi urzędami statystycznymi oraz innymi organami krajowymi będzie prowadzona na różnych szczeblach hierarchii </w:t>
      </w:r>
      <w:r>
        <w:rPr>
          <w:noProof/>
        </w:rPr>
        <w:lastRenderedPageBreak/>
        <w:t>podczas regularnych spotkań i seminariów grup ekspertów, posiedzeń grupy dyrektorów i Komitetu ds. ESS oraz w drodze częstych kontaktów dwustronnych. Szczególna uwaga zostanie zwrócona na identyfikację źródeł danych administracyjnych i innych źródeł informacji utrzymywanych na podstawie unijnego prawodawstwa oraz na ocenę ich przydatności dla tworzenia statystyk, tak aby docelowo zawarte zostały porozumienia dotyczące ich stabilności, dostępności i ewentualnego lepszego dostosowania do wymogów statystycznych. Ponadto prowadzone będą okresowe badania sondażowe i analizy, aby stwierdzić, czy istnieją możliwości poprawy europejskiej statystyki rolnictwa i ograniczenia obciążeń.</w:t>
      </w:r>
    </w:p>
    <w:p>
      <w:pPr>
        <w:pBdr>
          <w:top w:val="nil"/>
          <w:left w:val="nil"/>
          <w:bottom w:val="nil"/>
          <w:right w:val="nil"/>
          <w:between w:val="nil"/>
          <w:bar w:val="nil"/>
        </w:pBdr>
        <w:tabs>
          <w:tab w:val="left" w:pos="720"/>
        </w:tabs>
        <w:spacing w:before="0" w:after="240"/>
        <w:rPr>
          <w:rFonts w:eastAsia="Arial Unicode MS"/>
          <w:noProof/>
        </w:rPr>
      </w:pPr>
      <w:r>
        <w:rPr>
          <w:noProof/>
        </w:rPr>
        <w:t xml:space="preserve">Dostosowania te oraz ogólne funkcjonowanie ram prawnych będą monitorowane i oceniane w szczególności pod kątem wymienionych wcześniej celów strategii. </w:t>
      </w:r>
    </w:p>
    <w:p>
      <w:pPr>
        <w:pBdr>
          <w:top w:val="nil"/>
          <w:left w:val="nil"/>
          <w:bottom w:val="nil"/>
          <w:right w:val="nil"/>
          <w:between w:val="nil"/>
          <w:bar w:val="nil"/>
        </w:pBdr>
        <w:tabs>
          <w:tab w:val="left" w:pos="720"/>
        </w:tabs>
        <w:spacing w:before="0" w:after="240"/>
        <w:rPr>
          <w:rFonts w:eastAsia="Arial Unicode MS"/>
          <w:b/>
          <w:noProof/>
        </w:rPr>
      </w:pPr>
      <w:r>
        <w:rPr>
          <w:noProof/>
        </w:rPr>
        <w:t>•</w:t>
      </w:r>
      <w:r>
        <w:rPr>
          <w:noProof/>
        </w:rPr>
        <w:tab/>
      </w:r>
      <w:r>
        <w:rPr>
          <w:b/>
          <w:noProof/>
        </w:rPr>
        <w:t>Sporządzane co trzy lata sprawozdania monitorujące</w:t>
      </w:r>
    </w:p>
    <w:p>
      <w:pPr>
        <w:pBdr>
          <w:top w:val="nil"/>
          <w:left w:val="nil"/>
          <w:bottom w:val="nil"/>
          <w:right w:val="nil"/>
          <w:between w:val="nil"/>
          <w:bar w:val="nil"/>
        </w:pBdr>
        <w:tabs>
          <w:tab w:val="left" w:pos="720"/>
        </w:tabs>
        <w:spacing w:before="0" w:after="240"/>
        <w:rPr>
          <w:rFonts w:eastAsia="Arial Unicode MS"/>
          <w:noProof/>
        </w:rPr>
      </w:pPr>
      <w:r>
        <w:rPr>
          <w:noProof/>
        </w:rPr>
        <w:t xml:space="preserve">Aby monitorować funkcjonowanie odnowionego EASS i zapewnić osiągnięcie celów REFIT dotyczących uproszczenia i zmniejszenia obciążeń, co 3 lata sporządzane będą regularne sprawozdania dotyczące funkcjonowania całego systemu. </w:t>
      </w:r>
    </w:p>
    <w:p>
      <w:pPr>
        <w:keepNext/>
        <w:pBdr>
          <w:top w:val="nil"/>
          <w:left w:val="nil"/>
          <w:bottom w:val="nil"/>
          <w:right w:val="nil"/>
          <w:between w:val="nil"/>
          <w:bar w:val="nil"/>
        </w:pBdr>
        <w:tabs>
          <w:tab w:val="left" w:pos="720"/>
        </w:tabs>
        <w:spacing w:before="0" w:after="240"/>
        <w:rPr>
          <w:rFonts w:eastAsia="Arial Unicode MS"/>
          <w:b/>
          <w:noProof/>
        </w:rPr>
      </w:pPr>
      <w:r>
        <w:rPr>
          <w:noProof/>
        </w:rPr>
        <w:t>•</w:t>
      </w:r>
      <w:r>
        <w:rPr>
          <w:noProof/>
        </w:rPr>
        <w:tab/>
      </w:r>
      <w:r>
        <w:rPr>
          <w:b/>
          <w:noProof/>
        </w:rPr>
        <w:t>Ocena</w:t>
      </w:r>
    </w:p>
    <w:p>
      <w:pPr>
        <w:pBdr>
          <w:top w:val="nil"/>
          <w:left w:val="nil"/>
          <w:bottom w:val="nil"/>
          <w:right w:val="nil"/>
          <w:between w:val="nil"/>
          <w:bar w:val="nil"/>
        </w:pBdr>
        <w:tabs>
          <w:tab w:val="left" w:pos="720"/>
        </w:tabs>
        <w:spacing w:before="0" w:after="240"/>
        <w:rPr>
          <w:rFonts w:eastAsia="Arial Unicode MS"/>
          <w:noProof/>
        </w:rPr>
      </w:pPr>
      <w:r>
        <w:rPr>
          <w:noProof/>
        </w:rPr>
        <w:t>Drugie trzyletnie sprawozdanie z monitorowania zastąpione zostanie retrospektywną oceną odnowionego EASS, przeprowadzoną zgodnie z wytycznymi Komisji. Ocena ta może też stanowić podstawę do dalszych zmian przepisów, jeżeli zostanie to uznane za konieczne.</w:t>
      </w:r>
    </w:p>
    <w:p>
      <w:pPr>
        <w:keepNext/>
        <w:tabs>
          <w:tab w:val="left" w:pos="720"/>
          <w:tab w:val="left" w:pos="850"/>
        </w:tabs>
        <w:ind w:left="850" w:hanging="850"/>
        <w:outlineLvl w:val="1"/>
        <w:rPr>
          <w:rFonts w:eastAsia="Arial Unicode MS"/>
          <w:b/>
          <w:noProof/>
          <w:u w:color="000000"/>
          <w:bdr w:val="nil"/>
        </w:rPr>
      </w:pPr>
      <w:bookmarkStart w:id="1" w:name="_Toc46138675"/>
      <w:r>
        <w:rPr>
          <w:b/>
          <w:noProof/>
          <w:u w:color="000000"/>
          <w:bdr w:val="nil"/>
        </w:rPr>
        <w:t>•</w:t>
      </w:r>
      <w:r>
        <w:rPr>
          <w:noProof/>
        </w:rPr>
        <w:tab/>
      </w:r>
      <w:r>
        <w:rPr>
          <w:b/>
          <w:noProof/>
          <w:u w:color="000000"/>
          <w:bdr w:val="nil"/>
        </w:rPr>
        <w:t>Szczegółowe objaśnienia poszczególnych przepisów wniosku</w:t>
      </w:r>
      <w:bookmarkEnd w:id="1"/>
    </w:p>
    <w:p>
      <w:pPr>
        <w:pBdr>
          <w:top w:val="nil"/>
          <w:left w:val="nil"/>
          <w:bottom w:val="nil"/>
          <w:right w:val="nil"/>
          <w:between w:val="nil"/>
          <w:bar w:val="nil"/>
        </w:pBdr>
        <w:tabs>
          <w:tab w:val="left" w:pos="720"/>
        </w:tabs>
        <w:spacing w:before="0" w:after="240"/>
        <w:rPr>
          <w:rFonts w:eastAsia="Arial Unicode MS"/>
          <w:noProof/>
        </w:rPr>
      </w:pPr>
      <w:r>
        <w:rPr>
          <w:noProof/>
        </w:rPr>
        <w:t xml:space="preserve">Proponowane rozporządzenie określa szczegółowo treść statystyki dotyczącej nakładów i produkcji w rolnictwie. Stanowi, że państwa członkowskie muszą dostarczać statystyki dotyczące 4 dziedzin i 12 powiązanych tematów. Dziedziny obejmują: produkcję zwierzęcą, produkcję roślinną, ceny w rolnictwie oraz składniki odżywcze i środki ochrony roślin. Odnoszą się do nich artykuły dotyczące przedmiotu rozporządzenia, definicji, populacji statystycznej i jednostek obserwowanych, zakresu, częstotliwości przekazywania danych, źródeł danych i metodyki, okresów odniesienia, specyfikacji jakościowych oraz ewentualnych wkładów finansowych. Rozporządzenie przewiduje dodatkowo możliwość wprowadzenia określonych tematów ad hoc związanych z problematyką nakładów i produkcji w rolnictwie, uzupełniających dane gromadzone regularnie. </w:t>
      </w:r>
    </w:p>
    <w:p>
      <w:pPr>
        <w:pBdr>
          <w:top w:val="nil"/>
          <w:left w:val="nil"/>
          <w:bottom w:val="nil"/>
          <w:right w:val="nil"/>
          <w:between w:val="nil"/>
          <w:bar w:val="nil"/>
        </w:pBdr>
        <w:tabs>
          <w:tab w:val="left" w:pos="720"/>
        </w:tabs>
        <w:spacing w:before="0" w:after="240"/>
        <w:rPr>
          <w:rFonts w:eastAsia="Arial Unicode MS"/>
          <w:noProof/>
        </w:rPr>
      </w:pPr>
      <w:r>
        <w:rPr>
          <w:noProof/>
        </w:rPr>
        <w:t xml:space="preserve">Szczegółowe zbiory danych zostaną określone w aktach wykonawczych (rozporządzeniach). </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2021/0020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 xml:space="preserve">w sprawie statystyki dotyczącej nakładów i produkcji w rolnictwie oraz uchylające rozporządzenia (WE) nr 1165/2008, (WE) nr 543/2009, (WE) nr 1185/2009 i dyrektywę Rady 96/16/WE </w:t>
      </w:r>
      <w:r>
        <w:rPr>
          <w:noProof/>
        </w:rPr>
        <w:br/>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338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 xml:space="preserve">Baza wiedzy statystycznej jest konieczna do opracowywania, wdrażania, monitorowania, oceny i przeglądu polityk związanych z rolnictwem w Unii, w szczególności wspólnej polityki rolnej (WPR), w tym działań dotyczących rozwoju obszarów wiejskich, a także unijnych polityk dotyczących między innymi środowiska, zmiany klimatu, użytkowania gruntów, regionów, zdrowia publicznego oraz celów zrównoważonego rozwoju Organizacji Narodów Zjednoczonych. </w:t>
      </w:r>
    </w:p>
    <w:p>
      <w:pPr>
        <w:pStyle w:val="ManualConsidrant"/>
        <w:rPr>
          <w:noProof/>
        </w:rPr>
      </w:pPr>
      <w:r>
        <w:t>(2)</w:t>
      </w:r>
      <w:r>
        <w:tab/>
      </w:r>
      <w:r>
        <w:rPr>
          <w:noProof/>
        </w:rPr>
        <w:t xml:space="preserve">Gromadzenie danych statystycznych, w szczególności dotyczących nakładów i produkcji w rolnictwie, powinno mieć na celu, między innymi, zapewnienie aktualnych danych na potrzeby procesu decyzyjnego, aby wspierać Europejski Zielony Ład wraz z powiązanymi strategiami – „od pola do stołu” i na rzecz bioróżnorodności – oraz przyszłe reformy WPR. </w:t>
      </w:r>
    </w:p>
    <w:p>
      <w:pPr>
        <w:pStyle w:val="ManualConsidrant"/>
        <w:rPr>
          <w:noProof/>
        </w:rPr>
      </w:pPr>
      <w:r>
        <w:t>(3)</w:t>
      </w:r>
      <w:r>
        <w:tab/>
      </w:r>
      <w:r>
        <w:rPr>
          <w:noProof/>
        </w:rPr>
        <w:t xml:space="preserve">Wysokiej jakości zharmonizowane dane statystyczne są ważne dla oceny stanu i tendencji w zakresie nakładów i produkcji w rolnictwie w Unii, funkcjonowania rynków oraz bezpieczeństwa żywnościowego, a także dla oceny zrównoważonego charakteru oraz skutków środowiskowych, gospodarczych i społecznych polityk unijnych i krajowych. Dane te obejmują między innymi statystykę dotyczącą zwierząt gospodarskich i mięsa, produkcji i spożycia jaj oraz produkcji i spożycia mleka i przetworów mlecznych. Istotne są również statystyki dotyczące obszaru upraw, plonów i produkcji roślin polowych, warzyw, różnych upraw trwałych i użytków zielonych oraz bilansu towarów. Coraz częściej potrzebne są statystyki na temat sprzedaży i stosowania środków ochrony roślin i nawozów. </w:t>
      </w:r>
    </w:p>
    <w:p>
      <w:pPr>
        <w:pStyle w:val="ManualConsidrant"/>
        <w:rPr>
          <w:noProof/>
        </w:rPr>
      </w:pPr>
      <w:r>
        <w:t>(4)</w:t>
      </w:r>
      <w:r>
        <w:tab/>
      </w:r>
      <w:r>
        <w:rPr>
          <w:noProof/>
        </w:rPr>
        <w:t xml:space="preserve">Międzynarodowa ocena statystyk rolnictwa doprowadziła do opracowania światowej strategii na rzecz poprawy statystyk dotyczących rolnictwa i obszarów wiejskich Organizacji Narodów Zjednoczonych ds. Wyżywienia i Rolnictwa; strategię tę </w:t>
      </w:r>
      <w:r>
        <w:rPr>
          <w:noProof/>
        </w:rPr>
        <w:lastRenderedPageBreak/>
        <w:t xml:space="preserve">w 2010 r. zatwierdziła Komisja Statystyczna Narodów Zjednoczonych. Europejska statystyka rolnictwa powinna w stosownych przypadkach opierać się na zaleceniach tej światowej strategii. </w:t>
      </w:r>
    </w:p>
    <w:p>
      <w:pPr>
        <w:pStyle w:val="ManualConsidrant"/>
        <w:rPr>
          <w:noProof/>
        </w:rPr>
      </w:pPr>
      <w:r>
        <w:t>(5)</w:t>
      </w:r>
      <w:r>
        <w:tab/>
      </w:r>
      <w:r>
        <w:rPr>
          <w:noProof/>
        </w:rPr>
        <w:t>Rozporządzenie Parlamentu Europejskiego i Rady (WE) nr 223/2009</w:t>
      </w:r>
      <w:r>
        <w:rPr>
          <w:rStyle w:val="FootnoteReference"/>
          <w:noProof/>
        </w:rPr>
        <w:footnoteReference w:id="12"/>
      </w:r>
      <w:r>
        <w:rPr>
          <w:noProof/>
        </w:rPr>
        <w:t xml:space="preserve"> przewiduje ramy w zakresie opracowywania, tworzenia i rozpowszechniania statystyki europejskiej w oparciu o wspólne zasady statystyczne. Rozporządzenie (WE) nr 223/2009 określa kryteria jakości i odnosi się do potrzeby ograniczenia do minimum obciążenia respondentów badań oraz realizacji bardziej ogólnego celu, jakim jest zmniejszenie obciążeń administracyjnych. </w:t>
      </w:r>
    </w:p>
    <w:p>
      <w:pPr>
        <w:pStyle w:val="ManualConsidrant"/>
        <w:rPr>
          <w:noProof/>
        </w:rPr>
      </w:pPr>
      <w:r>
        <w:t>(6)</w:t>
      </w:r>
      <w:r>
        <w:tab/>
      </w:r>
      <w:r>
        <w:rPr>
          <w:noProof/>
        </w:rPr>
        <w:t>Strategia dotycząca statystyki rolnictwa na rok 2020 i na okres późniejszy</w:t>
      </w:r>
      <w:r>
        <w:rPr>
          <w:noProof/>
          <w:vertAlign w:val="superscript"/>
        </w:rPr>
        <w:t>(</w:t>
      </w:r>
      <w:r>
        <w:rPr>
          <w:rStyle w:val="FootnoteReference"/>
          <w:noProof/>
        </w:rPr>
        <w:footnoteReference w:id="13"/>
      </w:r>
      <w:r>
        <w:rPr>
          <w:noProof/>
          <w:vertAlign w:val="superscript"/>
        </w:rPr>
        <w:t>)</w:t>
      </w:r>
      <w:r>
        <w:rPr>
          <w:noProof/>
        </w:rPr>
        <w:t>, zatwierdzona przez Komitet ds. Europejskiego Systemu Statystycznego („Komitet ds. ESS”) w listopadzie 2015 r., przewiduje przyjęcie dwóch rozporządzeń ramowych obejmujących wszystkie aspekty prawodawstwa UE w dziedzinie statystyki rolnictwa, z wyjątkiem rachunków ekonomicznych dla rolnictwa. Niniejsze rozporządzenie jest jednym z tych dwóch rozporządzeń ramowych i powinno uzupełniać już przyjęte rozporządzenie ramowe (UE) 2018/1091</w:t>
      </w:r>
      <w:r>
        <w:rPr>
          <w:noProof/>
          <w:vertAlign w:val="superscript"/>
        </w:rPr>
        <w:t>(</w:t>
      </w:r>
      <w:r>
        <w:rPr>
          <w:rStyle w:val="FootnoteReference"/>
          <w:noProof/>
        </w:rPr>
        <w:footnoteReference w:id="14"/>
      </w:r>
      <w:r>
        <w:rPr>
          <w:noProof/>
          <w:vertAlign w:val="superscript"/>
        </w:rPr>
        <w:t>)</w:t>
      </w:r>
      <w:r>
        <w:rPr>
          <w:noProof/>
        </w:rPr>
        <w:t xml:space="preserve">. </w:t>
      </w:r>
    </w:p>
    <w:p>
      <w:pPr>
        <w:pStyle w:val="ManualConsidrant"/>
        <w:rPr>
          <w:noProof/>
        </w:rPr>
      </w:pPr>
      <w:r>
        <w:t>(7)</w:t>
      </w:r>
      <w:r>
        <w:tab/>
      </w:r>
      <w:r>
        <w:rPr>
          <w:noProof/>
        </w:rPr>
        <w:t>Europejskie statystyki dotyczące nakładów i produkcji w rolnictwie są obecnie gromadzone, tworzone i rozpowszechniane na podstawie kilku aktów prawnych. Ta struktura nie zapewnia odpowiedniej spójności między poszczególnymi dziedzinami statystycznymi ani nie promuje zintegrowanego podejścia do opracowywania, tworzenia i rozpowszechniania statystyk rolnictwa. Niniejsze rozporządzenie powinno zastąpić tamte akty prawne w celu harmonizacji i porównywalności informacji oraz spójności i koordynacji całej europejskiej statystyki rolnictwa, ułatwienia integracji i usprawnienia odpowiednich procesów statystycznych oraz umożliwienia bardziej całościowego podejścia. Konieczne jest zatem uchylenie rozporządzeń Parlamentu Europejskiego i Rady (WE) nr 1165/2008</w:t>
      </w:r>
      <w:r>
        <w:rPr>
          <w:noProof/>
          <w:vertAlign w:val="superscript"/>
        </w:rPr>
        <w:t>(</w:t>
      </w:r>
      <w:r>
        <w:rPr>
          <w:rStyle w:val="FootnoteReference"/>
          <w:noProof/>
        </w:rPr>
        <w:footnoteReference w:id="15"/>
      </w:r>
      <w:r>
        <w:rPr>
          <w:noProof/>
          <w:vertAlign w:val="superscript"/>
        </w:rPr>
        <w:t>)</w:t>
      </w:r>
      <w:r>
        <w:rPr>
          <w:noProof/>
        </w:rPr>
        <w:t>, (WE) nr 543/2009</w:t>
      </w:r>
      <w:r>
        <w:rPr>
          <w:noProof/>
          <w:vertAlign w:val="superscript"/>
        </w:rPr>
        <w:t>(</w:t>
      </w:r>
      <w:r>
        <w:rPr>
          <w:rStyle w:val="FootnoteReference"/>
          <w:noProof/>
        </w:rPr>
        <w:footnoteReference w:id="16"/>
      </w:r>
      <w:r>
        <w:rPr>
          <w:noProof/>
          <w:vertAlign w:val="superscript"/>
        </w:rPr>
        <w:t>)</w:t>
      </w:r>
      <w:r>
        <w:rPr>
          <w:noProof/>
        </w:rPr>
        <w:t xml:space="preserve"> i (WE) nr 1185/2009</w:t>
      </w:r>
      <w:r>
        <w:rPr>
          <w:noProof/>
          <w:vertAlign w:val="superscript"/>
        </w:rPr>
        <w:t>(</w:t>
      </w:r>
      <w:r>
        <w:rPr>
          <w:rStyle w:val="FootnoteReference"/>
          <w:noProof/>
        </w:rPr>
        <w:footnoteReference w:id="17"/>
      </w:r>
      <w:r>
        <w:rPr>
          <w:noProof/>
          <w:vertAlign w:val="superscript"/>
        </w:rPr>
        <w:t>)</w:t>
      </w:r>
      <w:r>
        <w:rPr>
          <w:noProof/>
        </w:rPr>
        <w:t xml:space="preserve"> oraz dyrektywy Rady 96/16/WE </w:t>
      </w:r>
      <w:r>
        <w:rPr>
          <w:noProof/>
          <w:vertAlign w:val="superscript"/>
        </w:rPr>
        <w:t>(</w:t>
      </w:r>
      <w:r>
        <w:rPr>
          <w:rStyle w:val="FootnoteReference"/>
          <w:noProof/>
        </w:rPr>
        <w:footnoteReference w:id="18"/>
      </w:r>
      <w:r>
        <w:rPr>
          <w:noProof/>
          <w:vertAlign w:val="superscript"/>
        </w:rPr>
        <w:t>)</w:t>
      </w:r>
      <w:r>
        <w:rPr>
          <w:noProof/>
        </w:rPr>
        <w:t xml:space="preserve">. Liczne powiązane porozumienia Europejskiego Systemu Statystycznego (ESS) oraz dżentelmeńskie umowy dotyczące przekazywania danych należy włączyć do niniejszego rozporządzenia, jeżeli istnieją dowody, że dane te zaspokajają potrzeby użytkowników, uzgodniona metodyka jest właściwa, a dane są odpowiedniej jakości. </w:t>
      </w:r>
    </w:p>
    <w:p>
      <w:pPr>
        <w:pStyle w:val="ManualConsidrant"/>
        <w:rPr>
          <w:noProof/>
        </w:rPr>
      </w:pPr>
      <w:r>
        <w:lastRenderedPageBreak/>
        <w:t>(8)</w:t>
      </w:r>
      <w:r>
        <w:tab/>
      </w:r>
      <w:r>
        <w:rPr>
          <w:noProof/>
        </w:rPr>
        <w:t xml:space="preserve">Statystyki wymagane zgodnie z rozporządzeniem Komisji (WE) nr 617/2008 </w:t>
      </w:r>
      <w:r>
        <w:rPr>
          <w:noProof/>
          <w:vertAlign w:val="superscript"/>
        </w:rPr>
        <w:t>(</w:t>
      </w:r>
      <w:r>
        <w:rPr>
          <w:rStyle w:val="FootnoteReference"/>
          <w:noProof/>
        </w:rPr>
        <w:footnoteReference w:id="19"/>
      </w:r>
      <w:r>
        <w:rPr>
          <w:noProof/>
          <w:vertAlign w:val="superscript"/>
        </w:rPr>
        <w:t>)</w:t>
      </w:r>
      <w:r>
        <w:rPr>
          <w:noProof/>
        </w:rPr>
        <w:t xml:space="preserve"> są gromadzone przez ESS i spełniają niektóre, ale nie wszystkie jego standardy jakości. Statystyki te stanowią wsparcie unijnej i krajowych polityk w dłuższej perspektywie i powinny zostać zintegrowane jako statystyki europejskie, aby zagwarantować dostępność i jakość danych. Aby uniknąć podwójnego zgłaszania danych przez państwa członkowskie, należy znieść wymogi statystyczne obowiązujące na podstawie rozporządzenia (WE) nr 617/2008.</w:t>
      </w:r>
    </w:p>
    <w:p>
      <w:pPr>
        <w:pStyle w:val="ManualConsidrant"/>
        <w:rPr>
          <w:noProof/>
        </w:rPr>
      </w:pPr>
      <w:r>
        <w:t>(9)</w:t>
      </w:r>
      <w:r>
        <w:tab/>
      </w:r>
      <w:r>
        <w:rPr>
          <w:noProof/>
        </w:rPr>
        <w:t xml:space="preserve">Dużą część europejskich użytków rolnych stanowią użytki zielone. Produkcji z tych obszarów nie uważano w przeszłości za istotną, dlatego w statystyce dotyczącej upraw nie uwzględniano danych dotyczących produkcji. W miarę jak z powodu zmiany klimatu wpływ użytków zielonych i przeżuwaczy na środowisko staje się bardziej istotny, potrzebne są statystyki dotyczące produkcji z użytków zielonych i wypasu zwierząt. </w:t>
      </w:r>
    </w:p>
    <w:p>
      <w:pPr>
        <w:pStyle w:val="ManualConsidrant"/>
        <w:rPr>
          <w:noProof/>
        </w:rPr>
      </w:pPr>
      <w:r>
        <w:t>(10)</w:t>
      </w:r>
      <w:r>
        <w:tab/>
      </w:r>
      <w:r>
        <w:rPr>
          <w:noProof/>
        </w:rPr>
        <w:t xml:space="preserve">W celu zapewnienia harmonizacji i porównywalności informacji dotyczących nakładów i produkcji w rolnictwie z informacjami dotyczącymi struktury gospodarstw rolnych, a także w celu dalszego wdrażania strategii dotyczącej statystyki rolnictwa na 2020 r. i okres późniejszy niniejsze rozporządzenie powinno uzupełniać rozporządzenie (UE) 2018/1091. </w:t>
      </w:r>
    </w:p>
    <w:p>
      <w:pPr>
        <w:pStyle w:val="ManualConsidrant"/>
        <w:rPr>
          <w:noProof/>
        </w:rPr>
      </w:pPr>
      <w:r>
        <w:t>(11)</w:t>
      </w:r>
      <w:r>
        <w:tab/>
      </w:r>
      <w:r>
        <w:rPr>
          <w:noProof/>
        </w:rPr>
        <w:t xml:space="preserve">Rozporządzenie (WE) nr 138/2004 Parlamentu Europejskiego i Rady </w:t>
      </w:r>
      <w:r>
        <w:rPr>
          <w:noProof/>
          <w:vertAlign w:val="superscript"/>
        </w:rPr>
        <w:t>(</w:t>
      </w:r>
      <w:r>
        <w:rPr>
          <w:rStyle w:val="FootnoteReference"/>
          <w:noProof/>
        </w:rPr>
        <w:footnoteReference w:id="20"/>
      </w:r>
      <w:r>
        <w:rPr>
          <w:noProof/>
          <w:vertAlign w:val="superscript"/>
        </w:rPr>
        <w:t>)</w:t>
      </w:r>
      <w:r>
        <w:rPr>
          <w:noProof/>
        </w:rPr>
        <w:t xml:space="preserve"> nie obejmuje statystyki cen w rolnictwie, ale należy zapewnić dostępność tej statystyki i jej spójność z rachunkami ekonomicznymi dla rolnictwa (EAA). Ponieważ EAA są rachunkami satelitarnymi rachunków narodowych, nie należy włączać statystyki cen w rolnictwie do rozporządzenia (WE) nr 138/2004. Statystyka dotycząca nakładów i produkcji w rolnictwie powinna zatem obejmować statystykę cen nakładów w rolnictwie, spójną z EAA. Dane dotyczące cen produkcji rolnej w ujęciu bezwzględnym powinny być dostępne w państwach członkowskich, aby umożliwić obliczenia EAA i porównywalne indeksy cen. </w:t>
      </w:r>
    </w:p>
    <w:p>
      <w:pPr>
        <w:pStyle w:val="ManualConsidrant"/>
        <w:rPr>
          <w:noProof/>
        </w:rPr>
      </w:pPr>
      <w:r>
        <w:t>(12)</w:t>
      </w:r>
      <w:r>
        <w:tab/>
      </w:r>
      <w:r>
        <w:rPr>
          <w:noProof/>
        </w:rPr>
        <w:t xml:space="preserve">W celu spełnienia wymogów niniejszego rozporządzenia dane dotyczące wprowadzania do obrotu i stosowania środków ochrony roślin, które mają być przekazywane na podstawie dyrektywy Parlamentu Europejskiego i Rady 2009/128/WE </w:t>
      </w:r>
      <w:r>
        <w:rPr>
          <w:noProof/>
          <w:vertAlign w:val="superscript"/>
        </w:rPr>
        <w:t>(</w:t>
      </w:r>
      <w:r>
        <w:rPr>
          <w:rStyle w:val="FootnoteReference"/>
          <w:noProof/>
        </w:rPr>
        <w:footnoteReference w:id="21"/>
      </w:r>
      <w:r>
        <w:rPr>
          <w:noProof/>
          <w:vertAlign w:val="superscript"/>
        </w:rPr>
        <w:t>)</w:t>
      </w:r>
      <w:r>
        <w:rPr>
          <w:noProof/>
        </w:rPr>
        <w:t xml:space="preserve"> i rozporządzenia Parlamentu Europejskiego i Rady (WE) nr 1107/2009 </w:t>
      </w:r>
      <w:r>
        <w:rPr>
          <w:noProof/>
          <w:vertAlign w:val="superscript"/>
        </w:rPr>
        <w:t>(</w:t>
      </w:r>
      <w:r>
        <w:rPr>
          <w:rStyle w:val="FootnoteReference"/>
          <w:noProof/>
        </w:rPr>
        <w:footnoteReference w:id="22"/>
      </w:r>
      <w:r>
        <w:rPr>
          <w:noProof/>
          <w:vertAlign w:val="superscript"/>
        </w:rPr>
        <w:t>)</w:t>
      </w:r>
      <w:r>
        <w:rPr>
          <w:noProof/>
        </w:rPr>
        <w:t>, powinny być wykorzystywane zgodnie z odpowiednimi przepisami wspomnianej dyrektywy i rozporządzenia.</w:t>
      </w:r>
    </w:p>
    <w:p>
      <w:pPr>
        <w:pStyle w:val="ManualConsidrant"/>
        <w:rPr>
          <w:noProof/>
        </w:rPr>
      </w:pPr>
      <w:r>
        <w:t>(13)</w:t>
      </w:r>
      <w:r>
        <w:tab/>
      </w:r>
      <w:r>
        <w:rPr>
          <w:noProof/>
        </w:rPr>
        <w:t xml:space="preserve">Porównywalne statystyki ze wszystkich państw członkowskich dotyczące nakładów i produkcji w rolnictwie są istotne dla kształtowania rozwoju WPR. W odniesieniu do zmiennych należy w miarę możliwości stosować standardowe klasyfikacje i wspólne definicje. </w:t>
      </w:r>
    </w:p>
    <w:p>
      <w:pPr>
        <w:pStyle w:val="ManualConsidrant"/>
        <w:rPr>
          <w:noProof/>
        </w:rPr>
      </w:pPr>
      <w:r>
        <w:lastRenderedPageBreak/>
        <w:t>(14)</w:t>
      </w:r>
      <w:r>
        <w:tab/>
      </w:r>
      <w:r>
        <w:rPr>
          <w:noProof/>
        </w:rPr>
        <w:t xml:space="preserve">Dane potrzebne do zestawiania statystyk powinny, na ile to możliwe, być gromadzone w sposób zapewniający jak najniższe koszty i obciążenie administracyjne. Konieczne jest więc zidentyfikowanie możliwych właścicieli źródeł danych, które są wymagane, i zapewnienie, by źródła te można było wykorzystywać na potrzeby statystyki. </w:t>
      </w:r>
    </w:p>
    <w:p>
      <w:pPr>
        <w:pStyle w:val="ManualConsidrant"/>
        <w:rPr>
          <w:noProof/>
        </w:rPr>
      </w:pPr>
      <w:r>
        <w:t>(15)</w:t>
      </w:r>
      <w:r>
        <w:tab/>
      </w:r>
      <w:r>
        <w:rPr>
          <w:noProof/>
        </w:rPr>
        <w:t xml:space="preserve">Zbiory danych, które mają być przekazywane, obejmują kilka dziedzin statystycznych. Aby utrzymać elastyczne podejście, które umożliwia dostosowywanie statystyki, w przypadku gdy zmieniają się wymogi w zakresie danych, w rozporządzeniu podstawowym należy określić tylko dziedziny, tematy i tematy szczegółowe, natomiast szczegółowe zbiory danych należy ustalić w aktach wykonawczych. </w:t>
      </w:r>
    </w:p>
    <w:p>
      <w:pPr>
        <w:pStyle w:val="ManualConsidrant"/>
        <w:rPr>
          <w:noProof/>
        </w:rPr>
      </w:pPr>
      <w:r>
        <w:t>(16)</w:t>
      </w:r>
      <w:r>
        <w:tab/>
      </w:r>
      <w:r>
        <w:rPr>
          <w:noProof/>
        </w:rPr>
        <w:t>Produkcja ekologiczna staje się coraz ważniejszym wskaźnikiem zrównoważonych systemów produkcji rolnej. Konieczne jest zatem zapewnienie spójności dostępnych statystyk dotyczących rolnictwa ekologicznego z pozostałymi statystykami dotyczącymi produkcji rolnej przez włączenie ich do zbiorów danych. Te statystyki dotyczące produkcji ekologicznej powinny też być spójne z rozporządzeniem Parlamentu Europejskiego i Rady (UE) 2018/848 oraz wykorzystywać informacje administracyjne sporządzane na podstawie tego rozporządzenia</w:t>
      </w:r>
      <w:r>
        <w:rPr>
          <w:noProof/>
          <w:vertAlign w:val="superscript"/>
        </w:rPr>
        <w:t>(</w:t>
      </w:r>
      <w:r>
        <w:rPr>
          <w:rStyle w:val="FootnoteReference"/>
          <w:noProof/>
        </w:rPr>
        <w:footnoteReference w:id="23"/>
      </w:r>
      <w:r>
        <w:rPr>
          <w:noProof/>
          <w:vertAlign w:val="superscript"/>
        </w:rPr>
        <w:t>)</w:t>
      </w:r>
      <w:r>
        <w:rPr>
          <w:noProof/>
        </w:rPr>
        <w:t xml:space="preserve">. </w:t>
      </w:r>
    </w:p>
    <w:p>
      <w:pPr>
        <w:pStyle w:val="ManualConsidrant"/>
        <w:rPr>
          <w:noProof/>
        </w:rPr>
      </w:pPr>
      <w:r>
        <w:t>(17)</w:t>
      </w:r>
      <w:r>
        <w:tab/>
      </w:r>
      <w:r>
        <w:rPr>
          <w:noProof/>
        </w:rPr>
        <w:t>Zgodnie z rozporządzeniem (WE) nr 1059/2003 Parlamentu Europejskiego i Rady</w:t>
      </w:r>
      <w:r>
        <w:rPr>
          <w:noProof/>
          <w:vertAlign w:val="superscript"/>
        </w:rPr>
        <w:t xml:space="preserve"> (</w:t>
      </w:r>
      <w:r>
        <w:rPr>
          <w:rStyle w:val="FootnoteReference"/>
          <w:noProof/>
        </w:rPr>
        <w:footnoteReference w:id="24"/>
      </w:r>
      <w:r>
        <w:rPr>
          <w:noProof/>
          <w:vertAlign w:val="superscript"/>
        </w:rPr>
        <w:t>)</w:t>
      </w:r>
      <w:r>
        <w:rPr>
          <w:noProof/>
        </w:rPr>
        <w:t xml:space="preserve"> należy określić jednostki terytorialne zgodnie ze wspólną klasyfikacją jednostek terytorialnych do celów statystycznych (NUTS). </w:t>
      </w:r>
    </w:p>
    <w:p>
      <w:pPr>
        <w:pStyle w:val="ManualConsidrant"/>
        <w:rPr>
          <w:noProof/>
        </w:rPr>
      </w:pPr>
      <w:r>
        <w:t>(18)</w:t>
      </w:r>
      <w:r>
        <w:tab/>
      </w:r>
      <w:r>
        <w:rPr>
          <w:noProof/>
        </w:rPr>
        <w:t xml:space="preserve">Możliwe powinno być gromadzenie danych na tematy ad hoc dotyczące nakładów i produkcji w rolnictwie w określonym czasie celem uzupełnienia danych gromadzonych regularnie danymi uzupełniającymi dotyczącymi tematów, które wymagają więcej informacji, bądź pojawiających się zjawisk lub innowacji. </w:t>
      </w:r>
    </w:p>
    <w:p>
      <w:pPr>
        <w:pStyle w:val="ManualConsidrant"/>
        <w:rPr>
          <w:noProof/>
        </w:rPr>
      </w:pPr>
      <w:r>
        <w:t>(19)</w:t>
      </w:r>
      <w:r>
        <w:tab/>
      </w:r>
      <w:r>
        <w:rPr>
          <w:noProof/>
        </w:rPr>
        <w:t xml:space="preserve">Aby zmniejszyć obciążenie administracyjne dla państw członkowskich, umożliwić należy zwolnienia z regularnego przekazywania niektórych danych, jeżeli wkład państw członkowskich w łączne wartości UE dla tych danych jest niski. </w:t>
      </w:r>
    </w:p>
    <w:p>
      <w:pPr>
        <w:pStyle w:val="ManualConsidrant"/>
        <w:rPr>
          <w:noProof/>
        </w:rPr>
      </w:pPr>
      <w:r>
        <w:t>(20)</w:t>
      </w:r>
      <w:r>
        <w:tab/>
      </w:r>
      <w:r>
        <w:rPr>
          <w:noProof/>
        </w:rPr>
        <w:t xml:space="preserve">Aby zwiększyć efektywność procesów tworzenia statystyk ESS i ograniczyć obciążenie administracyjne respondentów, krajowe urzędy statystyczne i inne organy krajowe powinny mieć prawo dostępu do oraz wykorzystania, bezzwłocznie i nieodpłatnie, wszelkich danych administracyjnych gromadzonych do celów publicznych, bez względu na to, czy są one w posiadaniu organów publicznych czy prywatnych. Krajowe urzędy statystyczne i inne organy krajowe powinny też móc włączać te dane administracyjne do statystyk, w zakresie w jakim dane te są niezbędne do opracowywania, tworzenia i rozpowszechniania europejskiej statystyki rolnictwa zgodnie z art. 17a rozporządzenia (WE) nr 223/2009. </w:t>
      </w:r>
    </w:p>
    <w:p>
      <w:pPr>
        <w:pStyle w:val="ManualConsidrant"/>
        <w:rPr>
          <w:noProof/>
        </w:rPr>
      </w:pPr>
      <w:r>
        <w:t>(21)</w:t>
      </w:r>
      <w:r>
        <w:tab/>
      </w:r>
      <w:r>
        <w:rPr>
          <w:noProof/>
        </w:rPr>
        <w:t xml:space="preserve">Państwa członkowskie lub właściwe organy krajowe powinny dążyć do unowocześnienia sposobów zbierania danych, na ile to możliwe. Promować należy wykorzystywanie rozwiązań cyfrowych. </w:t>
      </w:r>
    </w:p>
    <w:p>
      <w:pPr>
        <w:pStyle w:val="ManualConsidrant"/>
        <w:rPr>
          <w:noProof/>
        </w:rPr>
      </w:pPr>
      <w:r>
        <w:t>(22)</w:t>
      </w:r>
      <w:r>
        <w:tab/>
      </w:r>
      <w:r>
        <w:rPr>
          <w:noProof/>
        </w:rPr>
        <w:t xml:space="preserve">Aby zapewnić elastyczność i ograniczyć obciążenie administracyjne respondentów, krajowych urzędów statystycznych i innych organów krajowych, państwa członkowskie powinny mieć możliwość wykorzystywania badań statystycznych, </w:t>
      </w:r>
      <w:r>
        <w:rPr>
          <w:noProof/>
        </w:rPr>
        <w:lastRenderedPageBreak/>
        <w:t xml:space="preserve">rejestrów administracyjnych oraz innych źródeł, metod lub innowacyjnych podejść, w tym opartych na dowodach naukowych i dobrze udokumentowanych metod takich jak imputacja, szacowanie i modelowanie. Zawsze zapewniać należy jakość, a w szczególności dokładność, aktualność i porównywalność statystyk opartych na tych źródłach. </w:t>
      </w:r>
    </w:p>
    <w:p>
      <w:pPr>
        <w:pStyle w:val="ManualConsidrant"/>
        <w:rPr>
          <w:noProof/>
        </w:rPr>
      </w:pPr>
      <w:r>
        <w:t>(23)</w:t>
      </w:r>
      <w:r>
        <w:tab/>
      </w:r>
      <w:r>
        <w:rPr>
          <w:noProof/>
        </w:rPr>
        <w:t xml:space="preserve">Rozporządzenie (WE) nr 223/2009 zawiera przepisy dotyczące przekazywania danych z państw członkowskich do Komisji (Eurostatu) oraz wykorzystania tych danych, w tym przekazywania i ochrony danych poufnych. Środki stosowane zgodnie z tym rozporządzeniem mają zapewnić, aby dane poufne były przekazywane i wykorzystywane wyłącznie do celów statystycznych zgodnie z art. 21 i 22 rozporządzenia (WE) nr 223/2009. </w:t>
      </w:r>
    </w:p>
    <w:p>
      <w:pPr>
        <w:pStyle w:val="ManualConsidrant"/>
        <w:rPr>
          <w:noProof/>
        </w:rPr>
      </w:pPr>
      <w:r>
        <w:t>(24)</w:t>
      </w:r>
      <w:r>
        <w:tab/>
      </w:r>
      <w:r>
        <w:rPr>
          <w:noProof/>
        </w:rPr>
        <w:t>Rozporządzenie (WE) nr 223/2009 stanowi ramy odniesienia dla statystyk europejskich i zobowiązuje państwa członkowskie do przestrzegania zasad statystycznych i kryteriów jakości określonych w tym rozporządzeniu. Sprawozdania dotyczące jakości są niezbędne do oceny i poprawy jakości statystyk europejskich oraz do przekazywania informacji na ten temat. Komitet ds. ESS zatwierdził jednolitą zintegrowaną strukturę metadanych jako standard ESS dla sprawozdawczości dotyczącej jakości, przyczyniając się – za pomocą jednolitych standardów i zharmonizowanych metod – do spełnienia wymogów jakości statystyk, określonych w art. 12 ust. 3 rozporządzenia (WE) nr 223/2009. Ten standard ESS ma przyczynić się do harmonizacji sprawozdawczości dotyczącej jakości na podstawie niniejszego rozporządzenia.</w:t>
      </w:r>
    </w:p>
    <w:p>
      <w:pPr>
        <w:pStyle w:val="ManualConsidrant"/>
        <w:rPr>
          <w:noProof/>
        </w:rPr>
      </w:pPr>
      <w:r>
        <w:t>(25)</w:t>
      </w:r>
      <w:r>
        <w:tab/>
      </w:r>
      <w:r>
        <w:rPr>
          <w:noProof/>
        </w:rPr>
        <w:t xml:space="preserve">Zgodnie z zasadą należytego zarządzania finansami przeprowadzono ocenę skutków, aby program statystyczny ustanowiony niniejszym rozporządzeniem skoncentrować na potrzebie efektywności w osiąganiu celów oraz aby uwzględnić ograniczenia budżetowe. </w:t>
      </w:r>
    </w:p>
    <w:p>
      <w:pPr>
        <w:pStyle w:val="ManualConsidrant"/>
        <w:rPr>
          <w:noProof/>
        </w:rPr>
      </w:pPr>
      <w:r>
        <w:t>(26)</w:t>
      </w:r>
      <w:r>
        <w:tab/>
      </w:r>
      <w:r>
        <w:rPr>
          <w:noProof/>
        </w:rPr>
        <w:t xml:space="preserve">Z uwagi na to, że cel niniejszego rozporządzenia, a mianowicie systematyczne tworzenie europejskich statystyk dotyczących nakładów i produkcji w rolnictwie w Unii, nie może zostać osiągnięty w sposób wystarczający przez państwa członkowskie, ponieważ konieczne jest skoordynowane podejście, lecz ze względu na wymóg spójności i porównywalności możliwe jest lepsze jego osiągnięcie na poziomie Unii, Unia może podjąć działania zgodnie z zasadą pomocniczości określoną w art. 5 Traktatu o Unii Europejskiej. Zgodnie z zasadą proporcjonalności określoną w tym artykule niniejsze rozporządzenie nie wykracza poza to, co jest niezbędne do osiągnięcia tego celu. </w:t>
      </w:r>
    </w:p>
    <w:p>
      <w:pPr>
        <w:pStyle w:val="ManualConsidrant"/>
        <w:rPr>
          <w:noProof/>
        </w:rPr>
      </w:pPr>
      <w:r>
        <w:t>(27)</w:t>
      </w:r>
      <w:r>
        <w:tab/>
      </w:r>
      <w:r>
        <w:rPr>
          <w:noProof/>
        </w:rPr>
        <w:t xml:space="preserve">Aby uwzględnić pojawiające się potrzeby w zakresie danych, wynikające głównie ze zmian zachodzących w rolnictwie, zmian w aktach prawnych i zmian priorytetów politycznych, należy przekazać Komisji uprawnienia do przyjmowania aktów zgodnie z art. 290 Traktatu o funkcjonowaniu Unii Europejskiej celem zmiany tematów szczegółowych wymienionych w niniejszym rozporządzeniu, a także celem określenia tematów i tematów szczegółowych oraz innych praktycznych ustaleń dotyczących gromadzenia danych ad hoc przewidzianego niniejszym rozporządzeniem. Szczególnie ważne jest, aby w czasie prac przygotowawczych Komisja prowadziła stosowne konsultacje, w tym na poziomie ekspertów, oraz aby konsultacje te prowadzone były zgodnie z zasadami ustanowionymi w Porozumieniu międzyinstytucjonalnym z dnia 13 kwietnia 2016 r. w sprawie lepszego stanowienia prawa </w:t>
      </w:r>
      <w:r>
        <w:rPr>
          <w:noProof/>
          <w:vertAlign w:val="superscript"/>
        </w:rPr>
        <w:t>(</w:t>
      </w:r>
      <w:r>
        <w:rPr>
          <w:rStyle w:val="FootnoteReference"/>
          <w:noProof/>
        </w:rPr>
        <w:footnoteReference w:id="25"/>
      </w:r>
      <w:r>
        <w:rPr>
          <w:noProof/>
          <w:vertAlign w:val="superscript"/>
        </w:rPr>
        <w:t>)</w:t>
      </w:r>
      <w:r>
        <w:rPr>
          <w:noProof/>
        </w:rPr>
        <w:t xml:space="preserve">. W szczególności, aby zapewnić udział na równych zasadach Parlamentu </w:t>
      </w:r>
      <w:r>
        <w:rPr>
          <w:noProof/>
        </w:rPr>
        <w:lastRenderedPageBreak/>
        <w:t>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ManualConsidrant"/>
        <w:rPr>
          <w:noProof/>
        </w:rPr>
      </w:pPr>
      <w:r>
        <w:t>(28)</w:t>
      </w:r>
      <w:r>
        <w:tab/>
      </w:r>
      <w:r>
        <w:rPr>
          <w:noProof/>
        </w:rPr>
        <w:t xml:space="preserve">Aby zapewnić jednolite warunki wdrażania niniejszego rozporządzenia, Komisji należy nadać uprawnienia wykonawcze do określania zbiorów danych związanych z tematami i tematami szczegółowymi wymienionymi w załączniku oraz elementów technicznych danych, które mają być przekazywane, do ustanawiania wykazów i opisów zmiennych i innych praktycznych ustaleń dotyczących gromadzenia danych ad hoc, a także do określenia treści sprawozdań dotyczących jakości i praktycznych ustaleń w tym zakresie. Uprawnienia te powinny być wykonywane zgodnie z rozporządzeniem Parlamentu Europejskiego i Rady (UE) nr 182/2011 </w:t>
      </w:r>
      <w:r>
        <w:rPr>
          <w:noProof/>
          <w:vertAlign w:val="superscript"/>
        </w:rPr>
        <w:t>(</w:t>
      </w:r>
      <w:r>
        <w:rPr>
          <w:rStyle w:val="FootnoteReference"/>
          <w:noProof/>
        </w:rPr>
        <w:footnoteReference w:id="26"/>
      </w:r>
      <w:r>
        <w:rPr>
          <w:noProof/>
          <w:vertAlign w:val="superscript"/>
        </w:rPr>
        <w:t>)</w:t>
      </w:r>
      <w:r>
        <w:rPr>
          <w:noProof/>
        </w:rPr>
        <w:t xml:space="preserve">. </w:t>
      </w:r>
    </w:p>
    <w:p>
      <w:pPr>
        <w:pStyle w:val="ManualConsidrant"/>
        <w:rPr>
          <w:noProof/>
        </w:rPr>
      </w:pPr>
      <w:r>
        <w:t>(29)</w:t>
      </w:r>
      <w:r>
        <w:tab/>
      </w:r>
      <w:r>
        <w:rPr>
          <w:noProof/>
        </w:rPr>
        <w:t>W razie gdyby wykonanie niniejszego rozporządzenia wymagało istotnych dostosowań w krajowych systemach statystycznych państw członkowskich, Komisja powinna mieć możliwość udzielenia tym państwom członkowskim odstępstw w należycie uzasadnionych przypadkach i na określony czas. Takie istotne dostosowania mogą wynikać w szczególności z potrzeby modyfikacji systemów zbierania danych, aby uwzględnić nowe wymogi w zakresie danych, w tym dostęp do źródeł administracyjnych.</w:t>
      </w:r>
    </w:p>
    <w:p>
      <w:pPr>
        <w:pStyle w:val="ManualConsidrant"/>
        <w:rPr>
          <w:noProof/>
        </w:rPr>
      </w:pPr>
      <w:r>
        <w:t>(30)</w:t>
      </w:r>
      <w:r>
        <w:tab/>
      </w:r>
      <w:r>
        <w:rPr>
          <w:noProof/>
        </w:rPr>
        <w:t>Należy zapewnić ochronę interesów finansowych Unii w całym cyklu wydatkowania przez zastosowanie proporcjonalnych środków obejmujących zapobieganie nieprawidłowościom oraz ich wykrywanie i badanie, odzyskiwanie środków utraconych, nienależnie wypłaconych lub niewłaściwie wykorzystanych oraz, w stosownych przypadkach, nakładanie sankcji administracyjnych i finansowych.</w:t>
      </w:r>
    </w:p>
    <w:p>
      <w:pPr>
        <w:pStyle w:val="ManualConsidrant"/>
        <w:rPr>
          <w:noProof/>
        </w:rPr>
      </w:pPr>
      <w:r>
        <w:t>(31)</w:t>
      </w:r>
      <w:r>
        <w:tab/>
      </w:r>
      <w:r>
        <w:rPr>
          <w:noProof/>
        </w:rPr>
        <w:t xml:space="preserve">Niniejsze rozporządzenie powinno mieć zastosowanie bez uszczerbku dla dyrektywy 2003/4/WE </w:t>
      </w:r>
      <w:r>
        <w:rPr>
          <w:noProof/>
          <w:vertAlign w:val="superscript"/>
        </w:rPr>
        <w:t>(</w:t>
      </w:r>
      <w:r>
        <w:rPr>
          <w:rStyle w:val="FootnoteReference"/>
          <w:noProof/>
        </w:rPr>
        <w:footnoteReference w:id="27"/>
      </w:r>
      <w:r>
        <w:rPr>
          <w:noProof/>
          <w:vertAlign w:val="superscript"/>
        </w:rPr>
        <w:t>)</w:t>
      </w:r>
      <w:r>
        <w:rPr>
          <w:noProof/>
        </w:rPr>
        <w:t xml:space="preserve"> i rozporządzenia (WE) nr 1367/2006 </w:t>
      </w:r>
      <w:r>
        <w:rPr>
          <w:noProof/>
          <w:vertAlign w:val="superscript"/>
        </w:rPr>
        <w:t>(</w:t>
      </w:r>
      <w:r>
        <w:rPr>
          <w:rStyle w:val="FootnoteReference"/>
          <w:noProof/>
        </w:rPr>
        <w:footnoteReference w:id="28"/>
      </w:r>
      <w:r>
        <w:rPr>
          <w:noProof/>
          <w:vertAlign w:val="superscript"/>
        </w:rPr>
        <w:t>)</w:t>
      </w:r>
      <w:r>
        <w:rPr>
          <w:noProof/>
        </w:rPr>
        <w:t>.</w:t>
      </w:r>
    </w:p>
    <w:p>
      <w:pPr>
        <w:pStyle w:val="ManualConsidrant"/>
        <w:rPr>
          <w:noProof/>
        </w:rPr>
      </w:pPr>
      <w:r>
        <w:t>(32)</w:t>
      </w:r>
      <w:r>
        <w:tab/>
      </w:r>
      <w:r>
        <w:rPr>
          <w:noProof/>
        </w:rPr>
        <w:t xml:space="preserve">Współpraca i koordynacja między organami w ramach ESS powinna zostać wzmocniona, aby zapewnić spójność i porównywalność europejskiej statystyki rolnictwa tworzonej zgodnie z zasadami określonymi w art. 338 ust. 2 Traktatu o funkcjonowaniu Unii Europejskiej. Dane gromadzone są również przez inne organy Unii, oprócz tych, o których mowa w niniejszym rozporządzeniu, oraz przez inne organizacje. Współpraca tych organizacji i podmiotów zaangażowanych w ESS powinna zatem zostać wzmocniona, aby wykorzystać efekt synergiczny. </w:t>
      </w:r>
    </w:p>
    <w:p>
      <w:pPr>
        <w:pStyle w:val="ManualConsidrant"/>
        <w:rPr>
          <w:noProof/>
        </w:rPr>
      </w:pPr>
      <w:r>
        <w:t>(33)</w:t>
      </w:r>
      <w:r>
        <w:tab/>
      </w:r>
      <w:r>
        <w:rPr>
          <w:noProof/>
        </w:rPr>
        <w:t>Skonsultowano się z Komitetem ds. ESS,</w:t>
      </w:r>
    </w:p>
    <w:p>
      <w:pPr>
        <w:spacing w:before="0"/>
        <w:jc w:val="left"/>
        <w:rPr>
          <w:rFonts w:asciiTheme="minorHAnsi" w:hAnsiTheme="minorHAnsi" w:cstheme="minorHAnsi"/>
          <w:noProof/>
        </w:rPr>
      </w:pPr>
    </w:p>
    <w:p>
      <w:pPr>
        <w:pStyle w:val="Formuledadoption"/>
        <w:rPr>
          <w:noProof/>
        </w:rPr>
      </w:pPr>
      <w:r>
        <w:rPr>
          <w:noProof/>
        </w:rPr>
        <w:lastRenderedPageBreak/>
        <w:t>PRZYJMUJĄ NINIEJSZE ROZPORZĄDZENIE:</w:t>
      </w:r>
      <w:r>
        <w:rPr>
          <w:noProof/>
        </w:rPr>
        <w:tab/>
        <w:t xml:space="preserve"> </w:t>
      </w:r>
      <w:r>
        <w:rPr>
          <w:noProof/>
        </w:rPr>
        <w:br/>
      </w:r>
    </w:p>
    <w:p>
      <w:pPr>
        <w:keepNext/>
        <w:spacing w:before="360" w:after="200" w:line="276" w:lineRule="auto"/>
        <w:jc w:val="center"/>
        <w:rPr>
          <w:i/>
          <w:noProof/>
        </w:rPr>
      </w:pPr>
      <w:r>
        <w:rPr>
          <w:i/>
          <w:noProof/>
        </w:rPr>
        <w:t>Artykuł 1</w:t>
      </w:r>
    </w:p>
    <w:p>
      <w:pPr>
        <w:keepNext/>
        <w:spacing w:before="75" w:after="75" w:line="276" w:lineRule="auto"/>
        <w:jc w:val="center"/>
        <w:rPr>
          <w:b/>
          <w:noProof/>
        </w:rPr>
      </w:pPr>
      <w:r>
        <w:rPr>
          <w:b/>
          <w:noProof/>
        </w:rPr>
        <w:t xml:space="preserve">Przedmiot </w:t>
      </w:r>
    </w:p>
    <w:p>
      <w:pPr>
        <w:spacing w:before="0" w:after="200" w:line="276" w:lineRule="auto"/>
        <w:rPr>
          <w:noProof/>
        </w:rPr>
      </w:pPr>
      <w:r>
        <w:rPr>
          <w:noProof/>
        </w:rPr>
        <w:t xml:space="preserve">W rozporządzeniu ustanawia się ramy dla zagregowanych europejskich statystyk dotyczących nakładów i produkcji w działalności rolniczej, a także pośredniego wykorzystania tej produkcji w rolnictwie oraz jej skupowania i przetwórstwa przemysłowego. </w:t>
      </w:r>
    </w:p>
    <w:p>
      <w:pPr>
        <w:keepNext/>
        <w:spacing w:before="360" w:after="200" w:line="276" w:lineRule="auto"/>
        <w:jc w:val="center"/>
        <w:rPr>
          <w:i/>
          <w:noProof/>
        </w:rPr>
      </w:pPr>
      <w:r>
        <w:rPr>
          <w:i/>
          <w:noProof/>
        </w:rPr>
        <w:t>Artykuł 2</w:t>
      </w:r>
    </w:p>
    <w:p>
      <w:pPr>
        <w:keepNext/>
        <w:spacing w:before="75" w:after="75" w:line="276" w:lineRule="auto"/>
        <w:jc w:val="center"/>
        <w:rPr>
          <w:b/>
          <w:noProof/>
        </w:rPr>
      </w:pPr>
      <w:r>
        <w:rPr>
          <w:b/>
          <w:noProof/>
        </w:rPr>
        <w:t>Definicje</w:t>
      </w:r>
    </w:p>
    <w:p>
      <w:pPr>
        <w:spacing w:before="0" w:after="200" w:line="276" w:lineRule="auto"/>
        <w:rPr>
          <w:noProof/>
        </w:rPr>
      </w:pPr>
      <w:r>
        <w:rPr>
          <w:noProof/>
        </w:rPr>
        <w:t>Do celów niniejszego rozporządzenia zastosowanie mają definicje „działalności rolniczej”, „powierzchni użytkowanych użytków rolnych”, „sztuki dużej”, „gospodarstwa rolnego” i „jednostki rolniczej obejmującej wspólnoty gruntowe” określone w art. 2 lit. a), b), d) i e) rozporządzenia (UE) 2018/1091.</w:t>
      </w:r>
    </w:p>
    <w:p>
      <w:pPr>
        <w:spacing w:before="0" w:after="200" w:line="276" w:lineRule="auto"/>
        <w:rPr>
          <w:noProof/>
        </w:rPr>
      </w:pPr>
      <w:r>
        <w:rPr>
          <w:noProof/>
        </w:rPr>
        <w:t>Zastosowanie mają ponadto następujące definicje:</w:t>
      </w:r>
    </w:p>
    <w:p>
      <w:pPr>
        <w:spacing w:before="0" w:after="200" w:line="276" w:lineRule="auto"/>
        <w:ind w:left="567" w:hanging="567"/>
        <w:rPr>
          <w:noProof/>
        </w:rPr>
      </w:pPr>
      <w:r>
        <w:rPr>
          <w:noProof/>
        </w:rPr>
        <w:t>1)</w:t>
      </w:r>
      <w:r>
        <w:rPr>
          <w:noProof/>
        </w:rPr>
        <w:tab/>
        <w:t>„przedsiębiorstwo mleczarskie” oznacza przedsiębiorstwo lub gospodarstwo rolne, które nabywa mleko pełne lub – w niektórych przypadkach – przetwory mleczne, aby przerabiać je na przetwory mleczne; a także przedsiębiorstwa, które skupują mleko lub śmietanę w celu przekazania ich w całości lub w części, bez jakiegokolwiek przetwarzania, innym przedsiębiorstwom mleczarskim;</w:t>
      </w:r>
    </w:p>
    <w:p>
      <w:pPr>
        <w:spacing w:before="0" w:after="200" w:line="276" w:lineRule="auto"/>
        <w:ind w:left="567" w:hanging="567"/>
        <w:rPr>
          <w:noProof/>
        </w:rPr>
      </w:pPr>
      <w:r>
        <w:rPr>
          <w:noProof/>
        </w:rPr>
        <w:t>2)</w:t>
      </w:r>
      <w:r>
        <w:rPr>
          <w:noProof/>
        </w:rPr>
        <w:tab/>
        <w:t>„rzeźnia” oznacza urzędowo zarejestrowany i zatwierdzony zakład posiadający zezwolenie na ubój i obróbkę poubojową zwierząt, których mięso przeznaczone jest do spożycia przez ludzi;</w:t>
      </w:r>
    </w:p>
    <w:p>
      <w:pPr>
        <w:spacing w:before="0" w:after="200" w:line="276" w:lineRule="auto"/>
        <w:ind w:left="567" w:hanging="567"/>
        <w:rPr>
          <w:noProof/>
        </w:rPr>
      </w:pPr>
      <w:r>
        <w:rPr>
          <w:noProof/>
        </w:rPr>
        <w:t>3)</w:t>
      </w:r>
      <w:r>
        <w:rPr>
          <w:noProof/>
        </w:rPr>
        <w:tab/>
        <w:t>„wylęgarnia” oznacza zakład zajmujący się inkubacją jaj, wylęganiem i dostawą piskląt;</w:t>
      </w:r>
    </w:p>
    <w:p>
      <w:pPr>
        <w:spacing w:before="0" w:after="200" w:line="276" w:lineRule="auto"/>
        <w:ind w:left="567" w:hanging="567"/>
        <w:rPr>
          <w:noProof/>
        </w:rPr>
      </w:pPr>
      <w:r>
        <w:rPr>
          <w:noProof/>
        </w:rPr>
        <w:t>4)</w:t>
      </w:r>
      <w:r>
        <w:rPr>
          <w:noProof/>
        </w:rPr>
        <w:tab/>
        <w:t>„jednostka sprawozdawcza” oznacza jednostkę, która dostarcza dane statystyczne;</w:t>
      </w:r>
    </w:p>
    <w:p>
      <w:pPr>
        <w:spacing w:before="0" w:after="200" w:line="276" w:lineRule="auto"/>
        <w:ind w:left="567" w:hanging="567"/>
        <w:rPr>
          <w:noProof/>
        </w:rPr>
      </w:pPr>
      <w:r>
        <w:rPr>
          <w:noProof/>
        </w:rPr>
        <w:t>5)</w:t>
      </w:r>
      <w:r>
        <w:rPr>
          <w:noProof/>
        </w:rPr>
        <w:tab/>
        <w:t>„jednostka obserwowana” oznacza możliwą do zidentyfikowania jednostkę, w odniesieniu do której można uzyskać dane;</w:t>
      </w:r>
    </w:p>
    <w:p>
      <w:pPr>
        <w:spacing w:before="0" w:after="200" w:line="276" w:lineRule="auto"/>
        <w:ind w:left="567" w:hanging="567"/>
        <w:rPr>
          <w:noProof/>
        </w:rPr>
      </w:pPr>
      <w:r>
        <w:rPr>
          <w:noProof/>
        </w:rPr>
        <w:t>6)</w:t>
      </w:r>
      <w:r>
        <w:rPr>
          <w:noProof/>
        </w:rPr>
        <w:tab/>
        <w:t>„dziedzina” oznacza jeden lub kilka zbiorów danych obejmujących określone tematy;</w:t>
      </w:r>
    </w:p>
    <w:p>
      <w:pPr>
        <w:spacing w:before="0" w:after="200" w:line="276" w:lineRule="auto"/>
        <w:ind w:left="567" w:hanging="567"/>
        <w:rPr>
          <w:noProof/>
        </w:rPr>
      </w:pPr>
      <w:r>
        <w:rPr>
          <w:noProof/>
        </w:rPr>
        <w:t>7)</w:t>
      </w:r>
      <w:r>
        <w:rPr>
          <w:noProof/>
        </w:rPr>
        <w:tab/>
        <w:t xml:space="preserve">„temat” oznacza treść informacji, które mają być zestawiane w odniesieniu do jednostek obserwowanych, przy czym każdy temat obejmuje jeden lub kilka tematów szczegółowych; </w:t>
      </w:r>
    </w:p>
    <w:p>
      <w:pPr>
        <w:spacing w:before="0" w:after="200" w:line="276" w:lineRule="auto"/>
        <w:ind w:left="567" w:hanging="567"/>
        <w:rPr>
          <w:noProof/>
        </w:rPr>
      </w:pPr>
      <w:r>
        <w:rPr>
          <w:noProof/>
        </w:rPr>
        <w:t>8)</w:t>
      </w:r>
      <w:r>
        <w:rPr>
          <w:noProof/>
        </w:rPr>
        <w:tab/>
        <w:t>„temat szczegółowy” oznacza szczegółową treść informacji, które mają być zestawiane w odniesieniu do jednostek obserwowanych, w związku z danym tematem, przy czym każdy temat szczegółowy obejmuje co najmniej jedną zmienną;</w:t>
      </w:r>
    </w:p>
    <w:p>
      <w:pPr>
        <w:spacing w:before="0" w:after="200" w:line="276" w:lineRule="auto"/>
        <w:ind w:left="567" w:hanging="567"/>
        <w:rPr>
          <w:noProof/>
        </w:rPr>
      </w:pPr>
      <w:r>
        <w:rPr>
          <w:noProof/>
        </w:rPr>
        <w:t>9)</w:t>
      </w:r>
      <w:r>
        <w:rPr>
          <w:noProof/>
        </w:rPr>
        <w:tab/>
        <w:t>„zbiór danych” oznacza jedną lub kilka zagregowanych zmiennych zebranych w tabeli;</w:t>
      </w:r>
    </w:p>
    <w:p>
      <w:pPr>
        <w:spacing w:before="0" w:after="200" w:line="276" w:lineRule="auto"/>
        <w:ind w:left="567" w:hanging="567"/>
        <w:rPr>
          <w:noProof/>
        </w:rPr>
      </w:pPr>
      <w:r>
        <w:rPr>
          <w:noProof/>
        </w:rPr>
        <w:lastRenderedPageBreak/>
        <w:t>10)</w:t>
      </w:r>
      <w:r>
        <w:rPr>
          <w:noProof/>
        </w:rPr>
        <w:tab/>
        <w:t>„zmienna” oznacza cechę jednostki obserwowanej, mogącą przyjmować więcej niż jedną ze zbioru wartości;</w:t>
      </w:r>
    </w:p>
    <w:p>
      <w:pPr>
        <w:spacing w:before="0" w:after="200" w:line="276" w:lineRule="auto"/>
        <w:ind w:left="567" w:hanging="567"/>
        <w:rPr>
          <w:noProof/>
        </w:rPr>
      </w:pPr>
      <w:r>
        <w:rPr>
          <w:noProof/>
        </w:rPr>
        <w:t>11)</w:t>
      </w:r>
      <w:r>
        <w:rPr>
          <w:noProof/>
        </w:rPr>
        <w:tab/>
        <w:t>„wstępnie sprawdzone dane” oznaczają dane zweryfikowane przez państwa członkowskie w oparciu o wspólne reguły walidacji danych, jeśli są dostępne;</w:t>
      </w:r>
    </w:p>
    <w:p>
      <w:pPr>
        <w:spacing w:before="0" w:after="200" w:line="276" w:lineRule="auto"/>
        <w:ind w:left="567" w:hanging="567"/>
        <w:rPr>
          <w:noProof/>
        </w:rPr>
      </w:pPr>
      <w:r>
        <w:rPr>
          <w:noProof/>
        </w:rPr>
        <w:t>12)</w:t>
      </w:r>
      <w:r>
        <w:rPr>
          <w:noProof/>
        </w:rPr>
        <w:tab/>
        <w:t>„dane ad hoc” oznaczają dane będące przedmiotem szczególnego zainteresowania użytkowników w określonym momencie, ale nieuwzględnione w regularnych zbiorach danych;</w:t>
      </w:r>
    </w:p>
    <w:p>
      <w:pPr>
        <w:spacing w:before="0" w:after="200" w:line="276" w:lineRule="auto"/>
        <w:ind w:left="567" w:hanging="567"/>
        <w:rPr>
          <w:noProof/>
        </w:rPr>
      </w:pPr>
      <w:r>
        <w:rPr>
          <w:noProof/>
        </w:rPr>
        <w:t>13)</w:t>
      </w:r>
      <w:r>
        <w:rPr>
          <w:noProof/>
        </w:rPr>
        <w:tab/>
        <w:t>„dane administracyjne” oznaczają dane pochodzące ze źródła niestatystycznego, zwykle w posiadaniu organu publicznego lub prywatnego, którego głównym celem nie jest dostarczanie statystyk;</w:t>
      </w:r>
    </w:p>
    <w:p>
      <w:pPr>
        <w:spacing w:before="0" w:after="200" w:line="276" w:lineRule="auto"/>
        <w:ind w:left="567" w:hanging="567"/>
        <w:rPr>
          <w:noProof/>
        </w:rPr>
      </w:pPr>
      <w:r>
        <w:rPr>
          <w:noProof/>
        </w:rPr>
        <w:t>14)</w:t>
      </w:r>
      <w:r>
        <w:rPr>
          <w:noProof/>
        </w:rPr>
        <w:tab/>
        <w:t xml:space="preserve">„metadane” oznaczają informacje potrzebne, aby umożliwić wykorzystywanie i interpretowanie statystyk, opisujące dane w ustrukturyzowany sposób; </w:t>
      </w:r>
    </w:p>
    <w:p>
      <w:pPr>
        <w:spacing w:before="0" w:after="200" w:line="276" w:lineRule="auto"/>
        <w:ind w:left="567" w:hanging="567"/>
        <w:rPr>
          <w:noProof/>
        </w:rPr>
      </w:pPr>
      <w:r>
        <w:rPr>
          <w:noProof/>
        </w:rPr>
        <w:t>15)</w:t>
      </w:r>
      <w:r>
        <w:rPr>
          <w:noProof/>
        </w:rPr>
        <w:tab/>
        <w:t>„użytkownik zawodowy” oznacza każdą osobę, która stosuje środki ochrony roślin w swojej działalności zawodowej, w tym operatorów, techników, pracodawców i osoby samozatrudnione w sektorze rolnictwa.</w:t>
      </w:r>
    </w:p>
    <w:p>
      <w:pPr>
        <w:keepNext/>
        <w:spacing w:before="360" w:after="200" w:line="276" w:lineRule="auto"/>
        <w:jc w:val="center"/>
        <w:rPr>
          <w:i/>
          <w:noProof/>
        </w:rPr>
      </w:pPr>
      <w:r>
        <w:rPr>
          <w:i/>
          <w:noProof/>
        </w:rPr>
        <w:t>Artykuł 3</w:t>
      </w:r>
    </w:p>
    <w:p>
      <w:pPr>
        <w:keepNext/>
        <w:spacing w:before="0" w:after="200" w:line="276" w:lineRule="auto"/>
        <w:jc w:val="center"/>
        <w:rPr>
          <w:b/>
          <w:noProof/>
        </w:rPr>
      </w:pPr>
      <w:r>
        <w:rPr>
          <w:b/>
          <w:noProof/>
        </w:rPr>
        <w:t>Populacja statystyczna i jednostki obserwowane</w:t>
      </w:r>
    </w:p>
    <w:p>
      <w:pPr>
        <w:spacing w:before="0" w:after="200" w:line="276" w:lineRule="auto"/>
        <w:ind w:left="360" w:hanging="360"/>
        <w:rPr>
          <w:rFonts w:eastAsia="Times New Roman"/>
          <w:noProof/>
          <w:szCs w:val="24"/>
        </w:rPr>
      </w:pPr>
      <w:r>
        <w:rPr>
          <w:noProof/>
        </w:rPr>
        <w:t>1.</w:t>
      </w:r>
      <w:r>
        <w:rPr>
          <w:noProof/>
        </w:rPr>
        <w:tab/>
        <w:t xml:space="preserve">Opisywana populacja statystyczna obejmować będzie takie jednostki statystyczne jak: gospodarstwa rolne, jednostki rolnicze obejmujące wspólnoty gruntowe, przedsiębiorstwa zapewniające towary i usługi na rzecz rolnictwa bądź nabywające lub skupujące produkty z działalności rolniczej, a także przedsiębiorstwa przetwarzające te produkty rolne, w szczególności wylęgarnie, przedsiębiorstwa mleczarskie i rzeźnie. </w:t>
      </w:r>
    </w:p>
    <w:p>
      <w:pPr>
        <w:spacing w:before="0" w:after="200" w:line="276" w:lineRule="auto"/>
        <w:ind w:left="360" w:hanging="360"/>
        <w:rPr>
          <w:rFonts w:eastAsia="Times New Roman"/>
          <w:noProof/>
          <w:szCs w:val="24"/>
        </w:rPr>
      </w:pPr>
      <w:r>
        <w:rPr>
          <w:noProof/>
        </w:rPr>
        <w:t>2.</w:t>
      </w:r>
      <w:r>
        <w:rPr>
          <w:noProof/>
        </w:rPr>
        <w:tab/>
        <w:t>Jednostkami obserwowanymi, które mają być reprezentowane w ramach statystycznych, są jednostki statystyczne, o których mowa w ust. 1, oraz – w zależności od zgłaszanych statystyk – następujące jednostki:</w:t>
      </w:r>
    </w:p>
    <w:p>
      <w:pPr>
        <w:spacing w:before="0" w:after="0" w:line="276" w:lineRule="auto"/>
        <w:ind w:left="363"/>
        <w:jc w:val="left"/>
        <w:rPr>
          <w:rFonts w:eastAsia="Times New Roman"/>
          <w:noProof/>
          <w:szCs w:val="24"/>
        </w:rPr>
      </w:pPr>
      <w:r>
        <w:rPr>
          <w:noProof/>
        </w:rPr>
        <w:t>a)</w:t>
      </w:r>
      <w:r>
        <w:rPr>
          <w:noProof/>
        </w:rPr>
        <w:tab/>
        <w:t>grunty użytkowane do celów działalności rolniczej;</w:t>
      </w:r>
    </w:p>
    <w:p>
      <w:pPr>
        <w:spacing w:before="0" w:after="0" w:line="276" w:lineRule="auto"/>
        <w:ind w:left="363"/>
        <w:jc w:val="left"/>
        <w:rPr>
          <w:rFonts w:eastAsia="Times New Roman"/>
          <w:noProof/>
          <w:szCs w:val="24"/>
        </w:rPr>
      </w:pPr>
      <w:r>
        <w:rPr>
          <w:noProof/>
        </w:rPr>
        <w:t>b)</w:t>
      </w:r>
      <w:r>
        <w:rPr>
          <w:noProof/>
        </w:rPr>
        <w:tab/>
        <w:t>zwierzęta wykorzystywane do celów działalności rolniczej;</w:t>
      </w:r>
    </w:p>
    <w:p>
      <w:pPr>
        <w:spacing w:before="0" w:after="0" w:line="276" w:lineRule="auto"/>
        <w:ind w:left="363"/>
        <w:jc w:val="left"/>
        <w:rPr>
          <w:rFonts w:eastAsia="Times New Roman"/>
          <w:noProof/>
          <w:sz w:val="20"/>
          <w:szCs w:val="24"/>
        </w:rPr>
      </w:pPr>
      <w:r>
        <w:rPr>
          <w:noProof/>
        </w:rPr>
        <w:t>c)</w:t>
      </w:r>
      <w:r>
        <w:rPr>
          <w:noProof/>
        </w:rPr>
        <w:tab/>
        <w:t xml:space="preserve">import i eksport produktów pochodzących z działalności rolniczej przez przedsiębiorstwa nierolnicze; </w:t>
      </w:r>
    </w:p>
    <w:p>
      <w:pPr>
        <w:spacing w:before="0" w:after="0" w:line="276" w:lineRule="auto"/>
        <w:ind w:left="363"/>
        <w:jc w:val="left"/>
        <w:rPr>
          <w:rFonts w:eastAsia="Times New Roman"/>
          <w:noProof/>
          <w:szCs w:val="24"/>
        </w:rPr>
      </w:pPr>
      <w:r>
        <w:rPr>
          <w:noProof/>
        </w:rPr>
        <w:t>d)</w:t>
      </w:r>
      <w:r>
        <w:rPr>
          <w:noProof/>
        </w:rPr>
        <w:tab/>
        <w:t>transakcje i przepływy czynników produkcji, towarów i usług do działalności rolniczej i z tej działalności.</w:t>
      </w:r>
    </w:p>
    <w:p>
      <w:pPr>
        <w:spacing w:before="0" w:after="0" w:line="276" w:lineRule="auto"/>
        <w:ind w:left="363"/>
        <w:jc w:val="left"/>
        <w:rPr>
          <w:rFonts w:eastAsia="Times New Roman"/>
          <w:noProof/>
          <w:sz w:val="20"/>
          <w:szCs w:val="24"/>
        </w:rPr>
      </w:pPr>
    </w:p>
    <w:p>
      <w:pPr>
        <w:spacing w:before="0" w:after="200" w:line="276" w:lineRule="auto"/>
        <w:ind w:left="360" w:hanging="360"/>
        <w:rPr>
          <w:rFonts w:eastAsia="Times New Roman"/>
          <w:noProof/>
          <w:szCs w:val="24"/>
        </w:rPr>
      </w:pPr>
      <w:r>
        <w:rPr>
          <w:noProof/>
        </w:rPr>
        <w:t xml:space="preserve">3. </w:t>
      </w:r>
      <w:r>
        <w:rPr>
          <w:noProof/>
        </w:rPr>
        <w:tab/>
        <w:t>Jednostkami sprawozdawczymi są jednostki statystyczne, o których mowa w ust. 1, oraz inne przedsiębiorstwa i instytucje przetwarzające informacje dotyczące wymogów w zakresie danych, o których mowa w art. 5 i 6.</w:t>
      </w:r>
    </w:p>
    <w:p>
      <w:pPr>
        <w:keepNext/>
        <w:spacing w:before="360" w:after="200" w:line="276" w:lineRule="auto"/>
        <w:jc w:val="center"/>
        <w:rPr>
          <w:i/>
          <w:noProof/>
        </w:rPr>
      </w:pPr>
      <w:r>
        <w:rPr>
          <w:i/>
          <w:noProof/>
        </w:rPr>
        <w:lastRenderedPageBreak/>
        <w:t xml:space="preserve">Artykuł 4 </w:t>
      </w:r>
    </w:p>
    <w:p>
      <w:pPr>
        <w:keepNext/>
        <w:spacing w:before="0" w:after="200" w:line="276" w:lineRule="auto"/>
        <w:jc w:val="center"/>
        <w:rPr>
          <w:b/>
          <w:noProof/>
        </w:rPr>
      </w:pPr>
      <w:r>
        <w:rPr>
          <w:b/>
          <w:noProof/>
        </w:rPr>
        <w:t>Wymogi dotyczące pokrycia</w:t>
      </w:r>
    </w:p>
    <w:p>
      <w:pPr>
        <w:spacing w:before="0" w:after="200" w:line="276" w:lineRule="auto"/>
        <w:rPr>
          <w:rFonts w:eastAsia="Times New Roman"/>
          <w:noProof/>
          <w:szCs w:val="24"/>
        </w:rPr>
      </w:pPr>
      <w:r>
        <w:rPr>
          <w:noProof/>
        </w:rPr>
        <w:t>1. Statystyki są reprezentatywne dla populacji statystycznej, którą opisują.</w:t>
      </w:r>
    </w:p>
    <w:p>
      <w:pPr>
        <w:spacing w:before="0" w:after="200" w:line="276" w:lineRule="auto"/>
        <w:rPr>
          <w:rFonts w:eastAsia="Times New Roman"/>
          <w:noProof/>
          <w:szCs w:val="24"/>
        </w:rPr>
      </w:pPr>
      <w:r>
        <w:rPr>
          <w:noProof/>
        </w:rPr>
        <w:t>2. W przypadku dziedziny statystyki produkcji zwierzęcej, o której mowa w art. 5 ust. 1 lit. a), dane obejmują 95 % sztuk dużych każdego państwa członkowskiego oraz powiązane działalności lub produkcję.</w:t>
      </w:r>
    </w:p>
    <w:p>
      <w:pPr>
        <w:spacing w:before="0" w:after="200" w:line="276" w:lineRule="auto"/>
        <w:rPr>
          <w:rFonts w:eastAsia="Times New Roman"/>
          <w:noProof/>
          <w:szCs w:val="24"/>
        </w:rPr>
      </w:pPr>
      <w:r>
        <w:rPr>
          <w:noProof/>
        </w:rPr>
        <w:t xml:space="preserve">3. W przypadku dziedziny statystyki produkcji roślinnej, o której mowa w art. 5 ust. 1 lit. b), oraz tematu składników odżywczych, o którym mowa w art. 5 ust. 1 lit. d) ppkt (i), dane obejmują 95 % całkowitej powierzchni użytkowanych użytków rolnych (z wyjątkiem ogrodów przydomowych) każdego państwa członkowskiego oraz powiązane wielkości produkcji. </w:t>
      </w:r>
    </w:p>
    <w:p>
      <w:pPr>
        <w:spacing w:before="0" w:after="200" w:line="276" w:lineRule="auto"/>
        <w:rPr>
          <w:rFonts w:eastAsia="Times New Roman"/>
          <w:noProof/>
          <w:szCs w:val="24"/>
        </w:rPr>
      </w:pPr>
      <w:r>
        <w:rPr>
          <w:noProof/>
        </w:rPr>
        <w:t xml:space="preserve">4. W przypadku tematu środków ochrony roślin, o którym mowa w art. 5 ust. 1 lit. d) ppkt (iii), dane obejmują środki ochrony roślin wprowadzone do obrotu zgodnie z definicją w art. 3 pkt 9 rozporządzenia (WE) nr 1107/2009. </w:t>
      </w:r>
    </w:p>
    <w:p>
      <w:pPr>
        <w:spacing w:before="0" w:after="200" w:line="276" w:lineRule="auto"/>
        <w:rPr>
          <w:rFonts w:eastAsia="Times New Roman"/>
          <w:noProof/>
          <w:szCs w:val="24"/>
        </w:rPr>
      </w:pPr>
      <w:r>
        <w:rPr>
          <w:noProof/>
        </w:rPr>
        <w:t xml:space="preserve">5. Komisja może przyjmować akty wykonawcze określające bardziej szczegółowo wymogi dotyczące pokrycia, o których mowa w ust. 2, 3 i 4. Te akty wykonawcze przyjmuje się zgodnie z procedurą sprawdzającą, o której mowa w art. 15 ust. 2. </w:t>
      </w:r>
    </w:p>
    <w:p>
      <w:pPr>
        <w:keepNext/>
        <w:spacing w:before="360" w:after="200" w:line="276" w:lineRule="auto"/>
        <w:jc w:val="center"/>
        <w:rPr>
          <w:i/>
          <w:noProof/>
        </w:rPr>
      </w:pPr>
      <w:r>
        <w:rPr>
          <w:i/>
          <w:noProof/>
        </w:rPr>
        <w:t>Artykuł 5</w:t>
      </w:r>
    </w:p>
    <w:p>
      <w:pPr>
        <w:keepNext/>
        <w:spacing w:before="0" w:after="200" w:line="276" w:lineRule="auto"/>
        <w:jc w:val="center"/>
        <w:rPr>
          <w:b/>
          <w:noProof/>
        </w:rPr>
      </w:pPr>
      <w:r>
        <w:rPr>
          <w:b/>
          <w:noProof/>
        </w:rPr>
        <w:t>Wymogi dotyczące danych przekazywanych regularnie</w:t>
      </w:r>
    </w:p>
    <w:p>
      <w:pPr>
        <w:spacing w:before="0" w:after="200" w:line="276" w:lineRule="auto"/>
        <w:ind w:left="357" w:hanging="357"/>
        <w:rPr>
          <w:noProof/>
        </w:rPr>
      </w:pPr>
      <w:r>
        <w:rPr>
          <w:noProof/>
        </w:rPr>
        <w:t>1.</w:t>
      </w:r>
      <w:r>
        <w:rPr>
          <w:noProof/>
        </w:rPr>
        <w:tab/>
        <w:t>Statystyka dotycząca nakładów i produkcji w rolnictwie obejmuje następujące dziedziny i tematy:</w:t>
      </w:r>
    </w:p>
    <w:p>
      <w:pPr>
        <w:spacing w:before="0" w:after="0" w:line="276" w:lineRule="auto"/>
        <w:ind w:left="295"/>
        <w:jc w:val="left"/>
        <w:rPr>
          <w:rFonts w:eastAsia="Times New Roman"/>
          <w:noProof/>
          <w:szCs w:val="20"/>
        </w:rPr>
      </w:pPr>
      <w:r>
        <w:rPr>
          <w:noProof/>
        </w:rPr>
        <w:t>a)</w:t>
      </w:r>
      <w:r>
        <w:rPr>
          <w:noProof/>
        </w:rPr>
        <w:tab/>
        <w:t>statystyka produkcji zwierzęcej</w:t>
      </w:r>
    </w:p>
    <w:p>
      <w:pPr>
        <w:spacing w:before="0" w:after="0" w:line="276" w:lineRule="auto"/>
        <w:ind w:left="993"/>
        <w:jc w:val="left"/>
        <w:rPr>
          <w:rFonts w:eastAsia="Times New Roman"/>
          <w:noProof/>
          <w:szCs w:val="20"/>
        </w:rPr>
      </w:pPr>
      <w:r>
        <w:rPr>
          <w:noProof/>
        </w:rPr>
        <w:t>(i)</w:t>
      </w:r>
      <w:r>
        <w:rPr>
          <w:noProof/>
        </w:rPr>
        <w:tab/>
        <w:t>zwierzęta gospodarskie i mięso</w:t>
      </w:r>
    </w:p>
    <w:p>
      <w:pPr>
        <w:spacing w:before="0" w:after="0" w:line="276" w:lineRule="auto"/>
        <w:ind w:left="993"/>
        <w:jc w:val="left"/>
        <w:rPr>
          <w:rFonts w:eastAsia="Times New Roman"/>
          <w:noProof/>
          <w:szCs w:val="20"/>
        </w:rPr>
      </w:pPr>
      <w:r>
        <w:rPr>
          <w:noProof/>
        </w:rPr>
        <w:t>(ii)</w:t>
      </w:r>
      <w:r>
        <w:rPr>
          <w:noProof/>
        </w:rPr>
        <w:tab/>
        <w:t>jaja i pisklęta</w:t>
      </w:r>
    </w:p>
    <w:p>
      <w:pPr>
        <w:spacing w:before="0" w:after="0" w:line="276" w:lineRule="auto"/>
        <w:ind w:left="993"/>
        <w:jc w:val="left"/>
        <w:rPr>
          <w:rFonts w:eastAsia="Times New Roman"/>
          <w:noProof/>
          <w:szCs w:val="20"/>
        </w:rPr>
      </w:pPr>
      <w:r>
        <w:rPr>
          <w:noProof/>
        </w:rPr>
        <w:t>(iii)</w:t>
      </w:r>
      <w:r>
        <w:rPr>
          <w:noProof/>
        </w:rPr>
        <w:tab/>
        <w:t>mleko i przetwory mleczne</w:t>
      </w:r>
    </w:p>
    <w:p>
      <w:pPr>
        <w:keepNext/>
        <w:spacing w:before="0" w:after="0" w:line="276" w:lineRule="auto"/>
        <w:ind w:left="295"/>
        <w:jc w:val="left"/>
        <w:rPr>
          <w:rFonts w:eastAsia="Times New Roman"/>
          <w:noProof/>
          <w:szCs w:val="20"/>
        </w:rPr>
      </w:pPr>
      <w:r>
        <w:rPr>
          <w:noProof/>
        </w:rPr>
        <w:t>b)</w:t>
      </w:r>
      <w:r>
        <w:rPr>
          <w:noProof/>
        </w:rPr>
        <w:tab/>
        <w:t>statystyka produkcji roślinnej</w:t>
      </w:r>
    </w:p>
    <w:p>
      <w:pPr>
        <w:spacing w:before="0" w:after="0" w:line="276" w:lineRule="auto"/>
        <w:ind w:left="993"/>
        <w:jc w:val="left"/>
        <w:rPr>
          <w:rFonts w:eastAsia="Times New Roman"/>
          <w:noProof/>
          <w:szCs w:val="20"/>
        </w:rPr>
      </w:pPr>
      <w:r>
        <w:rPr>
          <w:noProof/>
        </w:rPr>
        <w:t>(i)</w:t>
      </w:r>
      <w:r>
        <w:rPr>
          <w:noProof/>
        </w:rPr>
        <w:tab/>
        <w:t>produkcja roślinna</w:t>
      </w:r>
    </w:p>
    <w:p>
      <w:pPr>
        <w:spacing w:before="0" w:after="0" w:line="276" w:lineRule="auto"/>
        <w:ind w:left="993"/>
        <w:jc w:val="left"/>
        <w:rPr>
          <w:rFonts w:eastAsia="Times New Roman"/>
          <w:noProof/>
          <w:szCs w:val="20"/>
        </w:rPr>
      </w:pPr>
      <w:r>
        <w:rPr>
          <w:noProof/>
        </w:rPr>
        <w:t>(ii)</w:t>
      </w:r>
      <w:r>
        <w:rPr>
          <w:noProof/>
        </w:rPr>
        <w:tab/>
        <w:t>bilans upraw</w:t>
      </w:r>
    </w:p>
    <w:p>
      <w:pPr>
        <w:spacing w:before="0" w:after="0" w:line="276" w:lineRule="auto"/>
        <w:ind w:left="993"/>
        <w:jc w:val="left"/>
        <w:rPr>
          <w:rFonts w:eastAsia="Times New Roman"/>
          <w:noProof/>
          <w:szCs w:val="20"/>
        </w:rPr>
      </w:pPr>
      <w:r>
        <w:rPr>
          <w:noProof/>
        </w:rPr>
        <w:t>(iii)</w:t>
      </w:r>
      <w:r>
        <w:rPr>
          <w:noProof/>
        </w:rPr>
        <w:tab/>
        <w:t>użytki zielone i pastwiska</w:t>
      </w:r>
    </w:p>
    <w:p>
      <w:pPr>
        <w:keepNext/>
        <w:spacing w:before="0" w:after="0" w:line="276" w:lineRule="auto"/>
        <w:ind w:left="295"/>
        <w:jc w:val="left"/>
        <w:rPr>
          <w:rFonts w:eastAsia="Times New Roman"/>
          <w:noProof/>
          <w:szCs w:val="20"/>
        </w:rPr>
      </w:pPr>
      <w:r>
        <w:rPr>
          <w:noProof/>
        </w:rPr>
        <w:t>c)</w:t>
      </w:r>
      <w:r>
        <w:rPr>
          <w:noProof/>
        </w:rPr>
        <w:tab/>
        <w:t>statystyka cen w rolnictwie</w:t>
      </w:r>
    </w:p>
    <w:p>
      <w:pPr>
        <w:spacing w:before="0" w:after="0" w:line="276" w:lineRule="auto"/>
        <w:ind w:left="993"/>
        <w:jc w:val="left"/>
        <w:rPr>
          <w:rFonts w:eastAsia="Times New Roman"/>
          <w:noProof/>
          <w:szCs w:val="20"/>
        </w:rPr>
      </w:pPr>
      <w:r>
        <w:rPr>
          <w:noProof/>
        </w:rPr>
        <w:t>(i)</w:t>
      </w:r>
      <w:r>
        <w:rPr>
          <w:noProof/>
        </w:rPr>
        <w:tab/>
        <w:t>indeksy cen w rolnictwie</w:t>
      </w:r>
    </w:p>
    <w:p>
      <w:pPr>
        <w:spacing w:before="0" w:after="0" w:line="276" w:lineRule="auto"/>
        <w:ind w:left="993"/>
        <w:jc w:val="left"/>
        <w:rPr>
          <w:rFonts w:eastAsia="Times New Roman"/>
          <w:noProof/>
          <w:szCs w:val="20"/>
        </w:rPr>
      </w:pPr>
      <w:r>
        <w:rPr>
          <w:noProof/>
        </w:rPr>
        <w:t>(ii)</w:t>
      </w:r>
      <w:r>
        <w:rPr>
          <w:noProof/>
        </w:rPr>
        <w:tab/>
        <w:t xml:space="preserve">ceny nakładów w ujęciu bezwzględnym </w:t>
      </w:r>
    </w:p>
    <w:p>
      <w:pPr>
        <w:spacing w:before="0" w:after="0" w:line="276" w:lineRule="auto"/>
        <w:ind w:left="993"/>
        <w:jc w:val="left"/>
        <w:rPr>
          <w:rFonts w:eastAsia="Times New Roman"/>
          <w:noProof/>
          <w:szCs w:val="20"/>
        </w:rPr>
      </w:pPr>
      <w:r>
        <w:rPr>
          <w:noProof/>
        </w:rPr>
        <w:t>(iii)</w:t>
      </w:r>
      <w:r>
        <w:rPr>
          <w:noProof/>
        </w:rPr>
        <w:tab/>
        <w:t>ceny użytków rolnych i dzierżawy</w:t>
      </w:r>
    </w:p>
    <w:p>
      <w:pPr>
        <w:keepNext/>
        <w:spacing w:before="0" w:after="0" w:line="276" w:lineRule="auto"/>
        <w:ind w:left="295"/>
        <w:jc w:val="left"/>
        <w:rPr>
          <w:rFonts w:eastAsia="Times New Roman"/>
          <w:noProof/>
          <w:szCs w:val="20"/>
        </w:rPr>
      </w:pPr>
      <w:r>
        <w:rPr>
          <w:noProof/>
        </w:rPr>
        <w:t>d)</w:t>
      </w:r>
      <w:r>
        <w:rPr>
          <w:noProof/>
        </w:rPr>
        <w:tab/>
        <w:t>statystyka dotycząca składników odżywczych i środków ochrony roślin</w:t>
      </w:r>
    </w:p>
    <w:p>
      <w:pPr>
        <w:spacing w:before="0" w:after="0" w:line="276" w:lineRule="auto"/>
        <w:ind w:left="993"/>
        <w:jc w:val="left"/>
        <w:rPr>
          <w:rFonts w:eastAsia="Times New Roman"/>
          <w:noProof/>
          <w:szCs w:val="20"/>
        </w:rPr>
      </w:pPr>
      <w:r>
        <w:rPr>
          <w:noProof/>
        </w:rPr>
        <w:t>(i)</w:t>
      </w:r>
      <w:r>
        <w:rPr>
          <w:noProof/>
        </w:rPr>
        <w:tab/>
        <w:t>składniki odżywcze w nawozach rolniczych</w:t>
      </w:r>
    </w:p>
    <w:p>
      <w:pPr>
        <w:spacing w:before="0" w:after="0" w:line="276" w:lineRule="auto"/>
        <w:ind w:left="993"/>
        <w:jc w:val="left"/>
        <w:rPr>
          <w:rFonts w:eastAsia="Times New Roman"/>
          <w:noProof/>
          <w:szCs w:val="20"/>
        </w:rPr>
      </w:pPr>
      <w:r>
        <w:rPr>
          <w:noProof/>
        </w:rPr>
        <w:t>(ii)</w:t>
      </w:r>
      <w:r>
        <w:rPr>
          <w:noProof/>
        </w:rPr>
        <w:tab/>
        <w:t>bilans składników odżywczych</w:t>
      </w:r>
    </w:p>
    <w:p>
      <w:pPr>
        <w:spacing w:before="0" w:after="0" w:line="276" w:lineRule="auto"/>
        <w:ind w:left="993"/>
        <w:jc w:val="left"/>
        <w:rPr>
          <w:rFonts w:eastAsia="Times New Roman"/>
          <w:noProof/>
          <w:szCs w:val="20"/>
        </w:rPr>
      </w:pPr>
      <w:r>
        <w:rPr>
          <w:noProof/>
        </w:rPr>
        <w:t>(iii)</w:t>
      </w:r>
      <w:r>
        <w:rPr>
          <w:noProof/>
        </w:rPr>
        <w:tab/>
        <w:t>środki ochrony roślin</w:t>
      </w:r>
    </w:p>
    <w:p>
      <w:pPr>
        <w:spacing w:before="0" w:after="0" w:line="276" w:lineRule="auto"/>
        <w:ind w:left="993"/>
        <w:jc w:val="left"/>
        <w:rPr>
          <w:rFonts w:eastAsia="Times New Roman"/>
          <w:noProof/>
          <w:szCs w:val="20"/>
        </w:rPr>
      </w:pPr>
    </w:p>
    <w:p>
      <w:pPr>
        <w:spacing w:before="0" w:after="200" w:line="276" w:lineRule="auto"/>
        <w:ind w:left="360" w:hanging="360"/>
        <w:rPr>
          <w:noProof/>
        </w:rPr>
      </w:pPr>
      <w:r>
        <w:rPr>
          <w:noProof/>
        </w:rPr>
        <w:t>2.</w:t>
      </w:r>
      <w:r>
        <w:rPr>
          <w:noProof/>
        </w:rPr>
        <w:tab/>
        <w:t>Tematy szczegółowe określono w załączniku.</w:t>
      </w:r>
    </w:p>
    <w:p>
      <w:pPr>
        <w:spacing w:before="0" w:after="200" w:line="276" w:lineRule="auto"/>
        <w:ind w:left="360" w:hanging="360"/>
        <w:rPr>
          <w:noProof/>
        </w:rPr>
      </w:pPr>
      <w:r>
        <w:rPr>
          <w:noProof/>
        </w:rPr>
        <w:t>3.</w:t>
      </w:r>
      <w:r>
        <w:rPr>
          <w:noProof/>
        </w:rPr>
        <w:tab/>
        <w:t xml:space="preserve">Dane są przekazywane Komisji w formie zbiorów danych zagregowanych. </w:t>
      </w:r>
    </w:p>
    <w:p>
      <w:pPr>
        <w:spacing w:before="0" w:after="200" w:line="276" w:lineRule="auto"/>
        <w:ind w:left="360" w:hanging="360"/>
        <w:rPr>
          <w:noProof/>
        </w:rPr>
      </w:pPr>
      <w:r>
        <w:rPr>
          <w:noProof/>
        </w:rPr>
        <w:t>4.</w:t>
      </w:r>
      <w:r>
        <w:rPr>
          <w:noProof/>
        </w:rPr>
        <w:tab/>
        <w:t xml:space="preserve">Do zbiorów danych włączone są dane dotyczące produkcji ekologicznej i produktów ekologicznych, zgodnych z rozporządzeniem (UE) 2018/848. </w:t>
      </w:r>
    </w:p>
    <w:p>
      <w:pPr>
        <w:spacing w:before="0" w:after="200" w:line="276" w:lineRule="auto"/>
        <w:ind w:left="360" w:hanging="360"/>
        <w:rPr>
          <w:noProof/>
        </w:rPr>
      </w:pPr>
      <w:r>
        <w:rPr>
          <w:noProof/>
        </w:rPr>
        <w:t>5.</w:t>
      </w:r>
      <w:r>
        <w:rPr>
          <w:noProof/>
        </w:rPr>
        <w:tab/>
        <w:t xml:space="preserve">Dane regionalne są przekazywane na poziomie NUTS 2 zgodnie z definicją w rozporządzeniu (WE) nr 1059/2003. </w:t>
      </w:r>
    </w:p>
    <w:p>
      <w:pPr>
        <w:spacing w:before="0" w:after="200" w:line="276" w:lineRule="auto"/>
        <w:ind w:left="360" w:hanging="360"/>
        <w:rPr>
          <w:noProof/>
        </w:rPr>
      </w:pPr>
      <w:r>
        <w:rPr>
          <w:noProof/>
        </w:rPr>
        <w:t>6.</w:t>
      </w:r>
      <w:r>
        <w:rPr>
          <w:noProof/>
        </w:rPr>
        <w:tab/>
        <w:t xml:space="preserve">W przypadku gdy zmienna ma niską lub zerową częstość występowania w danym państwie członkowskim, wartości tej zmiennej można wykluczyć z przekazywanych zbiorów danych, jeżeli państwo członkowskie przedstawiło Komisji (Eurostatowi) należyte uzasadnienie tego wykluczenia. </w:t>
      </w:r>
    </w:p>
    <w:p>
      <w:pPr>
        <w:spacing w:before="0" w:after="200" w:line="276" w:lineRule="auto"/>
        <w:ind w:left="360" w:hanging="360"/>
        <w:rPr>
          <w:noProof/>
        </w:rPr>
      </w:pPr>
      <w:r>
        <w:rPr>
          <w:noProof/>
        </w:rPr>
        <w:t xml:space="preserve">7. </w:t>
      </w:r>
      <w:r>
        <w:rPr>
          <w:noProof/>
        </w:rPr>
        <w:tab/>
        <w:t>Istotne informacje na temat cen, dotyczące nakładów i produkcji w rolnictwie, w tym cechy i wagi towarów i usług, są zbierane przez państwa członkowskie do celów zestawiania porównywalnych indeksów cen oraz w odniesieniu do zmiennych wymaganych w rachunkach ekonomicznych dla rolnictwa objętych rozporządzeniem (WE) nr 138/2004.</w:t>
      </w:r>
    </w:p>
    <w:p>
      <w:pPr>
        <w:spacing w:before="0" w:after="200" w:line="276" w:lineRule="auto"/>
        <w:ind w:left="360" w:hanging="360"/>
        <w:rPr>
          <w:noProof/>
        </w:rPr>
      </w:pPr>
      <w:r>
        <w:rPr>
          <w:noProof/>
        </w:rPr>
        <w:t>8.</w:t>
      </w:r>
      <w:r>
        <w:rPr>
          <w:noProof/>
        </w:rPr>
        <w:tab/>
        <w:t xml:space="preserve">Komisja jest uprawniona do przyjmowania zgodnie z art. 14 aktów delegowanych zmieniających tematy szczegółowe określone w załączniku. </w:t>
      </w:r>
    </w:p>
    <w:p>
      <w:pPr>
        <w:spacing w:before="0" w:after="200" w:line="276" w:lineRule="auto"/>
        <w:ind w:left="360" w:hanging="360"/>
        <w:rPr>
          <w:noProof/>
        </w:rPr>
      </w:pPr>
      <w:r>
        <w:rPr>
          <w:noProof/>
        </w:rPr>
        <w:t>9.</w:t>
      </w:r>
      <w:r>
        <w:rPr>
          <w:noProof/>
        </w:rPr>
        <w:tab/>
        <w:t xml:space="preserve">Komisja może przyjmować akty wykonawcze w celu określenia zbiorów danych, które mają być przekazywane Komisji (Eurostatowi). Te akty wykonawcze określają, w stosownych przypadkach, następujące elementy techniczne danych, które mają być przekazywane: </w:t>
      </w:r>
    </w:p>
    <w:p>
      <w:pPr>
        <w:pStyle w:val="Point0"/>
        <w:rPr>
          <w:noProof/>
        </w:rPr>
      </w:pPr>
      <w:r>
        <w:rPr>
          <w:noProof/>
        </w:rPr>
        <w:t>a)</w:t>
      </w:r>
      <w:r>
        <w:rPr>
          <w:noProof/>
        </w:rPr>
        <w:tab/>
        <w:t>wykaz zmiennych;</w:t>
      </w:r>
    </w:p>
    <w:p>
      <w:pPr>
        <w:pStyle w:val="Point0"/>
        <w:rPr>
          <w:noProof/>
        </w:rPr>
      </w:pPr>
      <w:r>
        <w:rPr>
          <w:noProof/>
        </w:rPr>
        <w:t>b)</w:t>
      </w:r>
      <w:r>
        <w:rPr>
          <w:noProof/>
        </w:rPr>
        <w:tab/>
        <w:t>opisy zmiennych;</w:t>
      </w:r>
    </w:p>
    <w:p>
      <w:pPr>
        <w:pStyle w:val="Point0"/>
        <w:rPr>
          <w:noProof/>
        </w:rPr>
      </w:pPr>
      <w:r>
        <w:rPr>
          <w:noProof/>
        </w:rPr>
        <w:t>c)</w:t>
      </w:r>
      <w:r>
        <w:rPr>
          <w:noProof/>
        </w:rPr>
        <w:tab/>
        <w:t xml:space="preserve">zmienne dotyczące ekologicznej produkcji i produktów; </w:t>
      </w:r>
    </w:p>
    <w:p>
      <w:pPr>
        <w:pStyle w:val="Point0"/>
        <w:rPr>
          <w:noProof/>
        </w:rPr>
      </w:pPr>
      <w:r>
        <w:rPr>
          <w:noProof/>
        </w:rPr>
        <w:t>d)</w:t>
      </w:r>
      <w:r>
        <w:rPr>
          <w:noProof/>
        </w:rPr>
        <w:tab/>
        <w:t>zmienne na poziomie regionalnym;</w:t>
      </w:r>
    </w:p>
    <w:p>
      <w:pPr>
        <w:pStyle w:val="Point0"/>
        <w:rPr>
          <w:noProof/>
        </w:rPr>
      </w:pPr>
      <w:r>
        <w:rPr>
          <w:noProof/>
        </w:rPr>
        <w:t>e)</w:t>
      </w:r>
      <w:r>
        <w:rPr>
          <w:noProof/>
        </w:rPr>
        <w:tab/>
        <w:t>jednostki obserwowane i sprawozdawcze;</w:t>
      </w:r>
    </w:p>
    <w:p>
      <w:pPr>
        <w:pStyle w:val="Point0"/>
        <w:rPr>
          <w:noProof/>
        </w:rPr>
      </w:pPr>
      <w:r>
        <w:rPr>
          <w:noProof/>
        </w:rPr>
        <w:t>f)</w:t>
      </w:r>
      <w:r>
        <w:rPr>
          <w:noProof/>
        </w:rPr>
        <w:tab/>
        <w:t>wymogi dotyczące dokładności;</w:t>
      </w:r>
    </w:p>
    <w:p>
      <w:pPr>
        <w:pStyle w:val="Point0"/>
        <w:rPr>
          <w:noProof/>
        </w:rPr>
      </w:pPr>
      <w:r>
        <w:rPr>
          <w:noProof/>
        </w:rPr>
        <w:t>g)</w:t>
      </w:r>
      <w:r>
        <w:rPr>
          <w:noProof/>
        </w:rPr>
        <w:tab/>
        <w:t>zasady metodologiczne;</w:t>
      </w:r>
    </w:p>
    <w:p>
      <w:pPr>
        <w:pStyle w:val="Point0"/>
        <w:rPr>
          <w:noProof/>
        </w:rPr>
      </w:pPr>
      <w:r>
        <w:rPr>
          <w:noProof/>
        </w:rPr>
        <w:t>h)</w:t>
      </w:r>
      <w:r>
        <w:rPr>
          <w:noProof/>
        </w:rPr>
        <w:tab/>
        <w:t>terminy przekazywania danych.</w:t>
      </w:r>
    </w:p>
    <w:p>
      <w:pPr>
        <w:spacing w:before="0" w:after="200" w:line="276" w:lineRule="auto"/>
        <w:ind w:left="360"/>
        <w:rPr>
          <w:noProof/>
        </w:rPr>
      </w:pPr>
      <w:r>
        <w:rPr>
          <w:noProof/>
        </w:rPr>
        <w:t>Te akty wykonawcze przyjmowane są zgodnie z procedurą sprawdzającą, o której mowa w art. 15 ust. 2, nie później niż w terminie 9 miesięcy przed rozpoczęciem roku referencyjnego.</w:t>
      </w:r>
    </w:p>
    <w:p>
      <w:pPr>
        <w:spacing w:before="0" w:after="200" w:line="276" w:lineRule="auto"/>
        <w:ind w:left="360" w:hanging="360"/>
        <w:rPr>
          <w:rFonts w:eastAsia="Times New Roman"/>
          <w:noProof/>
          <w:color w:val="000000"/>
          <w:szCs w:val="24"/>
        </w:rPr>
      </w:pPr>
      <w:r>
        <w:rPr>
          <w:noProof/>
          <w:color w:val="000000"/>
          <w:szCs w:val="24"/>
        </w:rPr>
        <w:t>10.</w:t>
      </w:r>
      <w:r>
        <w:rPr>
          <w:noProof/>
        </w:rPr>
        <w:tab/>
        <w:t xml:space="preserve">Państwa członkowskie przekazują wstępnie sprawdzone dane i powiązane metadane przy użyciu formatu technicznego określonego przez Komisję (Eurostat) dla każdego zbioru </w:t>
      </w:r>
      <w:r>
        <w:rPr>
          <w:noProof/>
        </w:rPr>
        <w:lastRenderedPageBreak/>
        <w:t>danych.</w:t>
      </w:r>
      <w:r>
        <w:rPr>
          <w:noProof/>
          <w:color w:val="000000"/>
          <w:szCs w:val="24"/>
        </w:rPr>
        <w:t xml:space="preserve"> Do przekazywania danych Komisji (Eurostatowi) wykorzystuje się usługi pojedynczego punktu wprowadzania danych.</w:t>
      </w:r>
    </w:p>
    <w:p>
      <w:pPr>
        <w:keepNext/>
        <w:spacing w:before="360" w:after="200" w:line="276" w:lineRule="auto"/>
        <w:jc w:val="center"/>
        <w:rPr>
          <w:i/>
          <w:noProof/>
        </w:rPr>
      </w:pPr>
      <w:r>
        <w:rPr>
          <w:i/>
          <w:noProof/>
        </w:rPr>
        <w:t>Artykuł 6</w:t>
      </w:r>
    </w:p>
    <w:p>
      <w:pPr>
        <w:keepNext/>
        <w:spacing w:before="75" w:after="75" w:line="276" w:lineRule="auto"/>
        <w:jc w:val="center"/>
        <w:rPr>
          <w:b/>
          <w:noProof/>
          <w:color w:val="000000" w:themeColor="text1"/>
        </w:rPr>
      </w:pPr>
      <w:r>
        <w:rPr>
          <w:b/>
          <w:noProof/>
          <w:color w:val="000000" w:themeColor="text1"/>
        </w:rPr>
        <w:t>Wymogi dotyczące danych ad hoc</w:t>
      </w:r>
    </w:p>
    <w:p>
      <w:pPr>
        <w:spacing w:before="0" w:after="200" w:line="276" w:lineRule="auto"/>
        <w:ind w:left="360" w:hanging="360"/>
        <w:jc w:val="left"/>
        <w:rPr>
          <w:noProof/>
          <w:szCs w:val="20"/>
        </w:rPr>
      </w:pPr>
      <w:r>
        <w:rPr>
          <w:noProof/>
        </w:rPr>
        <w:t>1.</w:t>
      </w:r>
      <w:r>
        <w:rPr>
          <w:noProof/>
        </w:rPr>
        <w:tab/>
        <w:t>Komisja jest uprawniona do przyjmowania zgodnie z art. 14 aktów delegowanych uzupełniających niniejsze rozporządzenie, dotyczących określenia informacji, które mają być dostarczane na zasadzie ad hoc, jeżeli zbieranie dodatkowych informacji uznaje się za niezbędne. Te akty delegowane określają:</w:t>
      </w:r>
    </w:p>
    <w:p>
      <w:pPr>
        <w:pStyle w:val="Point0"/>
        <w:rPr>
          <w:noProof/>
        </w:rPr>
      </w:pPr>
      <w:r>
        <w:rPr>
          <w:noProof/>
        </w:rPr>
        <w:t>a)</w:t>
      </w:r>
      <w:r>
        <w:rPr>
          <w:noProof/>
        </w:rPr>
        <w:tab/>
        <w:t>tematy i tematy szczegółowe, które należy przekazywać w ramach gromadzenia danych ad hoc, oraz przyczyny takich dodatkowych potrzeb statystycznych;</w:t>
      </w:r>
    </w:p>
    <w:p>
      <w:pPr>
        <w:pStyle w:val="Point0"/>
        <w:rPr>
          <w:noProof/>
        </w:rPr>
      </w:pPr>
      <w:r>
        <w:rPr>
          <w:noProof/>
        </w:rPr>
        <w:t>b)</w:t>
      </w:r>
      <w:r>
        <w:rPr>
          <w:noProof/>
        </w:rPr>
        <w:tab/>
        <w:t>okresy odniesienia.</w:t>
      </w:r>
    </w:p>
    <w:p>
      <w:pPr>
        <w:spacing w:before="0" w:after="200" w:line="276" w:lineRule="auto"/>
        <w:ind w:left="360" w:hanging="360"/>
        <w:rPr>
          <w:noProof/>
          <w:szCs w:val="24"/>
        </w:rPr>
      </w:pPr>
      <w:r>
        <w:rPr>
          <w:noProof/>
        </w:rPr>
        <w:t>2.</w:t>
      </w:r>
      <w:r>
        <w:rPr>
          <w:noProof/>
        </w:rPr>
        <w:tab/>
        <w:t xml:space="preserve">Komisja jest uprawniona do przyjmowania aktów delegowanych, o których mowa w ust. 1, począwszy od roku referencyjnego </w:t>
      </w:r>
      <w:r>
        <w:rPr>
          <w:i/>
          <w:noProof/>
          <w:szCs w:val="24"/>
        </w:rPr>
        <w:t>[2 lata po wejściu w życie rozporządzenia]</w:t>
      </w:r>
      <w:r>
        <w:rPr>
          <w:noProof/>
        </w:rPr>
        <w:t xml:space="preserve"> oraz z zachowaniem co najmniej 2 lat między każdym gromadzeniem danych ad hoc. </w:t>
      </w:r>
    </w:p>
    <w:p>
      <w:pPr>
        <w:spacing w:before="0" w:after="200" w:line="276" w:lineRule="auto"/>
        <w:ind w:left="360" w:hanging="360"/>
        <w:rPr>
          <w:noProof/>
          <w:szCs w:val="24"/>
        </w:rPr>
      </w:pPr>
      <w:r>
        <w:rPr>
          <w:noProof/>
        </w:rPr>
        <w:t>3.</w:t>
      </w:r>
      <w:r>
        <w:rPr>
          <w:noProof/>
        </w:rPr>
        <w:tab/>
        <w:t>Komisja może przyjąć akty wykonawcze, aby określić:</w:t>
      </w:r>
    </w:p>
    <w:p>
      <w:pPr>
        <w:pStyle w:val="Point0"/>
        <w:rPr>
          <w:noProof/>
          <w:sz w:val="16"/>
        </w:rPr>
      </w:pPr>
      <w:r>
        <w:rPr>
          <w:noProof/>
          <w:sz w:val="16"/>
          <w:szCs w:val="16"/>
        </w:rPr>
        <w:t>a)</w:t>
      </w:r>
      <w:r>
        <w:rPr>
          <w:noProof/>
        </w:rPr>
        <w:tab/>
        <w:t>wykaz zmiennych, które mają być przekazywane Komisji (Eurostatowi);</w:t>
      </w:r>
    </w:p>
    <w:p>
      <w:pPr>
        <w:pStyle w:val="Point0"/>
        <w:rPr>
          <w:noProof/>
        </w:rPr>
      </w:pPr>
      <w:r>
        <w:rPr>
          <w:noProof/>
        </w:rPr>
        <w:t>b)</w:t>
      </w:r>
      <w:r>
        <w:rPr>
          <w:noProof/>
        </w:rPr>
        <w:tab/>
        <w:t>opis zmiennych;</w:t>
      </w:r>
    </w:p>
    <w:p>
      <w:pPr>
        <w:pStyle w:val="Point0"/>
        <w:rPr>
          <w:noProof/>
        </w:rPr>
      </w:pPr>
      <w:r>
        <w:rPr>
          <w:noProof/>
        </w:rPr>
        <w:t>c)</w:t>
      </w:r>
      <w:r>
        <w:rPr>
          <w:noProof/>
        </w:rPr>
        <w:tab/>
        <w:t xml:space="preserve">wymogi dotyczące dokładności; </w:t>
      </w:r>
    </w:p>
    <w:p>
      <w:pPr>
        <w:pStyle w:val="Point0"/>
        <w:rPr>
          <w:noProof/>
        </w:rPr>
      </w:pPr>
      <w:r>
        <w:rPr>
          <w:noProof/>
        </w:rPr>
        <w:t>d)</w:t>
      </w:r>
      <w:r>
        <w:rPr>
          <w:noProof/>
        </w:rPr>
        <w:tab/>
        <w:t>terminy przekazywania danych.</w:t>
      </w:r>
    </w:p>
    <w:p>
      <w:pPr>
        <w:spacing w:before="0" w:after="200" w:line="276" w:lineRule="auto"/>
        <w:ind w:left="360"/>
        <w:rPr>
          <w:noProof/>
          <w:szCs w:val="24"/>
        </w:rPr>
      </w:pPr>
      <w:r>
        <w:rPr>
          <w:noProof/>
        </w:rPr>
        <w:t>Te akty wykonawcze przyjmowane są zgodnie z procedurą sprawdzającą, o której mowa w art. 15, nie później niż w terminie 12 miesięcy przed rozpoczęciem roku referencyjnego.</w:t>
      </w:r>
    </w:p>
    <w:p>
      <w:pPr>
        <w:keepNext/>
        <w:spacing w:before="360" w:after="200" w:line="276" w:lineRule="auto"/>
        <w:jc w:val="center"/>
        <w:rPr>
          <w:i/>
          <w:noProof/>
        </w:rPr>
      </w:pPr>
      <w:r>
        <w:rPr>
          <w:i/>
          <w:noProof/>
        </w:rPr>
        <w:t>Artykuł 7</w:t>
      </w:r>
    </w:p>
    <w:p>
      <w:pPr>
        <w:keepNext/>
        <w:spacing w:before="360" w:after="200" w:line="276" w:lineRule="auto"/>
        <w:jc w:val="center"/>
        <w:rPr>
          <w:b/>
          <w:noProof/>
        </w:rPr>
      </w:pPr>
      <w:r>
        <w:rPr>
          <w:b/>
          <w:noProof/>
        </w:rPr>
        <w:t xml:space="preserve">Częstotliwość przekazywania zbiorów danych </w:t>
      </w:r>
    </w:p>
    <w:p>
      <w:pPr>
        <w:spacing w:before="0" w:after="200" w:line="276" w:lineRule="auto"/>
        <w:ind w:left="360" w:hanging="360"/>
        <w:rPr>
          <w:noProof/>
        </w:rPr>
      </w:pPr>
      <w:r>
        <w:rPr>
          <w:noProof/>
        </w:rPr>
        <w:t>1.</w:t>
      </w:r>
      <w:r>
        <w:rPr>
          <w:noProof/>
        </w:rPr>
        <w:tab/>
        <w:t xml:space="preserve">Częstotliwość przekazywania zbiorów danych jest określona w załączniku. Komisja może przyjmować akty wykonawcze w celu bardziej szczegółowego określenia każdej częstotliwości przekazywania danych. </w:t>
      </w:r>
    </w:p>
    <w:p>
      <w:pPr>
        <w:spacing w:before="0" w:after="200" w:line="276" w:lineRule="auto"/>
        <w:ind w:left="360" w:hanging="360"/>
        <w:rPr>
          <w:noProof/>
        </w:rPr>
      </w:pPr>
      <w:r>
        <w:rPr>
          <w:noProof/>
        </w:rPr>
        <w:t>2.</w:t>
      </w:r>
      <w:r>
        <w:rPr>
          <w:noProof/>
        </w:rPr>
        <w:tab/>
        <w:t xml:space="preserve">Państwo członkowskie może zostać zwolnione z regularnego przekazywania niektórych danych, w przypadku gdy wpływ tego państwa członkowskiego na łączną wartość UE dla danej zmiennej jest ograniczony. Komisja może przyjmować akty wykonawcze definiujące progi dla zmiennych zgodnie z określoną metodyką w taki sposób, aby stosowanie tych progów nie ograniczało informacji dotyczących oczekiwanej łącznej wartości UE dla danej zmiennej w roku referencyjnym o więcej niż 5 %. Z inicjatywy Komisji (Eurostatu) progi te są zmieniane, tak aby odpowiadały trendom w łącznych wartościach UE. </w:t>
      </w:r>
    </w:p>
    <w:p>
      <w:pPr>
        <w:spacing w:before="0" w:after="200" w:line="276" w:lineRule="auto"/>
        <w:ind w:left="360" w:hanging="360"/>
        <w:jc w:val="left"/>
        <w:rPr>
          <w:rFonts w:eastAsia="Times New Roman"/>
          <w:noProof/>
          <w:szCs w:val="20"/>
        </w:rPr>
      </w:pPr>
      <w:r>
        <w:rPr>
          <w:noProof/>
        </w:rPr>
        <w:lastRenderedPageBreak/>
        <w:t xml:space="preserve">3. </w:t>
      </w:r>
      <w:r>
        <w:rPr>
          <w:noProof/>
        </w:rPr>
        <w:tab/>
        <w:t>Komisja może przyjmować akty wykonawcze, aby bardziej szczegółowo określić następujące elementy:</w:t>
      </w:r>
    </w:p>
    <w:p>
      <w:pPr>
        <w:pStyle w:val="Point0"/>
        <w:rPr>
          <w:noProof/>
          <w:sz w:val="16"/>
        </w:rPr>
      </w:pPr>
      <w:r>
        <w:rPr>
          <w:noProof/>
          <w:sz w:val="16"/>
          <w:szCs w:val="16"/>
        </w:rPr>
        <w:t>a)</w:t>
      </w:r>
      <w:r>
        <w:rPr>
          <w:noProof/>
        </w:rPr>
        <w:tab/>
        <w:t>progi, poniżej których zestawianie zmiennej uznaje się za mające ograniczony wpływ na oczekiwaną łączną wartość zagregowaną UE;</w:t>
      </w:r>
    </w:p>
    <w:p>
      <w:pPr>
        <w:pStyle w:val="Point0"/>
        <w:rPr>
          <w:noProof/>
        </w:rPr>
      </w:pPr>
      <w:r>
        <w:rPr>
          <w:noProof/>
        </w:rPr>
        <w:t>b)</w:t>
      </w:r>
      <w:r>
        <w:rPr>
          <w:noProof/>
        </w:rPr>
        <w:tab/>
        <w:t>źródła danych i metodykę, która ma być stosowana do określenia progu;</w:t>
      </w:r>
    </w:p>
    <w:p>
      <w:pPr>
        <w:pStyle w:val="Point0"/>
        <w:rPr>
          <w:noProof/>
        </w:rPr>
      </w:pPr>
      <w:r>
        <w:rPr>
          <w:noProof/>
        </w:rPr>
        <w:t>c)</w:t>
      </w:r>
      <w:r>
        <w:rPr>
          <w:noProof/>
        </w:rPr>
        <w:tab/>
        <w:t>zmienne, do których ten wyjątek ma zastosowanie.</w:t>
      </w:r>
    </w:p>
    <w:p>
      <w:pPr>
        <w:spacing w:before="0" w:after="200" w:line="276" w:lineRule="auto"/>
        <w:ind w:left="360"/>
        <w:rPr>
          <w:noProof/>
          <w:szCs w:val="24"/>
        </w:rPr>
      </w:pPr>
      <w:r>
        <w:rPr>
          <w:noProof/>
        </w:rPr>
        <w:t>Akty wykonawcze, o których mowa w ust. 1, 2 i 3, przyjmuje się zgodnie z procedurą sprawdzającą, o której mowa w art. 15 ust. 2.</w:t>
      </w:r>
    </w:p>
    <w:p>
      <w:pPr>
        <w:keepNext/>
        <w:spacing w:before="360" w:after="200" w:line="276" w:lineRule="auto"/>
        <w:jc w:val="center"/>
        <w:rPr>
          <w:i/>
          <w:noProof/>
        </w:rPr>
      </w:pPr>
      <w:r>
        <w:rPr>
          <w:i/>
          <w:noProof/>
        </w:rPr>
        <w:t>Artykuł 8</w:t>
      </w:r>
    </w:p>
    <w:p>
      <w:pPr>
        <w:keepNext/>
        <w:spacing w:before="75" w:after="75" w:line="276" w:lineRule="auto"/>
        <w:jc w:val="center"/>
        <w:rPr>
          <w:b/>
          <w:noProof/>
          <w:szCs w:val="24"/>
        </w:rPr>
      </w:pPr>
      <w:r>
        <w:rPr>
          <w:b/>
          <w:noProof/>
          <w:szCs w:val="24"/>
        </w:rPr>
        <w:t>Źródła danych i metody</w:t>
      </w:r>
    </w:p>
    <w:p>
      <w:pPr>
        <w:spacing w:before="0" w:after="200" w:line="276" w:lineRule="auto"/>
        <w:ind w:left="360" w:hanging="360"/>
        <w:rPr>
          <w:noProof/>
          <w:szCs w:val="24"/>
        </w:rPr>
      </w:pPr>
      <w:r>
        <w:rPr>
          <w:noProof/>
        </w:rPr>
        <w:t>1.</w:t>
      </w:r>
      <w:r>
        <w:rPr>
          <w:noProof/>
        </w:rPr>
        <w:tab/>
        <w:t>W celu uzyskania statystyk dotyczących nakładów i produkcji w działalności rolniczej państwa członkowskie wykorzystują co najmniej jedno z następujących źródeł lub metod, pod warunkiem że informacje pozwalają na tworzenie statystyk spełniających wymogi jakościowe określone w art. 10:</w:t>
      </w:r>
    </w:p>
    <w:p>
      <w:pPr>
        <w:pStyle w:val="Point0"/>
        <w:rPr>
          <w:noProof/>
        </w:rPr>
      </w:pPr>
      <w:r>
        <w:rPr>
          <w:noProof/>
        </w:rPr>
        <w:t>a)</w:t>
      </w:r>
      <w:r>
        <w:rPr>
          <w:noProof/>
        </w:rPr>
        <w:tab/>
        <w:t>badania statystyczne lub inne metody statystyczne zbierania danych;</w:t>
      </w:r>
    </w:p>
    <w:p>
      <w:pPr>
        <w:pStyle w:val="Point0"/>
        <w:rPr>
          <w:noProof/>
        </w:rPr>
      </w:pPr>
      <w:r>
        <w:rPr>
          <w:noProof/>
        </w:rPr>
        <w:t>b)</w:t>
      </w:r>
      <w:r>
        <w:rPr>
          <w:noProof/>
        </w:rPr>
        <w:tab/>
        <w:t>źródła danych administracyjnych, o których mowa w ust. 2;</w:t>
      </w:r>
    </w:p>
    <w:p>
      <w:pPr>
        <w:pStyle w:val="Point0"/>
        <w:rPr>
          <w:noProof/>
        </w:rPr>
      </w:pPr>
      <w:r>
        <w:rPr>
          <w:noProof/>
        </w:rPr>
        <w:t>c)</w:t>
      </w:r>
      <w:r>
        <w:rPr>
          <w:noProof/>
        </w:rPr>
        <w:tab/>
        <w:t>inne źródła, metody lub innowacyjne podejścia.</w:t>
      </w:r>
    </w:p>
    <w:p>
      <w:pPr>
        <w:spacing w:before="0" w:after="200" w:line="276" w:lineRule="auto"/>
        <w:ind w:left="360" w:hanging="360"/>
        <w:rPr>
          <w:noProof/>
          <w:szCs w:val="24"/>
        </w:rPr>
      </w:pPr>
      <w:r>
        <w:rPr>
          <w:noProof/>
        </w:rPr>
        <w:t>2.</w:t>
      </w:r>
      <w:r>
        <w:rPr>
          <w:noProof/>
        </w:rPr>
        <w:tab/>
        <w:t xml:space="preserve">Państwa członkowskie mogą wykorzystywać wszelkie informacje pochodzące ze zintegrowanego systemu zarządzania i kontroli (ZSZiK) ustanowionego rozporządzeniem Parlamentu Europejskiego i Rady (UE) nr 1307/2013 </w:t>
      </w:r>
      <w:r>
        <w:rPr>
          <w:noProof/>
          <w:szCs w:val="24"/>
          <w:vertAlign w:val="superscript"/>
        </w:rPr>
        <w:t>(</w:t>
      </w:r>
      <w:r>
        <w:rPr>
          <w:rStyle w:val="FootnoteReference"/>
          <w:noProof/>
        </w:rPr>
        <w:footnoteReference w:id="29"/>
      </w:r>
      <w:r>
        <w:rPr>
          <w:noProof/>
          <w:szCs w:val="24"/>
          <w:vertAlign w:val="superscript"/>
        </w:rPr>
        <w:t>)</w:t>
      </w:r>
      <w:r>
        <w:rPr>
          <w:noProof/>
        </w:rPr>
        <w:t xml:space="preserve">, z systemu identyfikacji i rejestracji bydła ustanowionego rozporządzeniem (WE) nr 1760/2000 Parlamentu Europejskiego i Rady </w:t>
      </w:r>
      <w:r>
        <w:rPr>
          <w:noProof/>
          <w:szCs w:val="24"/>
          <w:vertAlign w:val="superscript"/>
        </w:rPr>
        <w:t>(</w:t>
      </w:r>
      <w:r>
        <w:rPr>
          <w:rStyle w:val="FootnoteReference"/>
          <w:noProof/>
        </w:rPr>
        <w:footnoteReference w:id="30"/>
      </w:r>
      <w:r>
        <w:rPr>
          <w:noProof/>
          <w:szCs w:val="24"/>
          <w:vertAlign w:val="superscript"/>
        </w:rPr>
        <w:t>)</w:t>
      </w:r>
      <w:r>
        <w:rPr>
          <w:noProof/>
        </w:rPr>
        <w:t xml:space="preserve">, z systemu identyfikacji i rejestrowania owiec i kóz ustanowionego rozporządzeniem Rady (WE) nr 21/2004 </w:t>
      </w:r>
      <w:r>
        <w:rPr>
          <w:noProof/>
          <w:szCs w:val="24"/>
          <w:vertAlign w:val="superscript"/>
        </w:rPr>
        <w:t>(</w:t>
      </w:r>
      <w:r>
        <w:rPr>
          <w:rStyle w:val="FootnoteReference"/>
          <w:noProof/>
        </w:rPr>
        <w:footnoteReference w:id="31"/>
      </w:r>
      <w:r>
        <w:rPr>
          <w:noProof/>
          <w:szCs w:val="24"/>
          <w:vertAlign w:val="superscript"/>
        </w:rPr>
        <w:t>)</w:t>
      </w:r>
      <w:r>
        <w:rPr>
          <w:noProof/>
        </w:rPr>
        <w:t xml:space="preserve">, z rejestru winnic prowadzonego zgodnie art. 145 rozporządzenia (UE) nr 1308/2013 Parlamentu Europejskiego i Rady </w:t>
      </w:r>
      <w:r>
        <w:rPr>
          <w:noProof/>
          <w:szCs w:val="24"/>
          <w:vertAlign w:val="superscript"/>
        </w:rPr>
        <w:t>(</w:t>
      </w:r>
      <w:r>
        <w:rPr>
          <w:rStyle w:val="FootnoteReference"/>
          <w:noProof/>
        </w:rPr>
        <w:footnoteReference w:id="32"/>
      </w:r>
      <w:r>
        <w:rPr>
          <w:noProof/>
          <w:szCs w:val="24"/>
          <w:vertAlign w:val="superscript"/>
        </w:rPr>
        <w:t>)</w:t>
      </w:r>
      <w:r>
        <w:rPr>
          <w:noProof/>
        </w:rPr>
        <w:t xml:space="preserve"> oraz z rejestru gospodarstw ekologicznych określonego na podstawie rozporządzenia (UE) 2018/848.</w:t>
      </w:r>
    </w:p>
    <w:p>
      <w:pPr>
        <w:spacing w:before="0" w:after="200" w:line="276" w:lineRule="auto"/>
        <w:ind w:left="360" w:hanging="360"/>
        <w:rPr>
          <w:noProof/>
          <w:szCs w:val="24"/>
        </w:rPr>
      </w:pPr>
      <w:r>
        <w:rPr>
          <w:noProof/>
        </w:rPr>
        <w:lastRenderedPageBreak/>
        <w:t>3.</w:t>
      </w:r>
      <w:r>
        <w:rPr>
          <w:noProof/>
        </w:rPr>
        <w:tab/>
        <w:t xml:space="preserve">Dane statystyczne dotyczące środków ochrony roślin, o których mowa w art. 5 ust. 1 lit. d) ppkt (iii), są dostarczane przy wykorzystaniu dokumentacji przechowywanej i udostępnianej zgodnie z art. 67 rozporządzenia (WE) nr 1107/2009. </w:t>
      </w:r>
    </w:p>
    <w:p>
      <w:pPr>
        <w:spacing w:before="0" w:after="200" w:line="276" w:lineRule="auto"/>
        <w:ind w:left="360" w:hanging="360"/>
        <w:rPr>
          <w:noProof/>
        </w:rPr>
      </w:pPr>
      <w:r>
        <w:rPr>
          <w:noProof/>
        </w:rPr>
        <w:t>4. W tym celu państwa członkowskie wymagają od użytkowników zawodowych środków ochrony roślin przekazania w formacie elektronicznym dokumentacji obejmującej co najmniej nazwę środka ochrony roślin, zastosowaną dawkę oraz główny obszar i uprawy, na których zastosowano środek ochrony roślin, zgodnie z tym rozporządzeniem.</w:t>
      </w:r>
    </w:p>
    <w:p>
      <w:pPr>
        <w:spacing w:before="0" w:after="200" w:line="276" w:lineRule="auto"/>
        <w:ind w:left="360" w:hanging="360"/>
        <w:rPr>
          <w:rFonts w:eastAsia="Times New Roman"/>
          <w:noProof/>
          <w:szCs w:val="24"/>
        </w:rPr>
      </w:pPr>
      <w:r>
        <w:rPr>
          <w:noProof/>
        </w:rPr>
        <w:t>5.</w:t>
      </w:r>
      <w:r>
        <w:rPr>
          <w:noProof/>
        </w:rPr>
        <w:tab/>
        <w:t>Państwa członkowskie, które postanowią skorzystać z wymienionych w ust. 1 lit. c) źródeł, metod lub podejść innowacyjnych, informują o tym Komisję (Eurostat) w ciągu roku poprzedzającego rok referencyjny, w którym wprowadzone zostanie to źródło, metoda lub podejście innowacyjne, i przekazują szczegółowe informacje dotyczące jakości uzyskanych danych.</w:t>
      </w:r>
    </w:p>
    <w:p>
      <w:pPr>
        <w:spacing w:before="0" w:after="200" w:line="276" w:lineRule="auto"/>
        <w:ind w:left="360" w:hanging="360"/>
        <w:rPr>
          <w:noProof/>
        </w:rPr>
      </w:pPr>
      <w:r>
        <w:rPr>
          <w:noProof/>
        </w:rPr>
        <w:t>6.</w:t>
      </w:r>
      <w:r>
        <w:rPr>
          <w:noProof/>
        </w:rPr>
        <w:tab/>
        <w:t>Organy krajowe odpowiedzialne za zapewnienie zgodności z wymogami niniejszego rozporządzenia mają prawo dostępu do danych i korzystania z nich, bezzwłocznie i nieodpłatnie, w tym indywidualnych danych dotyczących przedsiębiorstw i gospodarstw rolnych w aktach administracyjnych zestawianych na terytorium ich kraju zgodnie z art. 17a rozporządzenia (WE) nr 223/2009. Organy krajowe i właściciele rejestrów administracyjnych ustanawiają niezbędne mechanizmy współpracy zapewniające taki dostęp. Dostęp przyznaje się również w przypadkach, w których właściwy organ przekazał wykonywanie zadań w jego imieniu podmiotom prywatnym lub częściowo publicznym.</w:t>
      </w:r>
    </w:p>
    <w:p>
      <w:pPr>
        <w:keepNext/>
        <w:spacing w:before="360" w:after="200" w:line="276" w:lineRule="auto"/>
        <w:jc w:val="center"/>
        <w:rPr>
          <w:i/>
          <w:noProof/>
        </w:rPr>
      </w:pPr>
      <w:r>
        <w:rPr>
          <w:i/>
          <w:noProof/>
        </w:rPr>
        <w:t>Artykuł 9</w:t>
      </w:r>
    </w:p>
    <w:p>
      <w:pPr>
        <w:spacing w:before="75" w:after="75" w:line="276" w:lineRule="auto"/>
        <w:jc w:val="center"/>
        <w:rPr>
          <w:b/>
          <w:noProof/>
          <w:szCs w:val="24"/>
        </w:rPr>
      </w:pPr>
      <w:r>
        <w:rPr>
          <w:b/>
          <w:noProof/>
          <w:szCs w:val="24"/>
        </w:rPr>
        <w:t>Okres odniesienia</w:t>
      </w:r>
    </w:p>
    <w:p>
      <w:pPr>
        <w:spacing w:before="0" w:after="200" w:line="276" w:lineRule="auto"/>
        <w:rPr>
          <w:noProof/>
        </w:rPr>
      </w:pPr>
      <w:r>
        <w:rPr>
          <w:noProof/>
        </w:rPr>
        <w:t>Gromadzone informacje dotyczą jednego okresu odniesienia, który jest wspólny dla wszystkich państw członkowskich i odnosi się do sytuacji mającej miejsce w określonym terminie.</w:t>
      </w:r>
    </w:p>
    <w:p>
      <w:pPr>
        <w:spacing w:before="0" w:after="200" w:line="276" w:lineRule="auto"/>
        <w:rPr>
          <w:noProof/>
        </w:rPr>
      </w:pPr>
      <w:r>
        <w:rPr>
          <w:noProof/>
        </w:rPr>
        <w:t xml:space="preserve">Okres odniesienia dla każdego tematu szczegółowego określono w załączniku. Pierwsze okresy odniesienia rozpoczynają się w roku kalendarzowym </w:t>
      </w:r>
      <w:r>
        <w:rPr>
          <w:i/>
          <w:noProof/>
        </w:rPr>
        <w:t>[wpisać rok rozpoczynający się dnia 1 stycznia po upływie 18 miesięcy od dnia przyjęcia]</w:t>
      </w:r>
      <w:r>
        <w:rPr>
          <w:noProof/>
        </w:rPr>
        <w:t>.</w:t>
      </w:r>
    </w:p>
    <w:p>
      <w:pPr>
        <w:spacing w:before="0" w:after="200" w:line="276" w:lineRule="auto"/>
        <w:rPr>
          <w:noProof/>
        </w:rPr>
      </w:pPr>
      <w:r>
        <w:rPr>
          <w:noProof/>
        </w:rPr>
        <w:t xml:space="preserve">Komisja może przyjmować akty wykonawcze, aby bardziej szczegółowo określić okresy odniesienia. Te akty wykonawcze przyjmuje się zgodnie z procedurą sprawdzającą, o której mowa w art. 15 ust. 2. </w:t>
      </w:r>
    </w:p>
    <w:p>
      <w:pPr>
        <w:keepNext/>
        <w:spacing w:before="360" w:after="200" w:line="276" w:lineRule="auto"/>
        <w:jc w:val="center"/>
        <w:rPr>
          <w:i/>
          <w:noProof/>
        </w:rPr>
      </w:pPr>
      <w:r>
        <w:rPr>
          <w:i/>
          <w:noProof/>
        </w:rPr>
        <w:t>Artykuł 10</w:t>
      </w:r>
    </w:p>
    <w:p>
      <w:pPr>
        <w:keepNext/>
        <w:spacing w:before="75" w:after="75" w:line="276" w:lineRule="auto"/>
        <w:jc w:val="center"/>
        <w:rPr>
          <w:b/>
          <w:noProof/>
          <w:szCs w:val="24"/>
        </w:rPr>
      </w:pPr>
      <w:r>
        <w:rPr>
          <w:b/>
          <w:noProof/>
          <w:szCs w:val="24"/>
        </w:rPr>
        <w:t>Jakość i sprawozdawczość dotycząca jakości</w:t>
      </w:r>
    </w:p>
    <w:p>
      <w:pPr>
        <w:spacing w:before="0" w:after="200" w:line="276" w:lineRule="auto"/>
        <w:ind w:left="360" w:hanging="360"/>
        <w:rPr>
          <w:noProof/>
          <w:szCs w:val="24"/>
        </w:rPr>
      </w:pPr>
      <w:r>
        <w:rPr>
          <w:noProof/>
        </w:rPr>
        <w:t>1.</w:t>
      </w:r>
      <w:r>
        <w:rPr>
          <w:noProof/>
        </w:rPr>
        <w:tab/>
        <w:t>Państwa członkowskie podejmują konieczne środki w celu zapewnienia jakości przekazywanych danych i metadanych.</w:t>
      </w:r>
    </w:p>
    <w:p>
      <w:pPr>
        <w:spacing w:before="0" w:after="200" w:line="276" w:lineRule="auto"/>
        <w:ind w:left="360" w:hanging="360"/>
        <w:rPr>
          <w:noProof/>
          <w:color w:val="000000"/>
          <w:sz w:val="22"/>
        </w:rPr>
      </w:pPr>
      <w:r>
        <w:rPr>
          <w:noProof/>
        </w:rPr>
        <w:lastRenderedPageBreak/>
        <w:t>2.</w:t>
      </w:r>
      <w:r>
        <w:rPr>
          <w:noProof/>
        </w:rPr>
        <w:tab/>
      </w:r>
      <w:r>
        <w:rPr>
          <w:noProof/>
          <w:color w:val="000000"/>
        </w:rPr>
        <w:t>Państwa członkowskie zapewniają, aby dane uzyskane przy wykorzystaniu źródeł i metod określonych w art. 8 dawały dokładne dane szacunkowe dotyczące populacji statystycznej zdefiniowanej w art. 3 na poziomie krajowym, a jeżeli jest to wymagane – na poziomie regionalnym.</w:t>
      </w:r>
    </w:p>
    <w:p>
      <w:pPr>
        <w:spacing w:before="0" w:after="200" w:line="276" w:lineRule="auto"/>
        <w:ind w:left="360" w:hanging="360"/>
        <w:rPr>
          <w:noProof/>
          <w:szCs w:val="24"/>
        </w:rPr>
      </w:pPr>
      <w:r>
        <w:rPr>
          <w:noProof/>
        </w:rPr>
        <w:t>3.</w:t>
      </w:r>
      <w:r>
        <w:rPr>
          <w:noProof/>
        </w:rPr>
        <w:tab/>
        <w:t>Do celów niniejszego rozporządzenia stosuje się kryteria jakości określone w art. 12 ust. 1 rozporządzenia (WE) nr 223/2009.</w:t>
      </w:r>
    </w:p>
    <w:p>
      <w:pPr>
        <w:spacing w:before="0" w:after="200" w:line="276" w:lineRule="auto"/>
        <w:ind w:left="360" w:hanging="360"/>
        <w:rPr>
          <w:noProof/>
          <w:szCs w:val="24"/>
        </w:rPr>
      </w:pPr>
      <w:r>
        <w:rPr>
          <w:noProof/>
        </w:rPr>
        <w:t>4.</w:t>
      </w:r>
      <w:r>
        <w:rPr>
          <w:noProof/>
        </w:rPr>
        <w:tab/>
        <w:t>Komisja (Eurostat) w sposób przejrzysty i weryfikowalny ocenia jakość przekazanych danych i metadanych.</w:t>
      </w:r>
    </w:p>
    <w:p>
      <w:pPr>
        <w:spacing w:before="0" w:after="200" w:line="276" w:lineRule="auto"/>
        <w:ind w:left="360" w:hanging="360"/>
        <w:rPr>
          <w:noProof/>
          <w:szCs w:val="24"/>
        </w:rPr>
      </w:pPr>
      <w:r>
        <w:rPr>
          <w:noProof/>
        </w:rPr>
        <w:t>5.</w:t>
      </w:r>
      <w:r>
        <w:rPr>
          <w:noProof/>
        </w:rPr>
        <w:tab/>
        <w:t xml:space="preserve">W tym celu państwa członkowskie przekazują Komisji (Eurostatowi) sprawozdanie dotyczące jakości opisujące procesy statystyczne, po raz pierwszy do dnia 31 grudnia </w:t>
      </w:r>
      <w:r>
        <w:rPr>
          <w:i/>
          <w:noProof/>
          <w:szCs w:val="24"/>
        </w:rPr>
        <w:t xml:space="preserve">[wpisać rok rozpoczynający się dnia 1 stycznia po upływie 30 miesięcy od dnia przyjęcia] </w:t>
      </w:r>
      <w:r>
        <w:rPr>
          <w:noProof/>
        </w:rPr>
        <w:t>r., a następnie co 3 lata, w odniesieniu do zbiorów danych przekazanych w tym okresie, zawierające w szczególności:</w:t>
      </w:r>
    </w:p>
    <w:p>
      <w:pPr>
        <w:pStyle w:val="Point0"/>
        <w:rPr>
          <w:noProof/>
          <w:color w:val="000000"/>
        </w:rPr>
      </w:pPr>
      <w:r>
        <w:rPr>
          <w:noProof/>
        </w:rPr>
        <w:t>a)</w:t>
      </w:r>
      <w:r>
        <w:rPr>
          <w:noProof/>
        </w:rPr>
        <w:tab/>
        <w:t>metadane opisujące zastosowaną metodologię i sposób wywiązania się ze specyfikacji technicznych poprzez odniesienie do specyfikacji ustanowionych w niniejszym rozporządzeniu;</w:t>
      </w:r>
    </w:p>
    <w:p>
      <w:pPr>
        <w:pStyle w:val="Point0"/>
        <w:rPr>
          <w:noProof/>
          <w:sz w:val="20"/>
        </w:rPr>
      </w:pPr>
      <w:r>
        <w:rPr>
          <w:noProof/>
        </w:rPr>
        <w:t>b)</w:t>
      </w:r>
      <w:r>
        <w:rPr>
          <w:noProof/>
        </w:rPr>
        <w:tab/>
        <w:t>informacje na temat zgodności z wymogami dotyczącymi pokrycia opisanymi w art. 4, w tym podczas rozszerzania i aktualizacji pokrycia.</w:t>
      </w:r>
    </w:p>
    <w:p>
      <w:pPr>
        <w:spacing w:before="0" w:after="200" w:line="276" w:lineRule="auto"/>
        <w:ind w:left="360" w:hanging="360"/>
        <w:rPr>
          <w:noProof/>
          <w:szCs w:val="24"/>
        </w:rPr>
      </w:pPr>
      <w:r>
        <w:rPr>
          <w:noProof/>
        </w:rPr>
        <w:t>6.</w:t>
      </w:r>
      <w:r>
        <w:rPr>
          <w:noProof/>
        </w:rPr>
        <w:tab/>
        <w:t xml:space="preserve">Osobne sprawozdania metodologiczne odnoszące się do tematu szczegółowego „Wagi i indeksy z dostosowanym rokiem bazowym” są przekazywane w tym samym czasie co dane. </w:t>
      </w:r>
    </w:p>
    <w:p>
      <w:pPr>
        <w:spacing w:before="0" w:after="200" w:line="276" w:lineRule="auto"/>
        <w:ind w:left="360" w:hanging="360"/>
        <w:rPr>
          <w:noProof/>
          <w:szCs w:val="24"/>
        </w:rPr>
      </w:pPr>
      <w:r>
        <w:rPr>
          <w:noProof/>
        </w:rPr>
        <w:t>7.</w:t>
      </w:r>
      <w:r>
        <w:rPr>
          <w:noProof/>
        </w:rPr>
        <w:tab/>
        <w:t>Komisja może przyjmować akty wykonawcze określające praktyczne ustalenia i treść sprawozdań dotyczących jakości. Te akty wykonawcze przyjmuje się zgodnie z procedurą sprawdzającą, o której mowa w art. 15 ust. 2.</w:t>
      </w:r>
    </w:p>
    <w:p>
      <w:pPr>
        <w:spacing w:before="0" w:after="200" w:line="276" w:lineRule="auto"/>
        <w:ind w:left="360" w:hanging="360"/>
        <w:rPr>
          <w:noProof/>
          <w:szCs w:val="24"/>
        </w:rPr>
      </w:pPr>
      <w:r>
        <w:rPr>
          <w:noProof/>
        </w:rPr>
        <w:t>8.</w:t>
      </w:r>
      <w:r>
        <w:rPr>
          <w:noProof/>
        </w:rPr>
        <w:tab/>
        <w:t>Państwa członkowskie w razie potrzeby informują Komisję (Eurostat) o wszelkich istotnych informacjach lub zmianach dotyczących wykonania niniejszego rozporządzenia, które mogłyby mieć znaczący wpływ na jakość przekazywanych danych.</w:t>
      </w:r>
    </w:p>
    <w:p>
      <w:pPr>
        <w:spacing w:before="0" w:after="200" w:line="276" w:lineRule="auto"/>
        <w:ind w:left="360" w:hanging="360"/>
        <w:rPr>
          <w:noProof/>
          <w:szCs w:val="24"/>
        </w:rPr>
      </w:pPr>
      <w:r>
        <w:rPr>
          <w:noProof/>
        </w:rPr>
        <w:t>9.</w:t>
      </w:r>
      <w:r>
        <w:rPr>
          <w:noProof/>
        </w:rPr>
        <w:tab/>
        <w:t>Na wniosek Komisji (Eurostatu) państwa członkowskie dostarczają dodatkowych wyjaśnień niezbędnych do oceny jakości informacji statystycznych.</w:t>
      </w:r>
    </w:p>
    <w:p>
      <w:pPr>
        <w:keepNext/>
        <w:spacing w:before="360" w:after="200" w:line="276" w:lineRule="auto"/>
        <w:jc w:val="center"/>
        <w:rPr>
          <w:i/>
          <w:noProof/>
        </w:rPr>
      </w:pPr>
      <w:r>
        <w:rPr>
          <w:i/>
          <w:noProof/>
        </w:rPr>
        <w:t>Artykuł 11</w:t>
      </w:r>
    </w:p>
    <w:p>
      <w:pPr>
        <w:keepNext/>
        <w:spacing w:before="75" w:after="75" w:line="276" w:lineRule="auto"/>
        <w:jc w:val="center"/>
        <w:rPr>
          <w:b/>
          <w:noProof/>
          <w:color w:val="000000" w:themeColor="text1"/>
        </w:rPr>
      </w:pPr>
      <w:r>
        <w:rPr>
          <w:b/>
          <w:noProof/>
          <w:color w:val="000000" w:themeColor="text1"/>
        </w:rPr>
        <w:t>Wkład Unii</w:t>
      </w:r>
    </w:p>
    <w:p>
      <w:pPr>
        <w:spacing w:before="0" w:after="200" w:line="276" w:lineRule="auto"/>
        <w:ind w:left="360" w:hanging="360"/>
        <w:rPr>
          <w:noProof/>
          <w:szCs w:val="24"/>
        </w:rPr>
      </w:pPr>
      <w:r>
        <w:rPr>
          <w:noProof/>
        </w:rPr>
        <w:t>1.</w:t>
      </w:r>
      <w:r>
        <w:rPr>
          <w:noProof/>
        </w:rPr>
        <w:tab/>
        <w:t xml:space="preserve">W celu wykonania niniejszego rozporządzenia Unia może przyznać dotacje krajowym urzędom statystycznym i innym organom krajowym, o których mowa w art. 5 ust. 2 rozporządzenia (WE) nr 223/2009, w celu pokrycia kosztów gromadzenia danych ad hoc. </w:t>
      </w:r>
    </w:p>
    <w:p>
      <w:pPr>
        <w:spacing w:before="0" w:after="200" w:line="276" w:lineRule="auto"/>
        <w:ind w:left="360" w:hanging="360"/>
        <w:rPr>
          <w:noProof/>
        </w:rPr>
      </w:pPr>
      <w:r>
        <w:rPr>
          <w:noProof/>
        </w:rPr>
        <w:t>2.</w:t>
      </w:r>
      <w:r>
        <w:rPr>
          <w:noProof/>
        </w:rPr>
        <w:tab/>
        <w:t>Wkład finansowy Unii nie przekracza 90 % kosztów kwalifikowalnych.</w:t>
      </w:r>
    </w:p>
    <w:p>
      <w:pPr>
        <w:keepNext/>
        <w:spacing w:before="360" w:after="200" w:line="276" w:lineRule="auto"/>
        <w:jc w:val="center"/>
        <w:rPr>
          <w:i/>
          <w:noProof/>
        </w:rPr>
      </w:pPr>
      <w:r>
        <w:rPr>
          <w:i/>
          <w:noProof/>
        </w:rPr>
        <w:lastRenderedPageBreak/>
        <w:t>Artykuł 12</w:t>
      </w:r>
    </w:p>
    <w:p>
      <w:pPr>
        <w:keepNext/>
        <w:spacing w:before="75" w:after="75" w:line="276" w:lineRule="auto"/>
        <w:jc w:val="center"/>
        <w:rPr>
          <w:b/>
          <w:noProof/>
          <w:color w:val="000000" w:themeColor="text1"/>
        </w:rPr>
      </w:pPr>
      <w:r>
        <w:rPr>
          <w:b/>
          <w:noProof/>
          <w:color w:val="000000" w:themeColor="text1"/>
        </w:rPr>
        <w:t>Ochrona interesów finansowych Unii</w:t>
      </w:r>
    </w:p>
    <w:p>
      <w:pPr>
        <w:spacing w:before="0" w:after="200" w:line="276" w:lineRule="auto"/>
        <w:ind w:left="360" w:hanging="360"/>
        <w:rPr>
          <w:noProof/>
        </w:rPr>
      </w:pPr>
      <w:r>
        <w:rPr>
          <w:noProof/>
        </w:rPr>
        <w:t>1.</w:t>
      </w:r>
      <w:r>
        <w:rPr>
          <w:noProof/>
        </w:rPr>
        <w:tab/>
        <w:t>Komisja, w trakcie realizacji działań finansowanych na podstawie niniejszego rozporządzenia, podejmuje odpowiednie środki zapewniające ochronę interesów finansowych Unii przez zapobieganie nadużyciom finansowym, korupcji i wszelkim innym nielegalnym działaniom, przez skuteczne kontrole oraz, w razie wykrycia nieprawidłowości, przez odzyskiwanie kwot nienależnie wypłaconych, a także, w stosownych przypadkach, przez skuteczne, proporcjonalne i odstraszające sankcje administracyjne i finansowe.</w:t>
      </w:r>
    </w:p>
    <w:p>
      <w:pPr>
        <w:spacing w:before="0" w:after="200" w:line="276" w:lineRule="auto"/>
        <w:ind w:left="360" w:hanging="360"/>
        <w:rPr>
          <w:noProof/>
        </w:rPr>
      </w:pPr>
      <w:r>
        <w:rPr>
          <w:noProof/>
        </w:rPr>
        <w:t>2.</w:t>
      </w:r>
      <w:r>
        <w:rPr>
          <w:noProof/>
        </w:rPr>
        <w:tab/>
        <w:t>Komisja lub jej przedstawiciele oraz Trybunał Obrachunkowy mają uprawnienia do audytu, na podstawie dokumentacji i kontroli na miejscu, wobec wszystkich beneficjentów dotacji, wykonawców i podwykonawców, którzy otrzymali środki unijne na podstawie programu.</w:t>
      </w:r>
    </w:p>
    <w:p>
      <w:pPr>
        <w:spacing w:before="0" w:after="200" w:line="276" w:lineRule="auto"/>
        <w:ind w:left="360" w:hanging="360"/>
        <w:rPr>
          <w:noProof/>
        </w:rPr>
      </w:pPr>
      <w:r>
        <w:rPr>
          <w:noProof/>
        </w:rPr>
        <w:t>3.</w:t>
      </w:r>
      <w:r>
        <w:rPr>
          <w:noProof/>
        </w:rPr>
        <w:tab/>
        <w:t xml:space="preserve">Europejski Urząd ds. Zwalczania Nadużyć Finansowych (OLAF) może prowadzić dochodzenia, w tym kontrole i inspekcje na miejscu, zgodnie z przepisami i procedurami określonymi w rozporządzeniu Parlamentu Europejskiego i Rady (UE, Euratom) nr 883/2013 </w:t>
      </w:r>
      <w:r>
        <w:rPr>
          <w:noProof/>
          <w:vertAlign w:val="superscript"/>
        </w:rPr>
        <w:t>(</w:t>
      </w:r>
      <w:r>
        <w:rPr>
          <w:rStyle w:val="FootnoteReference"/>
          <w:noProof/>
        </w:rPr>
        <w:footnoteReference w:id="33"/>
      </w:r>
      <w:r>
        <w:rPr>
          <w:noProof/>
          <w:vertAlign w:val="superscript"/>
        </w:rPr>
        <w:t>)</w:t>
      </w:r>
      <w:r>
        <w:rPr>
          <w:noProof/>
        </w:rPr>
        <w:t xml:space="preserve"> oraz rozporządzeniu Rady (Euratom, WE) nr 2185/96 </w:t>
      </w:r>
      <w:r>
        <w:rPr>
          <w:noProof/>
          <w:vertAlign w:val="superscript"/>
        </w:rPr>
        <w:t>(</w:t>
      </w:r>
      <w:r>
        <w:rPr>
          <w:rStyle w:val="FootnoteReference"/>
          <w:noProof/>
        </w:rPr>
        <w:footnoteReference w:id="34"/>
      </w:r>
      <w:r>
        <w:rPr>
          <w:noProof/>
          <w:vertAlign w:val="superscript"/>
        </w:rPr>
        <w:t>)</w:t>
      </w:r>
      <w:r>
        <w:rPr>
          <w:noProof/>
        </w:rPr>
        <w:t>, w celu ustalenia, czy miały miejsce nadużycie finansowe, korupcja lub inne nielegalne działania naruszające interesy finansowe Unii, w związku z umową o udzielenie dotacji, decyzją o udzieleniu dotacji lub umową w sprawie zamówienia finansowaną w ramach programu.</w:t>
      </w:r>
    </w:p>
    <w:p>
      <w:pPr>
        <w:spacing w:before="0" w:after="200" w:line="276" w:lineRule="auto"/>
        <w:ind w:left="360" w:hanging="360"/>
        <w:rPr>
          <w:noProof/>
        </w:rPr>
      </w:pPr>
      <w:r>
        <w:rPr>
          <w:noProof/>
        </w:rPr>
        <w:t>4.</w:t>
      </w:r>
      <w:r>
        <w:rPr>
          <w:noProof/>
        </w:rPr>
        <w:tab/>
        <w:t>Bez uszczerbku dla ust. 1, 2 i 3, w umowach o współpracy z państwami trzecimi i organizacjami międzynarodowymi, zamówieniach, umowach o udzielenie dotacji i decyzjach o udzieleniu dotacji wynikających z wykonania niniejszego rozporządzenia zamieszcza się postanowienia wyraźnie upoważniające Komisję, Trybunał Obrachunkowy i OLAF do prowadzenia takich audytów i dochodzeń zgodnie z ich odpowiednimi uprawnieniami.</w:t>
      </w:r>
    </w:p>
    <w:p>
      <w:pPr>
        <w:keepNext/>
        <w:spacing w:before="360" w:after="200" w:line="276" w:lineRule="auto"/>
        <w:jc w:val="center"/>
        <w:rPr>
          <w:i/>
          <w:noProof/>
        </w:rPr>
      </w:pPr>
      <w:r>
        <w:rPr>
          <w:i/>
          <w:noProof/>
        </w:rPr>
        <w:t xml:space="preserve">Artykuł 13 </w:t>
      </w:r>
    </w:p>
    <w:p>
      <w:pPr>
        <w:keepNext/>
        <w:spacing w:before="75" w:after="75" w:line="276" w:lineRule="auto"/>
        <w:jc w:val="center"/>
        <w:rPr>
          <w:b/>
          <w:noProof/>
          <w:color w:val="000000" w:themeColor="text1"/>
        </w:rPr>
      </w:pPr>
      <w:r>
        <w:rPr>
          <w:b/>
          <w:noProof/>
          <w:color w:val="000000" w:themeColor="text1"/>
        </w:rPr>
        <w:t>Odstępstwa</w:t>
      </w:r>
    </w:p>
    <w:p>
      <w:pPr>
        <w:spacing w:before="0" w:after="200" w:line="276" w:lineRule="auto"/>
        <w:ind w:left="360" w:hanging="360"/>
        <w:rPr>
          <w:noProof/>
          <w:color w:val="000000" w:themeColor="text1"/>
        </w:rPr>
      </w:pPr>
      <w:r>
        <w:rPr>
          <w:noProof/>
          <w:color w:val="000000" w:themeColor="text1"/>
        </w:rPr>
        <w:t xml:space="preserve">1. </w:t>
      </w:r>
      <w:r>
        <w:rPr>
          <w:noProof/>
        </w:rPr>
        <w:tab/>
      </w:r>
      <w:r>
        <w:rPr>
          <w:noProof/>
          <w:color w:val="000000" w:themeColor="text1"/>
        </w:rPr>
        <w:t>W przypadku gdy stosowanie niniejszego rozporządzenia lub środków wykonawczych i aktów delegowanych przyjętych na jego podstawie wymaga znacznych dostosowań w krajowym systemie statystycznym państw członkowskich, Komisja może przyjąć akty wykonawcze przyznające państwom członkowskim odstępstwa na maksymalny okres dwóch lat.</w:t>
      </w:r>
    </w:p>
    <w:p>
      <w:pPr>
        <w:spacing w:before="0" w:after="200" w:line="276" w:lineRule="auto"/>
        <w:ind w:left="360"/>
        <w:jc w:val="left"/>
        <w:rPr>
          <w:noProof/>
        </w:rPr>
      </w:pPr>
      <w:r>
        <w:rPr>
          <w:noProof/>
        </w:rPr>
        <w:lastRenderedPageBreak/>
        <w:t xml:space="preserve">Odnośne państwo członkowskie przedkłada Komisji należycie uzasadniony wniosek o przyznanie takiego odstępstwa w terminie trzech miesięcy od daty wejścia w życie danego aktu. </w:t>
      </w:r>
    </w:p>
    <w:p>
      <w:pPr>
        <w:spacing w:before="0" w:after="200" w:line="276" w:lineRule="auto"/>
        <w:ind w:left="360"/>
        <w:jc w:val="left"/>
        <w:rPr>
          <w:noProof/>
        </w:rPr>
      </w:pPr>
      <w:r>
        <w:rPr>
          <w:noProof/>
        </w:rPr>
        <w:t xml:space="preserve">Wpływ takich odstępstw na porównywalność danych państw członkowskich lub na obliczanie wymaganych terminowych i reprezentatywnych agregatów europejskich należy ograniczyć do minimum. Przy przyznawaniu odstępstwa bierze się pod uwagę obciążenia respondentów. </w:t>
      </w:r>
    </w:p>
    <w:p>
      <w:pPr>
        <w:spacing w:before="0" w:after="200" w:line="276" w:lineRule="auto"/>
        <w:ind w:left="360" w:hanging="360"/>
        <w:rPr>
          <w:noProof/>
        </w:rPr>
      </w:pPr>
      <w:r>
        <w:rPr>
          <w:noProof/>
        </w:rPr>
        <w:t>2.</w:t>
      </w:r>
      <w:r>
        <w:rPr>
          <w:noProof/>
        </w:rPr>
        <w:tab/>
        <w:t>Akty wykonawcze, o których mowa w ust. 1 akapit pierwszy, przyjmuje się zgodnie z procedurą sprawdzającą, o której mowa w art. 15 ust. 2.</w:t>
      </w:r>
    </w:p>
    <w:p>
      <w:pPr>
        <w:keepNext/>
        <w:spacing w:before="360" w:after="200" w:line="276" w:lineRule="auto"/>
        <w:jc w:val="center"/>
        <w:rPr>
          <w:i/>
          <w:noProof/>
        </w:rPr>
      </w:pPr>
      <w:r>
        <w:rPr>
          <w:i/>
          <w:noProof/>
        </w:rPr>
        <w:t>Artykuł 14</w:t>
      </w:r>
    </w:p>
    <w:p>
      <w:pPr>
        <w:keepNext/>
        <w:spacing w:before="75" w:after="75" w:line="276" w:lineRule="auto"/>
        <w:jc w:val="center"/>
        <w:rPr>
          <w:b/>
          <w:noProof/>
          <w:color w:val="000000" w:themeColor="text1"/>
        </w:rPr>
      </w:pPr>
      <w:r>
        <w:rPr>
          <w:b/>
          <w:noProof/>
          <w:color w:val="000000" w:themeColor="text1"/>
        </w:rPr>
        <w:t>Wykonywanie przekazanych uprawnień</w:t>
      </w:r>
    </w:p>
    <w:p>
      <w:pPr>
        <w:spacing w:before="0" w:after="200" w:line="276" w:lineRule="auto"/>
        <w:ind w:left="360" w:hanging="360"/>
        <w:rPr>
          <w:noProof/>
          <w:szCs w:val="24"/>
        </w:rPr>
      </w:pPr>
      <w:r>
        <w:rPr>
          <w:noProof/>
        </w:rPr>
        <w:t>1.</w:t>
      </w:r>
      <w:r>
        <w:rPr>
          <w:noProof/>
        </w:rPr>
        <w:tab/>
        <w:t xml:space="preserve">Powierzenie Komisji uprawnień do przyjęcia aktów delegowanych podlega warunkom określonym w niniejszym artykule. </w:t>
      </w:r>
    </w:p>
    <w:p>
      <w:pPr>
        <w:spacing w:before="0" w:after="200" w:line="276" w:lineRule="auto"/>
        <w:ind w:left="360" w:hanging="360"/>
        <w:rPr>
          <w:noProof/>
        </w:rPr>
      </w:pPr>
      <w:r>
        <w:rPr>
          <w:noProof/>
        </w:rPr>
        <w:t>2.</w:t>
      </w:r>
      <w:r>
        <w:rPr>
          <w:noProof/>
        </w:rPr>
        <w:tab/>
        <w:t xml:space="preserve">Uprawnienie do przyjęcia aktów delegowanych, o którym mowa w art. 5 ust. 8 i art. 6 ust. 1 i 2, powierza się Komisji na czas nieokreślony od dnia </w:t>
      </w:r>
      <w:r>
        <w:rPr>
          <w:i/>
          <w:noProof/>
        </w:rPr>
        <w:t>[Urząd Publikacji: proszę wstawić dokładną datę wejścia w życie rozporządzenia]</w:t>
      </w:r>
      <w:r>
        <w:rPr>
          <w:noProof/>
        </w:rPr>
        <w:t xml:space="preserve">. </w:t>
      </w:r>
    </w:p>
    <w:p>
      <w:pPr>
        <w:spacing w:before="0" w:after="200" w:line="276" w:lineRule="auto"/>
        <w:ind w:left="360" w:hanging="360"/>
        <w:rPr>
          <w:noProof/>
        </w:rPr>
      </w:pPr>
      <w:r>
        <w:rPr>
          <w:noProof/>
        </w:rPr>
        <w:t>3.</w:t>
      </w:r>
      <w:r>
        <w:rPr>
          <w:noProof/>
        </w:rPr>
        <w:tab/>
        <w:t xml:space="preserve">Przekazanie uprawnień, o których mowa w art. 5 ust. 8 oraz art. 6 ust. 1 i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pPr>
        <w:spacing w:before="0" w:after="200" w:line="276" w:lineRule="auto"/>
        <w:ind w:left="360" w:hanging="360"/>
        <w:rPr>
          <w:noProof/>
        </w:rPr>
      </w:pPr>
      <w:r>
        <w:rPr>
          <w:noProof/>
        </w:rPr>
        <w:t>4.</w:t>
      </w:r>
      <w:r>
        <w:rPr>
          <w:noProof/>
        </w:rPr>
        <w:tab/>
        <w:t>Przed przyjęciem aktu delegowanego Komisja konsultuje się z ekspertami wyznaczonymi przez każde państwo członkowskie zgodnie z zasadami określonymi w Porozumieniu międzyinstytucjonalnym z dnia 13 kwietnia 2016 r. w sprawie lepszego stanowienia prawa.</w:t>
      </w:r>
    </w:p>
    <w:p>
      <w:pPr>
        <w:spacing w:before="0" w:after="200" w:line="276" w:lineRule="auto"/>
        <w:ind w:left="360" w:hanging="360"/>
        <w:rPr>
          <w:noProof/>
        </w:rPr>
      </w:pPr>
      <w:r>
        <w:rPr>
          <w:noProof/>
        </w:rPr>
        <w:t>5.</w:t>
      </w:r>
      <w:r>
        <w:rPr>
          <w:noProof/>
        </w:rPr>
        <w:tab/>
        <w:t xml:space="preserve">Niezwłocznie po przyjęciu aktu delegowanego Komisja przekazuje go równocześnie Parlamentowi Europejskiemu i Radzie. </w:t>
      </w:r>
    </w:p>
    <w:p>
      <w:pPr>
        <w:spacing w:before="0" w:after="200" w:line="276" w:lineRule="auto"/>
        <w:ind w:left="360" w:hanging="360"/>
        <w:rPr>
          <w:noProof/>
        </w:rPr>
      </w:pPr>
      <w:r>
        <w:rPr>
          <w:noProof/>
        </w:rPr>
        <w:t>6.</w:t>
      </w:r>
      <w:r>
        <w:rPr>
          <w:noProof/>
        </w:rPr>
        <w:tab/>
        <w:t>Akt delegowany przyjęty na podstawie art. 5 ust. 8 i art. 6 ust. 1 i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keepNext/>
        <w:spacing w:before="360" w:after="200" w:line="276" w:lineRule="auto"/>
        <w:jc w:val="center"/>
        <w:rPr>
          <w:i/>
          <w:noProof/>
        </w:rPr>
      </w:pPr>
      <w:r>
        <w:rPr>
          <w:i/>
          <w:noProof/>
        </w:rPr>
        <w:lastRenderedPageBreak/>
        <w:t>Artykuł 15</w:t>
      </w:r>
    </w:p>
    <w:p>
      <w:pPr>
        <w:keepNext/>
        <w:spacing w:before="75" w:after="75" w:line="276" w:lineRule="auto"/>
        <w:jc w:val="center"/>
        <w:rPr>
          <w:b/>
          <w:noProof/>
          <w:color w:val="000000" w:themeColor="text1"/>
        </w:rPr>
      </w:pPr>
      <w:r>
        <w:rPr>
          <w:b/>
          <w:noProof/>
          <w:color w:val="000000" w:themeColor="text1"/>
        </w:rPr>
        <w:t>Procedura komitetowa</w:t>
      </w:r>
    </w:p>
    <w:p>
      <w:pPr>
        <w:spacing w:before="0" w:after="200" w:line="276" w:lineRule="auto"/>
        <w:ind w:left="360" w:hanging="360"/>
        <w:rPr>
          <w:noProof/>
        </w:rPr>
      </w:pPr>
      <w:r>
        <w:rPr>
          <w:noProof/>
        </w:rPr>
        <w:t xml:space="preserve">1. </w:t>
      </w:r>
      <w:r>
        <w:rPr>
          <w:noProof/>
        </w:rPr>
        <w:tab/>
        <w:t xml:space="preserve">Komisję wspomaga Komitet ds. Europejskiego Systemu Statystycznego ustanowiony na mocy rozporządzenia (WE) nr 223/2009. Komitet ten jest komitetem w rozumieniu rozporządzenia (UE) nr 182/2011. </w:t>
      </w:r>
    </w:p>
    <w:p>
      <w:pPr>
        <w:spacing w:before="0" w:after="200" w:line="276" w:lineRule="auto"/>
        <w:ind w:left="360" w:hanging="360"/>
        <w:rPr>
          <w:noProof/>
        </w:rPr>
      </w:pPr>
      <w:r>
        <w:rPr>
          <w:noProof/>
        </w:rPr>
        <w:t xml:space="preserve">2. </w:t>
      </w:r>
      <w:r>
        <w:rPr>
          <w:noProof/>
        </w:rPr>
        <w:tab/>
        <w:t xml:space="preserve">W przypadku odesłania do niniejszego ustępu stosuje się art. 5 rozporządzenia (UE) nr 182/2011. </w:t>
      </w:r>
    </w:p>
    <w:p>
      <w:pPr>
        <w:keepNext/>
        <w:spacing w:before="360" w:after="200" w:line="276" w:lineRule="auto"/>
        <w:jc w:val="center"/>
        <w:rPr>
          <w:i/>
          <w:noProof/>
        </w:rPr>
      </w:pPr>
      <w:r>
        <w:rPr>
          <w:i/>
          <w:noProof/>
        </w:rPr>
        <w:t>Artykuł 16</w:t>
      </w:r>
    </w:p>
    <w:p>
      <w:pPr>
        <w:spacing w:before="100" w:beforeAutospacing="1" w:after="100" w:afterAutospacing="1"/>
        <w:jc w:val="center"/>
        <w:rPr>
          <w:rFonts w:eastAsia="Times New Roman"/>
          <w:b/>
          <w:noProof/>
          <w:szCs w:val="24"/>
        </w:rPr>
      </w:pPr>
      <w:r>
        <w:rPr>
          <w:b/>
          <w:noProof/>
          <w:szCs w:val="24"/>
        </w:rPr>
        <w:t>Zmiana w rozporządzeniu (WE) nr 617/2008</w:t>
      </w:r>
    </w:p>
    <w:p>
      <w:pPr>
        <w:spacing w:before="0" w:after="200" w:line="276" w:lineRule="auto"/>
        <w:rPr>
          <w:rFonts w:eastAsia="Times New Roman"/>
          <w:noProof/>
          <w:szCs w:val="24"/>
        </w:rPr>
      </w:pPr>
      <w:r>
        <w:rPr>
          <w:noProof/>
        </w:rPr>
        <w:t>W rozporządzeniu (WE) nr 617/2008 wprowadza się następujące zmiany:</w:t>
      </w:r>
    </w:p>
    <w:p>
      <w:pPr>
        <w:spacing w:before="0" w:after="200" w:line="276" w:lineRule="auto"/>
        <w:ind w:left="360" w:hanging="360"/>
        <w:rPr>
          <w:noProof/>
        </w:rPr>
      </w:pPr>
      <w:r>
        <w:rPr>
          <w:noProof/>
        </w:rPr>
        <w:t>1)</w:t>
      </w:r>
      <w:r>
        <w:rPr>
          <w:noProof/>
        </w:rPr>
        <w:tab/>
        <w:t>w art. 8 skreśla się ust. 3, 4 i 5;</w:t>
      </w:r>
    </w:p>
    <w:p>
      <w:pPr>
        <w:spacing w:before="0" w:after="200" w:line="276" w:lineRule="auto"/>
        <w:ind w:left="360" w:hanging="360"/>
        <w:rPr>
          <w:noProof/>
        </w:rPr>
      </w:pPr>
      <w:r>
        <w:rPr>
          <w:noProof/>
        </w:rPr>
        <w:t>2)</w:t>
      </w:r>
      <w:r>
        <w:rPr>
          <w:noProof/>
        </w:rPr>
        <w:tab/>
        <w:t>uchyla się art. 11 rozporządzenia;</w:t>
      </w:r>
    </w:p>
    <w:p>
      <w:pPr>
        <w:spacing w:before="0" w:after="200" w:line="276" w:lineRule="auto"/>
        <w:ind w:left="360" w:hanging="360"/>
        <w:rPr>
          <w:noProof/>
        </w:rPr>
      </w:pPr>
      <w:r>
        <w:rPr>
          <w:noProof/>
        </w:rPr>
        <w:t>3)</w:t>
      </w:r>
      <w:r>
        <w:rPr>
          <w:noProof/>
        </w:rPr>
        <w:tab/>
        <w:t xml:space="preserve">uchyla się załączniki III i IV. </w:t>
      </w:r>
    </w:p>
    <w:p>
      <w:pPr>
        <w:spacing w:before="0" w:after="200" w:line="276" w:lineRule="auto"/>
        <w:rPr>
          <w:noProof/>
        </w:rPr>
      </w:pPr>
      <w:r>
        <w:rPr>
          <w:noProof/>
        </w:rPr>
        <w:t xml:space="preserve">Niniejsza zmiana ma zastosowanie od dnia 1 stycznia </w:t>
      </w:r>
      <w:r>
        <w:rPr>
          <w:i/>
          <w:noProof/>
        </w:rPr>
        <w:t>[roku rozpoczynającego się po upływie 18 miesięcy od dnia przyjęcia]</w:t>
      </w:r>
      <w:r>
        <w:rPr>
          <w:noProof/>
        </w:rPr>
        <w:t xml:space="preserve"> r. </w:t>
      </w:r>
    </w:p>
    <w:p>
      <w:pPr>
        <w:keepNext/>
        <w:spacing w:before="360" w:after="200" w:line="276" w:lineRule="auto"/>
        <w:jc w:val="center"/>
        <w:rPr>
          <w:i/>
          <w:noProof/>
        </w:rPr>
      </w:pPr>
      <w:r>
        <w:rPr>
          <w:i/>
          <w:noProof/>
        </w:rPr>
        <w:t>Artykuł 17</w:t>
      </w:r>
    </w:p>
    <w:p>
      <w:pPr>
        <w:keepNext/>
        <w:spacing w:before="75" w:after="75" w:line="276" w:lineRule="auto"/>
        <w:jc w:val="center"/>
        <w:rPr>
          <w:b/>
          <w:noProof/>
          <w:color w:val="000000" w:themeColor="text1"/>
        </w:rPr>
      </w:pPr>
      <w:r>
        <w:rPr>
          <w:b/>
          <w:noProof/>
          <w:color w:val="000000" w:themeColor="text1"/>
        </w:rPr>
        <w:t>Uchylenia</w:t>
      </w:r>
    </w:p>
    <w:p>
      <w:pPr>
        <w:spacing w:before="0" w:after="200" w:line="276" w:lineRule="auto"/>
        <w:ind w:left="360" w:hanging="360"/>
        <w:rPr>
          <w:noProof/>
        </w:rPr>
      </w:pPr>
      <w:r>
        <w:rPr>
          <w:noProof/>
        </w:rPr>
        <w:t>1.</w:t>
      </w:r>
      <w:r>
        <w:rPr>
          <w:noProof/>
        </w:rPr>
        <w:tab/>
        <w:t xml:space="preserve">Rozporządzenia (WE) nr 1165/2008, (WE) nr 543/2009, (WE) nr 1185/2009 i dyrektywa 96/16/WE tracą moc ze skutkiem od dnia 1 stycznia </w:t>
      </w:r>
      <w:r>
        <w:rPr>
          <w:i/>
          <w:noProof/>
        </w:rPr>
        <w:t>[pierwszego roku kalendarzowego rozpoczynającego się po upływie co najmniej 18 miesięcy od przyjęcia]</w:t>
      </w:r>
      <w:r>
        <w:rPr>
          <w:noProof/>
        </w:rPr>
        <w:t xml:space="preserve"> r.</w:t>
      </w:r>
    </w:p>
    <w:p>
      <w:pPr>
        <w:spacing w:before="0" w:after="200" w:line="276" w:lineRule="auto"/>
        <w:ind w:left="360" w:hanging="360"/>
        <w:rPr>
          <w:noProof/>
        </w:rPr>
      </w:pPr>
      <w:r>
        <w:rPr>
          <w:noProof/>
        </w:rPr>
        <w:t>2.</w:t>
      </w:r>
      <w:r>
        <w:rPr>
          <w:noProof/>
        </w:rPr>
        <w:tab/>
        <w:t>Odesłania do uchylonych aktów traktuje się jako odesłania do niniejszego rozporządzenia.</w:t>
      </w:r>
    </w:p>
    <w:p>
      <w:pPr>
        <w:keepNext/>
        <w:spacing w:before="360" w:after="200" w:line="276" w:lineRule="auto"/>
        <w:jc w:val="center"/>
        <w:rPr>
          <w:i/>
          <w:noProof/>
        </w:rPr>
      </w:pPr>
      <w:r>
        <w:rPr>
          <w:i/>
          <w:noProof/>
        </w:rPr>
        <w:t>Artykuł 18</w:t>
      </w:r>
    </w:p>
    <w:p>
      <w:pPr>
        <w:keepNext/>
        <w:spacing w:before="75" w:after="75" w:line="276" w:lineRule="auto"/>
        <w:jc w:val="center"/>
        <w:rPr>
          <w:b/>
          <w:noProof/>
          <w:color w:val="000000" w:themeColor="text1"/>
        </w:rPr>
      </w:pPr>
      <w:r>
        <w:rPr>
          <w:b/>
          <w:noProof/>
          <w:color w:val="000000" w:themeColor="text1"/>
        </w:rPr>
        <w:t>Wejście w życie</w:t>
      </w:r>
    </w:p>
    <w:p>
      <w:pPr>
        <w:spacing w:before="0" w:after="200" w:line="276" w:lineRule="auto"/>
        <w:ind w:left="360" w:hanging="360"/>
        <w:rPr>
          <w:noProof/>
          <w:color w:val="000000" w:themeColor="text1"/>
        </w:rPr>
      </w:pPr>
      <w:r>
        <w:rPr>
          <w:noProof/>
        </w:rPr>
        <w:t>Niniejsze rozporządzenie wchodzi w życie dwudziestego dnia po jego opublikowaniu w </w:t>
      </w:r>
      <w:r>
        <w:rPr>
          <w:i/>
          <w:noProof/>
        </w:rPr>
        <w:t>Dzienniku Urzędowym Unii Europejskiej</w:t>
      </w:r>
      <w:r>
        <w:rPr>
          <w:noProof/>
        </w:rPr>
        <w:t>.</w:t>
      </w:r>
    </w:p>
    <w:p>
      <w:pPr>
        <w:spacing w:before="0" w:after="200" w:line="276" w:lineRule="auto"/>
        <w:ind w:left="360" w:hanging="360"/>
        <w:rPr>
          <w:noProof/>
        </w:rPr>
      </w:pPr>
      <w:r>
        <w:rPr>
          <w:noProof/>
        </w:rPr>
        <w:t xml:space="preserve">Stosuje się je od dnia 1 stycznia </w:t>
      </w:r>
      <w:r>
        <w:rPr>
          <w:i/>
          <w:noProof/>
        </w:rPr>
        <w:t>[roku rozpoczynającego się po upływie 18 miesięcy od dnia przyjęcia]</w:t>
      </w:r>
      <w:r>
        <w:rPr>
          <w:noProof/>
        </w:rPr>
        <w:t xml:space="preserve"> r. </w:t>
      </w:r>
    </w:p>
    <w:p>
      <w:pPr>
        <w:keepNext/>
        <w:keepLines/>
        <w:spacing w:before="0" w:after="200" w:line="276" w:lineRule="auto"/>
        <w:rPr>
          <w:noProof/>
        </w:rPr>
      </w:pPr>
      <w:r>
        <w:rPr>
          <w:noProof/>
        </w:rPr>
        <w:lastRenderedPageBreak/>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keepNext/>
        <w:rPr>
          <w:noProof/>
        </w:rPr>
      </w:pPr>
      <w:r>
        <w:rPr>
          <w:noProof/>
        </w:rPr>
        <w:t>Przewodniczący</w:t>
      </w:r>
      <w:r>
        <w:rPr>
          <w:noProof/>
        </w:rPr>
        <w:tab/>
        <w:t>Przewodniczący</w:t>
      </w:r>
    </w:p>
    <w:p>
      <w:pPr>
        <w:pStyle w:val="Institutionquisigne"/>
        <w:rPr>
          <w:noProof/>
        </w:rPr>
      </w:pP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 xml:space="preserve">Dziedziny polityki, których dotyczy wniosek/inicjatywa </w:t>
      </w:r>
    </w:p>
    <w:p>
      <w:pPr>
        <w:pStyle w:val="ManualHeading2"/>
        <w:rPr>
          <w:b w:val="0"/>
          <w:noProof/>
        </w:rPr>
      </w:pPr>
      <w:r>
        <w:rPr>
          <w:noProof/>
        </w:rPr>
        <w:tab/>
      </w:r>
      <w:r>
        <w:rPr>
          <w:b w:val="0"/>
          <w:noProof/>
        </w:rPr>
        <w:t>1.3.</w:t>
      </w:r>
      <w:r>
        <w:rPr>
          <w:noProof/>
        </w:rPr>
        <w:tab/>
      </w:r>
      <w:r>
        <w:rPr>
          <w:b w:val="0"/>
          <w:noProof/>
        </w:rPr>
        <w:t>Wniosek/inicjatywa dotyczy:</w:t>
      </w:r>
    </w:p>
    <w:p>
      <w:pPr>
        <w:pStyle w:val="ManualHeading2"/>
        <w:rPr>
          <w:b w:val="0"/>
          <w:noProof/>
        </w:rPr>
      </w:pPr>
      <w:r>
        <w:rPr>
          <w:noProof/>
        </w:rPr>
        <w:tab/>
      </w:r>
      <w:r>
        <w:rPr>
          <w:b w:val="0"/>
          <w:noProof/>
        </w:rPr>
        <w:t>1.4.</w:t>
      </w:r>
      <w:r>
        <w:rPr>
          <w:noProof/>
        </w:rPr>
        <w:tab/>
      </w:r>
      <w:r>
        <w:rPr>
          <w:b w:val="0"/>
          <w:noProof/>
        </w:rPr>
        <w:t xml:space="preserve">Uzasadnienie wniosku/inicjatywy </w:t>
      </w:r>
    </w:p>
    <w:p>
      <w:pPr>
        <w:pStyle w:val="ManualHeading2"/>
        <w:rPr>
          <w:b w:val="0"/>
          <w:noProof/>
        </w:rPr>
      </w:pPr>
      <w:r>
        <w:rPr>
          <w:noProof/>
        </w:rPr>
        <w:tab/>
      </w:r>
      <w:r>
        <w:rPr>
          <w:b w:val="0"/>
          <w:noProof/>
        </w:rPr>
        <w:t>1.5.</w:t>
      </w:r>
      <w:r>
        <w:rPr>
          <w:noProof/>
        </w:rPr>
        <w:tab/>
      </w:r>
      <w:r>
        <w:rPr>
          <w:b w:val="0"/>
          <w:noProof/>
        </w:rPr>
        <w:t xml:space="preserve">Okres trwania działania i jego wpływ finansowy </w:t>
      </w:r>
    </w:p>
    <w:p>
      <w:pPr>
        <w:pStyle w:val="ManualHeading2"/>
        <w:rPr>
          <w:b w:val="0"/>
          <w:noProof/>
        </w:rPr>
      </w:pPr>
      <w:r>
        <w:rPr>
          <w:noProof/>
        </w:rPr>
        <w:tab/>
      </w:r>
      <w:r>
        <w:rPr>
          <w:b w:val="0"/>
          <w:noProof/>
        </w:rPr>
        <w:t>1.6.</w:t>
      </w:r>
      <w:r>
        <w:rPr>
          <w:noProof/>
        </w:rPr>
        <w:tab/>
      </w:r>
      <w:r>
        <w:rPr>
          <w:b w:val="0"/>
          <w:noProof/>
        </w:rPr>
        <w:t xml:space="preserve">Planowane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b/>
          <w:noProof/>
          <w:u w:val="single"/>
        </w:rPr>
      </w:pPr>
      <w:r>
        <w:rPr>
          <w:b/>
          <w:noProof/>
          <w:u w:val="single"/>
        </w:rPr>
        <w:t>OCENA SKUTKÓW FINANSOWYCH REGULACJI</w:t>
      </w:r>
    </w:p>
    <w:p>
      <w:pPr>
        <w:pStyle w:val="ManualHeading1"/>
        <w:rPr>
          <w:noProof/>
        </w:rPr>
      </w:pPr>
      <w:bookmarkStart w:id="2" w:name="_Toc514941971"/>
      <w:bookmarkStart w:id="3" w:name="_Toc46138676"/>
      <w:r>
        <w:t>1.</w:t>
      </w:r>
      <w:r>
        <w:tab/>
      </w:r>
      <w:r>
        <w:rPr>
          <w:noProof/>
        </w:rPr>
        <w:t>STRUKTURA WNIOSKU/INICJATYWY</w:t>
      </w:r>
      <w:bookmarkEnd w:id="2"/>
      <w:bookmarkEnd w:id="3"/>
      <w:r>
        <w:rPr>
          <w:noProof/>
        </w:rPr>
        <w:t xml:space="preserve"> </w:t>
      </w:r>
    </w:p>
    <w:p>
      <w:pPr>
        <w:pStyle w:val="ManualHeading2"/>
        <w:rPr>
          <w:noProof/>
        </w:rPr>
      </w:pPr>
      <w:bookmarkStart w:id="4" w:name="_Toc514941972"/>
      <w:bookmarkStart w:id="5" w:name="_Toc46138677"/>
      <w:r>
        <w:t>1.1.</w:t>
      </w:r>
      <w:r>
        <w:tab/>
      </w:r>
      <w:r>
        <w:rPr>
          <w:noProof/>
        </w:rPr>
        <w:t>Tytuł wniosku/inicjatywy</w:t>
      </w:r>
      <w:bookmarkEnd w:id="4"/>
      <w:bookmarkEnd w:id="5"/>
      <w:r>
        <w:rPr>
          <w:noProof/>
        </w:rPr>
        <w:t xml:space="preserve"> </w:t>
      </w:r>
      <w:bookmarkStart w:id="6" w:name="_Toc514941973"/>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Rozporządzenie Parlamentu Europejskiego i Rady w sprawie statystyki dotyczącej nakładów i produkcji w rolnictwie oraz uchylające rozporządzenia (WE) nr 1165/2008, (WE) nr 543/2009, (WE) nr 1185/2009 i dyrektywę 96/16/WE.</w:t>
            </w:r>
          </w:p>
        </w:tc>
      </w:tr>
    </w:tbl>
    <w:p>
      <w:pPr>
        <w:rPr>
          <w:noProof/>
        </w:rPr>
      </w:pPr>
    </w:p>
    <w:p>
      <w:pPr>
        <w:pStyle w:val="ManualHeading2"/>
        <w:rPr>
          <w:noProof/>
        </w:rPr>
      </w:pPr>
      <w:bookmarkStart w:id="7" w:name="_Toc46138678"/>
      <w:r>
        <w:t>1.2.</w:t>
      </w:r>
      <w:r>
        <w:tab/>
      </w:r>
      <w:r>
        <w:rPr>
          <w:noProof/>
        </w:rPr>
        <w:t>Dziedziny polityki, których dotyczy wniosek/inicjatywa (</w:t>
      </w:r>
      <w:r>
        <w:rPr>
          <w:i/>
          <w:noProof/>
        </w:rPr>
        <w:t>klaster programów</w:t>
      </w:r>
      <w:r>
        <w:rPr>
          <w:noProof/>
        </w:rPr>
        <w:t>)</w:t>
      </w:r>
      <w:bookmarkEnd w:id="6"/>
      <w:bookmarkEnd w:id="7"/>
    </w:p>
    <w:p>
      <w:pPr>
        <w:pBdr>
          <w:top w:val="single" w:sz="4" w:space="1" w:color="auto"/>
          <w:left w:val="single" w:sz="4" w:space="4" w:color="auto"/>
          <w:bottom w:val="single" w:sz="4" w:space="1" w:color="auto"/>
          <w:right w:val="single" w:sz="4" w:space="4" w:color="auto"/>
        </w:pBdr>
        <w:ind w:left="850"/>
        <w:rPr>
          <w:noProof/>
        </w:rPr>
      </w:pPr>
      <w:bookmarkStart w:id="8" w:name="_Toc514941974"/>
      <w:r>
        <w:rPr>
          <w:noProof/>
        </w:rPr>
        <w:t>Tworzenie statystyk europejskich</w:t>
      </w:r>
    </w:p>
    <w:p>
      <w:pPr>
        <w:pStyle w:val="ManualHeading2"/>
        <w:rPr>
          <w:noProof/>
        </w:rPr>
      </w:pPr>
      <w:bookmarkStart w:id="9" w:name="_Toc46138679"/>
      <w:r>
        <w:t>1.3.</w:t>
      </w:r>
      <w:r>
        <w:tab/>
      </w:r>
      <w:r>
        <w:rPr>
          <w:noProof/>
        </w:rPr>
        <w:t>Wniosek/inicjatywa dotyczy:</w:t>
      </w:r>
      <w:bookmarkEnd w:id="8"/>
      <w:bookmarkEnd w:id="9"/>
      <w:r>
        <w:rPr>
          <w:noProof/>
        </w:rPr>
        <w:t xml:space="preserve"> </w:t>
      </w:r>
    </w:p>
    <w:p>
      <w:pPr>
        <w:ind w:left="850"/>
        <w:rPr>
          <w:b/>
          <w:noProof/>
          <w:sz w:val="22"/>
        </w:rPr>
      </w:pPr>
      <w:r>
        <w:rPr>
          <w:noProof/>
          <w:sz w:val="22"/>
        </w:rPr>
        <w:sym w:font="Wingdings" w:char="F0A8"/>
      </w:r>
      <w:r>
        <w:rPr>
          <w:b/>
          <w:noProof/>
        </w:rPr>
        <w:t xml:space="preserve"> nowego działania</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nowego działania, będącego następstwem projektu pilotażowego/działania przygotowawczego</w:t>
      </w:r>
      <w:r>
        <w:rPr>
          <w:rStyle w:val="FootnoteReference"/>
          <w:noProof/>
        </w:rPr>
        <w:footnoteReference w:id="35"/>
      </w:r>
      <w:r>
        <w:rPr>
          <w:noProof/>
          <w:sz w:val="22"/>
        </w:rPr>
        <w:t xml:space="preserve"> </w:t>
      </w:r>
    </w:p>
    <w:p>
      <w:pPr>
        <w:ind w:left="850"/>
        <w:rPr>
          <w:noProof/>
          <w:sz w:val="22"/>
        </w:rPr>
      </w:pPr>
      <w:r>
        <w:rPr>
          <w:noProof/>
          <w:sz w:val="22"/>
        </w:rPr>
        <w:sym w:font="Wingdings" w:char="F0A8"/>
      </w:r>
      <w:r>
        <w:rPr>
          <w:i/>
          <w:noProof/>
          <w:sz w:val="22"/>
        </w:rPr>
        <w:t xml:space="preserve"> </w:t>
      </w:r>
      <w:r>
        <w:rPr>
          <w:b/>
          <w:noProof/>
        </w:rPr>
        <w:t>przedłużenia bieżącego działania</w:t>
      </w:r>
      <w:r>
        <w:rPr>
          <w:noProof/>
          <w:sz w:val="22"/>
        </w:rPr>
        <w:t xml:space="preserve"> </w:t>
      </w:r>
    </w:p>
    <w:p>
      <w:pPr>
        <w:ind w:left="850"/>
        <w:rPr>
          <w:noProof/>
        </w:rPr>
      </w:pPr>
      <w:r>
        <w:rPr>
          <w:noProof/>
          <w:bdr w:val="single" w:sz="4" w:space="0" w:color="auto"/>
        </w:rPr>
        <w:t>X</w:t>
      </w:r>
      <w:r>
        <w:rPr>
          <w:b/>
          <w:noProof/>
        </w:rPr>
        <w:t xml:space="preserve"> połączenia lub przekształcenia co najmniej jednego działania pod kątem innego/nowego działania</w:t>
      </w:r>
      <w:r>
        <w:rPr>
          <w:noProof/>
        </w:rPr>
        <w:t xml:space="preserve"> </w:t>
      </w:r>
    </w:p>
    <w:p>
      <w:pPr>
        <w:pStyle w:val="ManualHeading2"/>
        <w:rPr>
          <w:noProof/>
        </w:rPr>
      </w:pPr>
      <w:bookmarkStart w:id="10" w:name="_Toc514941975"/>
      <w:bookmarkStart w:id="11" w:name="_Toc46138680"/>
      <w:r>
        <w:t>1.4.</w:t>
      </w:r>
      <w:r>
        <w:tab/>
      </w:r>
      <w:r>
        <w:rPr>
          <w:noProof/>
        </w:rPr>
        <w:t>Uzasadnienie wniosku/inicjatywy</w:t>
      </w:r>
      <w:bookmarkEnd w:id="10"/>
      <w:bookmarkEnd w:id="11"/>
      <w:r>
        <w:rPr>
          <w:noProof/>
        </w:rPr>
        <w:t xml:space="preserve"> </w:t>
      </w:r>
    </w:p>
    <w:p>
      <w:pPr>
        <w:pStyle w:val="ManualHeading3"/>
        <w:rPr>
          <w:noProof/>
        </w:rPr>
      </w:pPr>
      <w:bookmarkStart w:id="12" w:name="_Toc514941976"/>
      <w:bookmarkStart w:id="13" w:name="_Toc46138681"/>
      <w:r>
        <w:t>1.4.1.</w:t>
      </w:r>
      <w:r>
        <w:tab/>
      </w:r>
      <w:r>
        <w:rPr>
          <w:noProof/>
        </w:rPr>
        <w:t>Potrzeby, które należy zaspokoić w perspektywie krótko- lub długoterminowej, w tym szczegółowy terminarz przebiegu realizacji inicjatywy</w:t>
      </w:r>
      <w:bookmarkEnd w:id="12"/>
      <w:bookmarkEnd w:id="13"/>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Celem niniejszego wniosku w sprawie statystyki dotyczącej nakładów i produkcji w rolnictwie (SAIO) jest poprawa jakości, porównywalności i spójności europejskiej statystyki rolnictwa, tak aby decydenci, przedsiębiorstwa i obywatele mogli podejmować właściwe decyzje oparte na faktach.</w:t>
            </w:r>
          </w:p>
          <w:p>
            <w:pPr>
              <w:rPr>
                <w:noProof/>
              </w:rPr>
            </w:pPr>
            <w:r>
              <w:rPr>
                <w:noProof/>
              </w:rPr>
              <w:t>SAIO obejmuje gromadzenie statystyk rolnictwa dotyczących produkcji roślinnej i zwierzęcej, cen w rolnictwie oraz składników odżywczych i środków ochrony roślin na podstawie głównego rozporządzenia ramowego i aktów wykonawczych. Rozporządzenie SAIO będzie bezpośrednio stosowane we wszystkich państwach członkowskich. Cztery akty wykonawcze zawierać będą głównie wykazy i opisy zmiennych oraz wymagania metodologiczne. Pakiet aktów prawnych zostanie wdrożony w państwach członkowskich indywidualnie w drodze transpozycji zmiennych i innych wymogów do krajowych baz danych, kwestionariuszy itp., począwszy od chwili przyjęcia tych aktów. Przewiduje się, że Parlament Europejski i Rada przyjmą rozporządzenie w 2022, a akty wykonawcze zostaną przyjęte w 2023 r.</w:t>
            </w:r>
          </w:p>
        </w:tc>
      </w:tr>
    </w:tbl>
    <w:p>
      <w:pPr>
        <w:ind w:left="850"/>
        <w:rPr>
          <w:noProof/>
        </w:rPr>
      </w:pPr>
    </w:p>
    <w:p>
      <w:pPr>
        <w:pStyle w:val="ManualHeading3"/>
        <w:rPr>
          <w:noProof/>
        </w:rPr>
      </w:pPr>
      <w:bookmarkStart w:id="14" w:name="_Toc514941977"/>
      <w:bookmarkStart w:id="15" w:name="_Toc46138682"/>
      <w:r>
        <w:t>1.4.2.</w:t>
      </w:r>
      <w:r>
        <w:tab/>
      </w:r>
      <w:r>
        <w:rPr>
          <w:noProof/>
        </w:rPr>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bookmarkEnd w:id="14"/>
      <w:bookmarkEnd w:id="15"/>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Ważne wspólne polityki UE, takie jak WPR, są z natury uzależnione od porównywalnych i zharmonizowanych wysokiej jakości statystyk rolnictwa na poziomie europejskim. Statystyki te można najskuteczniej zapewnić w drodze rozporządzeń, które są bezpośrednio stosowane w państwach członkowskich i nie wymagają uprzedniej transpozycji do prawa krajowego.</w:t>
            </w:r>
          </w:p>
          <w:p>
            <w:pPr>
              <w:rPr>
                <w:noProof/>
              </w:rPr>
            </w:pPr>
            <w:r>
              <w:rPr>
                <w:noProof/>
              </w:rPr>
              <w:t>Po tym, jak SAIO zacznie w pełni obowiązywać, UE i jej państwa członkowskie powinny mieć do dyspozycji wysokiej jakości europejskie statystyki rolnictwa, które są porównywalne i spójne, a przy tym nakładają akceptowalne obciążenia na respondentów i podmioty tworzące dane w stosunku do korzyści, jakie z nich wynikają. Kształtowanie polityki opartej na dowodach ma kluczowe znaczenie dla powodzenia polityk, takich jak WPR, które są istotnym czynnikiem stymulującym tworzenie miejsc pracy oraz inteligentny, zrównoważony i sprzyjający włączeniu społecznemu wzrost gospodarczy w Unii.</w:t>
            </w:r>
          </w:p>
        </w:tc>
      </w:tr>
    </w:tbl>
    <w:p>
      <w:pPr>
        <w:ind w:left="850"/>
        <w:rPr>
          <w:noProof/>
        </w:rPr>
      </w:pPr>
    </w:p>
    <w:p>
      <w:pPr>
        <w:pStyle w:val="ManualHeading3"/>
        <w:rPr>
          <w:noProof/>
        </w:rPr>
      </w:pPr>
      <w:bookmarkStart w:id="16" w:name="_Toc514941978"/>
      <w:bookmarkStart w:id="17" w:name="_Toc46138683"/>
      <w:r>
        <w:t>1.4.3.</w:t>
      </w:r>
      <w:r>
        <w:tab/>
      </w:r>
      <w:r>
        <w:rPr>
          <w:noProof/>
        </w:rPr>
        <w:t>Główne wnioski wyciągnięte z podobnych działań</w:t>
      </w:r>
      <w:bookmarkEnd w:id="16"/>
      <w:bookmarkEnd w:id="17"/>
    </w:p>
    <w:p>
      <w:pPr>
        <w:pBdr>
          <w:top w:val="single" w:sz="4" w:space="1" w:color="auto"/>
          <w:left w:val="single" w:sz="4" w:space="4" w:color="auto"/>
          <w:bottom w:val="single" w:sz="4" w:space="1" w:color="auto"/>
          <w:right w:val="single" w:sz="4" w:space="4" w:color="auto"/>
        </w:pBdr>
        <w:ind w:left="850"/>
        <w:rPr>
          <w:noProof/>
        </w:rPr>
      </w:pPr>
      <w:r>
        <w:rPr>
          <w:noProof/>
        </w:rPr>
        <w:t>Europejskie statystyki rolnictwa od dziesięcioleci są zasadniczym fundamentem WPR i wielu innych obszarów polityki UE. Ich podstawa prawna musi być jednak aktualizowana, aby reagować na zmiany w rolnictwie oraz zaradzić głównym problemom stwierdzonym w ramach oceny obecnego systemu europejskiej statystyki rolnictwa. Problemy te są następujące:</w:t>
      </w:r>
    </w:p>
    <w:p>
      <w:pPr>
        <w:pBdr>
          <w:top w:val="single" w:sz="4" w:space="1" w:color="auto"/>
          <w:left w:val="single" w:sz="4" w:space="4" w:color="auto"/>
          <w:bottom w:val="single" w:sz="4" w:space="1" w:color="auto"/>
          <w:right w:val="single" w:sz="4" w:space="4" w:color="auto"/>
        </w:pBdr>
        <w:ind w:left="850"/>
        <w:rPr>
          <w:noProof/>
        </w:rPr>
      </w:pPr>
      <w:r>
        <w:rPr>
          <w:noProof/>
        </w:rPr>
        <w:t>1. Obecne prawodawstwo dotyczące statystyki rolnictwa nie zaspokaja w wystarczający sposób nowych i pojawiających się potrzeb w zakresie danych</w:t>
      </w:r>
    </w:p>
    <w:p>
      <w:pPr>
        <w:pBdr>
          <w:top w:val="single" w:sz="4" w:space="1" w:color="auto"/>
          <w:left w:val="single" w:sz="4" w:space="4" w:color="auto"/>
          <w:bottom w:val="single" w:sz="4" w:space="1" w:color="auto"/>
          <w:right w:val="single" w:sz="4" w:space="4" w:color="auto"/>
        </w:pBdr>
        <w:ind w:left="850"/>
        <w:rPr>
          <w:noProof/>
        </w:rPr>
      </w:pPr>
      <w:r>
        <w:rPr>
          <w:noProof/>
        </w:rPr>
        <w:t>2. EASS nie jest wystarczająco elastyczny i nie reaguje wystarczająco szybko na pojawiające się potrzeby</w:t>
      </w:r>
    </w:p>
    <w:p>
      <w:pPr>
        <w:pBdr>
          <w:top w:val="single" w:sz="4" w:space="1" w:color="auto"/>
          <w:left w:val="single" w:sz="4" w:space="4" w:color="auto"/>
          <w:bottom w:val="single" w:sz="4" w:space="1" w:color="auto"/>
          <w:right w:val="single" w:sz="4" w:space="4" w:color="auto"/>
        </w:pBdr>
        <w:ind w:left="850"/>
        <w:rPr>
          <w:noProof/>
        </w:rPr>
      </w:pPr>
      <w:r>
        <w:rPr>
          <w:noProof/>
        </w:rPr>
        <w:t>3. Gromadzenie danych nie jest w zadowalającym stopniu zharmonizowane ani spójne</w:t>
      </w:r>
    </w:p>
    <w:p>
      <w:pPr>
        <w:pBdr>
          <w:top w:val="single" w:sz="4" w:space="1" w:color="auto"/>
          <w:left w:val="single" w:sz="4" w:space="4" w:color="auto"/>
          <w:bottom w:val="single" w:sz="4" w:space="1" w:color="auto"/>
          <w:right w:val="single" w:sz="4" w:space="4" w:color="auto"/>
        </w:pBdr>
        <w:ind w:left="850"/>
        <w:rPr>
          <w:noProof/>
        </w:rPr>
      </w:pPr>
      <w:r>
        <w:rPr>
          <w:noProof/>
        </w:rPr>
        <w:t>4. Dane statystyczne mogłyby być wytwarzane bardziej efektywnie</w:t>
      </w:r>
    </w:p>
    <w:p>
      <w:pPr>
        <w:pBdr>
          <w:top w:val="single" w:sz="4" w:space="1" w:color="auto"/>
          <w:left w:val="single" w:sz="4" w:space="4" w:color="auto"/>
          <w:bottom w:val="single" w:sz="4" w:space="1" w:color="auto"/>
          <w:right w:val="single" w:sz="4" w:space="4" w:color="auto"/>
        </w:pBdr>
        <w:ind w:left="850"/>
        <w:rPr>
          <w:noProof/>
        </w:rPr>
      </w:pPr>
      <w:r>
        <w:rPr>
          <w:noProof/>
        </w:rPr>
        <w:t>5. Obciążenie dostarczaniem danych postrzegane jest jako wysokie</w:t>
      </w:r>
    </w:p>
    <w:p>
      <w:pPr>
        <w:ind w:left="850"/>
        <w:rPr>
          <w:noProof/>
        </w:rPr>
      </w:pPr>
    </w:p>
    <w:p>
      <w:pPr>
        <w:pStyle w:val="ManualHeading3"/>
        <w:rPr>
          <w:noProof/>
        </w:rPr>
      </w:pPr>
      <w:bookmarkStart w:id="18" w:name="_Toc514941979"/>
      <w:bookmarkStart w:id="19" w:name="_Toc46138684"/>
      <w:r>
        <w:t>1.4.4.</w:t>
      </w:r>
      <w:r>
        <w:tab/>
      </w:r>
      <w:r>
        <w:rPr>
          <w:noProof/>
        </w:rPr>
        <w:t>Spójność z innymi właściwymi instrumentami oraz możliwa synergia</w:t>
      </w:r>
      <w:bookmarkEnd w:id="18"/>
      <w:bookmarkEnd w:id="19"/>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Proponowane rozporządzenie jest elementem strategii Eurostatu dotyczącej statystyki rolnictwa na rok 2020 i okres późniejszy, która przewiduje dwa rozporządzenia ramowe – rozporządzenie w sprawie zintegrowanych statystyk dotyczących gospodarstw rolnych (IFS) i rozporządzenie dotyczące statystyki nakładów i produkcji w rolnictwie (SAIO) – oraz zaktualizowane rozporządzenie dotyczące rachunków ekonomicznych dla rolnictwa (EAA). Wszystkie trzy rozporządzenia będą miały wspólny zakres oraz tę samą dokumentację techniczną i metodologiczną i razem obejmą wszystkie aspekty statystyki rolnictwa.</w:t>
            </w:r>
          </w:p>
        </w:tc>
      </w:tr>
    </w:tbl>
    <w:p>
      <w:pPr>
        <w:ind w:left="850"/>
        <w:rPr>
          <w:noProof/>
        </w:rPr>
      </w:pPr>
    </w:p>
    <w:p>
      <w:pPr>
        <w:pStyle w:val="ManualHeading2"/>
        <w:rPr>
          <w:noProof/>
        </w:rPr>
      </w:pPr>
      <w:r>
        <w:rPr>
          <w:noProof/>
        </w:rPr>
        <w:br w:type="page"/>
      </w:r>
      <w:bookmarkStart w:id="20" w:name="_Toc514941980"/>
      <w:bookmarkStart w:id="21" w:name="_Toc46138685"/>
      <w:r>
        <w:t>1.5.</w:t>
      </w:r>
      <w:r>
        <w:tab/>
      </w:r>
      <w:r>
        <w:rPr>
          <w:noProof/>
        </w:rPr>
        <w:t>Okres trwania działania i jego wpływ finansowy</w:t>
      </w:r>
      <w:bookmarkEnd w:id="20"/>
      <w:bookmarkEnd w:id="21"/>
      <w:r>
        <w:rPr>
          <w:noProof/>
        </w:rPr>
        <w:t xml:space="preserve"> </w:t>
      </w:r>
    </w:p>
    <w:p>
      <w:pPr>
        <w:ind w:left="360"/>
        <w:rPr>
          <w:noProof/>
        </w:rPr>
      </w:pPr>
      <w:r>
        <w:rPr>
          <w:noProof/>
        </w:rPr>
        <w:sym w:font="Wingdings" w:char="F0A8"/>
      </w:r>
      <w:r>
        <w:rPr>
          <w:b/>
          <w:noProof/>
        </w:rPr>
        <w:t xml:space="preserve"> Ograniczony czas trwania </w:t>
      </w:r>
    </w:p>
    <w:p>
      <w:pPr>
        <w:ind w:left="360"/>
        <w:rPr>
          <w:rFonts w:eastAsia="Times New Roman"/>
          <w:noProof/>
        </w:rPr>
      </w:pPr>
      <w:r>
        <w:rPr>
          <w:noProof/>
        </w:rPr>
        <w:sym w:font="Wingdings" w:char="F0A8"/>
      </w:r>
      <w:r>
        <w:rPr>
          <w:noProof/>
        </w:rPr>
        <w:tab/>
        <w:t xml:space="preserve"> okres trwania wniosku/inicjatywy: od [DD/MM]RRRR r. do [DD/MM]RRRR r. </w:t>
      </w:r>
    </w:p>
    <w:p>
      <w:pPr>
        <w:ind w:left="360"/>
        <w:rPr>
          <w:rFonts w:eastAsia="Times New Roman"/>
          <w:noProof/>
        </w:rPr>
      </w:pPr>
      <w:r>
        <w:rPr>
          <w:noProof/>
        </w:rPr>
        <w:sym w:font="Wingdings" w:char="F0A8"/>
      </w:r>
      <w:r>
        <w:rPr>
          <w:noProof/>
        </w:rPr>
        <w:tab/>
        <w:t xml:space="preserve">okres trwania wpływu finansowego: od RRRR r. do RRRR r. w odniesieniu do środków na zobowiązania oraz od RRRR r. do RRRR r. w odniesieniu do środków na płatności. </w:t>
      </w:r>
    </w:p>
    <w:p>
      <w:pPr>
        <w:ind w:left="360"/>
        <w:rPr>
          <w:noProof/>
        </w:rPr>
      </w:pPr>
      <w:r>
        <w:rPr>
          <w:noProof/>
          <w:bdr w:val="single" w:sz="4" w:space="0" w:color="auto"/>
        </w:rPr>
        <w:t>X</w:t>
      </w:r>
      <w:r>
        <w:rPr>
          <w:b/>
          <w:noProof/>
        </w:rPr>
        <w:t xml:space="preserve"> Nieograniczony czas trwania</w:t>
      </w:r>
    </w:p>
    <w:p>
      <w:pPr>
        <w:ind w:left="360"/>
        <w:rPr>
          <w:rFonts w:eastAsia="Times New Roman"/>
          <w:noProof/>
        </w:rPr>
      </w:pPr>
      <w:r>
        <w:rPr>
          <w:noProof/>
        </w:rPr>
        <w:t>Wprowadzenie w życie z okresem rozruchu od 2022 r. do 2024 r., po którym następuje faza operacyjna.</w:t>
      </w:r>
    </w:p>
    <w:p>
      <w:pPr>
        <w:pStyle w:val="ManualHeading2"/>
        <w:rPr>
          <w:noProof/>
        </w:rPr>
      </w:pPr>
      <w:bookmarkStart w:id="22" w:name="_Toc514941981"/>
      <w:bookmarkStart w:id="23" w:name="_Toc46138686"/>
      <w:r>
        <w:t>1.6.</w:t>
      </w:r>
      <w:r>
        <w:tab/>
      </w:r>
      <w:r>
        <w:rPr>
          <w:noProof/>
        </w:rPr>
        <w:t>Planowane tryby zarządzania</w:t>
      </w:r>
      <w:r>
        <w:rPr>
          <w:rStyle w:val="FootnoteReference"/>
          <w:noProof/>
        </w:rPr>
        <w:footnoteReference w:id="36"/>
      </w:r>
      <w:bookmarkEnd w:id="22"/>
      <w:bookmarkEnd w:id="23"/>
      <w:r>
        <w:rPr>
          <w:noProof/>
        </w:rPr>
        <w:t xml:space="preserve"> </w:t>
      </w:r>
    </w:p>
    <w:p>
      <w:pPr>
        <w:ind w:left="360"/>
        <w:rPr>
          <w:noProof/>
        </w:rPr>
      </w:pPr>
      <w:r>
        <w:rPr>
          <w:noProof/>
          <w:bdr w:val="single" w:sz="4" w:space="0" w:color="auto"/>
        </w:rPr>
        <w:t>X</w:t>
      </w:r>
      <w:r>
        <w:rPr>
          <w:i/>
          <w:noProof/>
        </w:rPr>
        <w:t xml:space="preserve"> </w:t>
      </w:r>
      <w:r>
        <w:rPr>
          <w:b/>
          <w:noProof/>
        </w:rPr>
        <w:t>Bezpośrednie zarządzanie</w:t>
      </w:r>
      <w:r>
        <w:rPr>
          <w:noProof/>
        </w:rPr>
        <w:t xml:space="preserve"> przez Komisję</w:t>
      </w:r>
    </w:p>
    <w:p>
      <w:pPr>
        <w:ind w:left="360"/>
        <w:rPr>
          <w:rFonts w:eastAsia="Times New Roman" w:cs="EUAlbertina"/>
          <w:noProof/>
        </w:rPr>
      </w:pPr>
      <w:r>
        <w:rPr>
          <w:rFonts w:eastAsia="Times New Roman"/>
          <w:noProof/>
          <w:bdr w:val="single" w:sz="4" w:space="0" w:color="auto"/>
          <w:lang w:eastAsia="de-DE"/>
        </w:rPr>
        <w:t>X</w:t>
      </w:r>
      <w:r>
        <w:rPr>
          <w:noProof/>
        </w:rPr>
        <w:t xml:space="preserve"> przez jej służby, w tym za pośrednictwem pracowników w delegaturach Unii; </w:t>
      </w:r>
    </w:p>
    <w:p>
      <w:pPr>
        <w:ind w:left="360"/>
        <w:rPr>
          <w:rFonts w:eastAsia="Times New Roman"/>
          <w:noProof/>
        </w:rPr>
      </w:pPr>
      <w:r>
        <w:rPr>
          <w:noProof/>
        </w:rPr>
        <w:sym w:font="Wingdings" w:char="F0A8"/>
      </w:r>
      <w:r>
        <w:rPr>
          <w:noProof/>
        </w:rPr>
        <w:tab/>
        <w:t xml:space="preserve">przez agencje wykonawcze </w:t>
      </w:r>
    </w:p>
    <w:p>
      <w:pPr>
        <w:ind w:left="360"/>
        <w:rPr>
          <w:noProof/>
        </w:rPr>
      </w:pPr>
      <w:r>
        <w:rPr>
          <w:noProof/>
        </w:rPr>
        <w:sym w:font="Wingdings" w:char="F0A8"/>
      </w:r>
      <w:r>
        <w:rPr>
          <w:b/>
          <w:i/>
          <w:noProof/>
        </w:rPr>
        <w:t xml:space="preserve"> </w:t>
      </w:r>
      <w:r>
        <w:rPr>
          <w:b/>
          <w:noProof/>
        </w:rPr>
        <w:t>Zarządzanie dzielone</w:t>
      </w:r>
      <w:r>
        <w:rPr>
          <w:noProof/>
        </w:rPr>
        <w:t xml:space="preserve"> z państwami członkowskimi </w:t>
      </w:r>
    </w:p>
    <w:p>
      <w:pPr>
        <w:ind w:left="360"/>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pPr>
        <w:ind w:left="360"/>
        <w:rPr>
          <w:rFonts w:eastAsia="Times New Roman"/>
          <w:noProof/>
        </w:rPr>
      </w:pPr>
      <w:r>
        <w:rPr>
          <w:noProof/>
        </w:rPr>
        <w:sym w:font="Wingdings" w:char="F0A8"/>
      </w:r>
      <w:r>
        <w:rPr>
          <w:noProof/>
        </w:rPr>
        <w:t xml:space="preserve"> państwom trzecim lub organom przez nie wyznaczonym;</w:t>
      </w:r>
    </w:p>
    <w:p>
      <w:pPr>
        <w:ind w:left="360"/>
        <w:rPr>
          <w:rFonts w:eastAsia="Times New Roman"/>
          <w:noProof/>
        </w:rPr>
      </w:pPr>
      <w:r>
        <w:rPr>
          <w:noProof/>
        </w:rPr>
        <w:sym w:font="Wingdings" w:char="F0A8"/>
      </w:r>
      <w:r>
        <w:rPr>
          <w:noProof/>
        </w:rPr>
        <w:t xml:space="preserve"> organizacjom międzynarodowym i ich agencjom (należy wyszczególnić);</w:t>
      </w:r>
    </w:p>
    <w:p>
      <w:pPr>
        <w:ind w:left="360"/>
        <w:rPr>
          <w:rFonts w:eastAsia="Times New Roman"/>
          <w:noProof/>
        </w:rPr>
      </w:pPr>
      <w:r>
        <w:rPr>
          <w:noProof/>
        </w:rPr>
        <w:sym w:font="Wingdings" w:char="F0A8"/>
      </w:r>
      <w:r>
        <w:rPr>
          <w:noProof/>
        </w:rPr>
        <w:t xml:space="preserve"> EBI oraz Europejskiemu Funduszowi Inwestycyjnemu;</w:t>
      </w:r>
    </w:p>
    <w:p>
      <w:pPr>
        <w:ind w:left="360"/>
        <w:rPr>
          <w:rFonts w:eastAsia="Times New Roman"/>
          <w:noProof/>
        </w:rPr>
      </w:pPr>
      <w:r>
        <w:rPr>
          <w:noProof/>
        </w:rPr>
        <w:sym w:font="Wingdings" w:char="F0A8"/>
      </w:r>
      <w:r>
        <w:rPr>
          <w:noProof/>
        </w:rPr>
        <w:t xml:space="preserve"> organom, o których mowa w art. 70 i 71 rozporządzenia finansowego;</w:t>
      </w:r>
    </w:p>
    <w:p>
      <w:pPr>
        <w:ind w:left="360"/>
        <w:rPr>
          <w:rFonts w:eastAsia="Times New Roman"/>
          <w:noProof/>
        </w:rPr>
      </w:pPr>
      <w:r>
        <w:rPr>
          <w:noProof/>
        </w:rPr>
        <w:sym w:font="Wingdings" w:char="F0A8"/>
      </w:r>
      <w:r>
        <w:rPr>
          <w:noProof/>
        </w:rPr>
        <w:t xml:space="preserve"> organom prawa publicznego;</w:t>
      </w:r>
    </w:p>
    <w:p>
      <w:pPr>
        <w:ind w:left="360"/>
        <w:rPr>
          <w:rFonts w:eastAsia="Times New Roman"/>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ind w:left="360"/>
        <w:rPr>
          <w:rFonts w:eastAsia="Times New Roman"/>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ind w:left="360"/>
        <w:rPr>
          <w:rFonts w:eastAsia="Times New Roman"/>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ind w:left="360"/>
        <w:rPr>
          <w:rFonts w:eastAsia="Times New Roman"/>
          <w:i/>
          <w:noProof/>
          <w:sz w:val="18"/>
          <w:u w:val="single"/>
        </w:rPr>
      </w:pPr>
      <w:r>
        <w:rPr>
          <w:i/>
          <w:noProof/>
          <w:sz w:val="18"/>
        </w:rPr>
        <w:t>W przypadku wskazania więcej niż jednego trybu należy podać dodatkowe informacje w części „Uwagi”.</w:t>
      </w:r>
    </w:p>
    <w:p>
      <w:pPr>
        <w:tabs>
          <w:tab w:val="left" w:pos="720"/>
        </w:tabs>
        <w:ind w:left="360"/>
        <w:rPr>
          <w:noProof/>
        </w:rPr>
      </w:pPr>
      <w:r>
        <w:rPr>
          <w:noProof/>
        </w:rPr>
        <w:t xml:space="preserve">Uwagi </w:t>
      </w:r>
    </w:p>
    <w:p>
      <w:pPr>
        <w:rPr>
          <w:noProof/>
        </w:rPr>
      </w:pP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4" w:name="_Toc514941982"/>
      <w:bookmarkStart w:id="25" w:name="_Toc46138687"/>
      <w:r>
        <w:t>2.</w:t>
      </w:r>
      <w:r>
        <w:tab/>
      </w:r>
      <w:r>
        <w:rPr>
          <w:noProof/>
        </w:rPr>
        <w:t>ŚRODKI ZARZĄDZANIA</w:t>
      </w:r>
      <w:bookmarkEnd w:id="24"/>
      <w:bookmarkEnd w:id="25"/>
      <w:r>
        <w:rPr>
          <w:noProof/>
        </w:rPr>
        <w:t xml:space="preserve"> </w:t>
      </w:r>
    </w:p>
    <w:p>
      <w:pPr>
        <w:pStyle w:val="ManualHeading2"/>
        <w:rPr>
          <w:noProof/>
        </w:rPr>
      </w:pPr>
      <w:bookmarkStart w:id="26" w:name="_Toc514941983"/>
      <w:bookmarkStart w:id="27" w:name="_Toc46138688"/>
      <w:r>
        <w:t>2.1.</w:t>
      </w:r>
      <w:r>
        <w:tab/>
      </w:r>
      <w:r>
        <w:rPr>
          <w:noProof/>
        </w:rPr>
        <w:t>Zasady nadzoru i sprawozdawczości</w:t>
      </w:r>
      <w:bookmarkEnd w:id="26"/>
      <w:bookmarkEnd w:id="27"/>
      <w:r>
        <w:rPr>
          <w:noProof/>
        </w:rPr>
        <w:t xml:space="preserve"> </w:t>
      </w:r>
    </w:p>
    <w:p>
      <w:pPr>
        <w:ind w:left="709"/>
        <w:rPr>
          <w:i/>
          <w:noProof/>
          <w:sz w:val="20"/>
        </w:rPr>
      </w:pPr>
      <w:r>
        <w:rPr>
          <w:i/>
          <w:noProof/>
          <w:sz w:val="20"/>
        </w:rPr>
        <w:t>Określić częstotliwość i warunki</w:t>
      </w:r>
    </w:p>
    <w:p>
      <w:pPr>
        <w:pBdr>
          <w:top w:val="single" w:sz="4" w:space="1" w:color="auto"/>
          <w:left w:val="single" w:sz="4" w:space="4" w:color="auto"/>
          <w:bottom w:val="single" w:sz="4" w:space="1" w:color="auto"/>
          <w:right w:val="single" w:sz="4" w:space="4" w:color="auto"/>
        </w:pBdr>
        <w:ind w:left="851"/>
        <w:rPr>
          <w:noProof/>
        </w:rPr>
      </w:pPr>
      <w:r>
        <w:rPr>
          <w:noProof/>
        </w:rPr>
        <w:t>Beneficjenci dotacji muszą dostarczyć zebrane dane i odnośne sprawozdania na temat jakości.</w:t>
      </w:r>
    </w:p>
    <w:p>
      <w:pPr>
        <w:pStyle w:val="ManualHeading2"/>
        <w:rPr>
          <w:noProof/>
        </w:rPr>
      </w:pPr>
      <w:bookmarkStart w:id="28" w:name="_Toc514941984"/>
      <w:bookmarkStart w:id="29" w:name="_Toc46138689"/>
      <w:r>
        <w:t>2.2.</w:t>
      </w:r>
      <w:r>
        <w:tab/>
      </w:r>
      <w:r>
        <w:rPr>
          <w:noProof/>
        </w:rPr>
        <w:t>System zarządzania i kontroli</w:t>
      </w:r>
      <w:bookmarkEnd w:id="28"/>
      <w:bookmarkEnd w:id="29"/>
      <w:r>
        <w:rPr>
          <w:noProof/>
        </w:rPr>
        <w:t xml:space="preserve"> </w:t>
      </w:r>
    </w:p>
    <w:p>
      <w:pPr>
        <w:keepNext/>
        <w:ind w:left="1800"/>
        <w:outlineLvl w:val="2"/>
        <w:rPr>
          <w:rFonts w:eastAsiaTheme="majorEastAsia"/>
          <w:bCs/>
          <w:i/>
          <w:noProof/>
        </w:rPr>
      </w:pPr>
      <w:bookmarkStart w:id="30" w:name="_Toc514941985"/>
      <w:bookmarkStart w:id="31" w:name="_Toc46138690"/>
      <w:r>
        <w:rPr>
          <w:bCs/>
          <w:i/>
          <w:noProof/>
        </w:rPr>
        <w:t>Uzasadnienie dla systemu zarządzania, mechanizmów finansowania wykonania, warunków płatności i proponowanej strategii kontroli</w:t>
      </w:r>
      <w:bookmarkEnd w:id="30"/>
      <w:bookmarkEnd w:id="31"/>
    </w:p>
    <w:tbl>
      <w:tblPr>
        <w:tblStyle w:val="TableGrid1"/>
        <w:tblW w:w="0" w:type="auto"/>
        <w:tblInd w:w="850" w:type="dxa"/>
        <w:tblLook w:val="04A0" w:firstRow="1" w:lastRow="0" w:firstColumn="1" w:lastColumn="0" w:noHBand="0" w:noVBand="1"/>
      </w:tblPr>
      <w:tblGrid>
        <w:gridCol w:w="8437"/>
      </w:tblGrid>
      <w:tr>
        <w:tc>
          <w:tcPr>
            <w:tcW w:w="9287" w:type="dxa"/>
          </w:tcPr>
          <w:p>
            <w:pPr>
              <w:pBdr>
                <w:top w:val="nil"/>
                <w:left w:val="nil"/>
                <w:bottom w:val="nil"/>
                <w:right w:val="nil"/>
                <w:between w:val="nil"/>
                <w:bar w:val="nil"/>
              </w:pBdr>
              <w:spacing w:after="240"/>
              <w:ind w:left="1"/>
              <w:rPr>
                <w:noProof/>
              </w:rPr>
            </w:pPr>
            <w:r>
              <w:rPr>
                <w:noProof/>
              </w:rPr>
              <w:t>Zasada pomocniczości ma zastosowanie, ponieważ wniosek nie wchodzi w zakres wyłącznych kompetencji Unii. Europejski System Statystyczny (ESS) zapewnia infrastrukturę na potrzeby informacji statystycznych. System ten jest zaprojektowany w taki sposób, aby był w stanie zaspokoić potrzeby wielu różnych użytkowników do celów podejmowania decyzji w społeczeństwach demokratycznych. Niniejszy wniosek dotyczący rozporządzenia został opracowany w celu ochrony podstawowych działań partnerów ESS przy jednoczesnym zapewnieniu lepszej jakości i porównywalności statystyk rolnictwa.</w:t>
            </w:r>
          </w:p>
          <w:p>
            <w:pPr>
              <w:pBdr>
                <w:top w:val="nil"/>
                <w:left w:val="nil"/>
                <w:bottom w:val="nil"/>
                <w:right w:val="nil"/>
                <w:between w:val="nil"/>
                <w:bar w:val="nil"/>
              </w:pBdr>
              <w:spacing w:after="240"/>
              <w:ind w:left="1"/>
              <w:rPr>
                <w:noProof/>
              </w:rPr>
            </w:pPr>
            <w:r>
              <w:rPr>
                <w:noProof/>
              </w:rPr>
              <w:t xml:space="preserve">Jednymi z głównych kryteriów, które muszą spełniać dane statystyczne, są spójność i porównywalność. Państwa członkowskie nie są w stanie osiągnąć niezbędnej spójności i porównywalności bez jasnych ram europejskich, tj. unijnego prawodawstwa określającego wspólne pojęcia statystyczne, formaty sprawozdawczości oraz wymogi jakościowe. </w:t>
            </w:r>
          </w:p>
          <w:p>
            <w:pPr>
              <w:ind w:left="1"/>
              <w:rPr>
                <w:noProof/>
              </w:rPr>
            </w:pPr>
            <w:r>
              <w:rPr>
                <w:noProof/>
              </w:rPr>
              <w:t>Państwa członkowskie działające niezależnie nie są w stanie w sposób zadowalający osiągnąć celu proponowanego działania. Skuteczniejsze działanie można podjąć na szczeblu Unii, na podstawie unijnego aktu prawnego zapewniającego porównywalność informacji statystycznych w dziedzinach statystycznych objętych proponowanym aktem. Samo gromadzenie danych może być prowadzone przez państwa członkowskie.</w:t>
            </w:r>
          </w:p>
        </w:tc>
      </w:tr>
    </w:tbl>
    <w:p>
      <w:pPr>
        <w:pStyle w:val="ManualHeading3"/>
        <w:rPr>
          <w:noProof/>
        </w:rPr>
      </w:pPr>
      <w:bookmarkStart w:id="32" w:name="_Toc514941986"/>
      <w:bookmarkStart w:id="33" w:name="_Toc46138691"/>
      <w:r>
        <w:t>2.2.1.</w:t>
      </w:r>
      <w:r>
        <w:tab/>
      </w:r>
      <w:r>
        <w:rPr>
          <w:noProof/>
        </w:rPr>
        <w:t>Informacje dotyczące zidentyfikowanego ryzyka i systemów kontroli wewnętrznej ustanowionych w celu jego ograniczenia</w:t>
      </w:r>
      <w:bookmarkEnd w:id="32"/>
      <w:bookmarkEnd w:id="33"/>
    </w:p>
    <w:p>
      <w:pPr>
        <w:pBdr>
          <w:top w:val="single" w:sz="4" w:space="1" w:color="auto"/>
          <w:left w:val="single" w:sz="4" w:space="4" w:color="auto"/>
          <w:bottom w:val="single" w:sz="4" w:space="1" w:color="auto"/>
          <w:right w:val="single" w:sz="4" w:space="4" w:color="auto"/>
        </w:pBdr>
        <w:tabs>
          <w:tab w:val="left" w:pos="720"/>
        </w:tabs>
        <w:spacing w:before="0" w:after="0"/>
        <w:ind w:left="851"/>
        <w:rPr>
          <w:noProof/>
        </w:rPr>
      </w:pPr>
      <w:r>
        <w:rPr>
          <w:noProof/>
        </w:rPr>
        <w:t>Ryzyko: potencjalne kwestie dotyczące jakości i terminowości danych.</w:t>
      </w:r>
    </w:p>
    <w:p>
      <w:pPr>
        <w:pBdr>
          <w:top w:val="single" w:sz="4" w:space="1" w:color="auto"/>
          <w:left w:val="single" w:sz="4" w:space="4" w:color="auto"/>
          <w:bottom w:val="single" w:sz="4" w:space="1" w:color="auto"/>
          <w:right w:val="single" w:sz="4" w:space="4" w:color="auto"/>
        </w:pBdr>
        <w:spacing w:before="0" w:after="0"/>
        <w:ind w:left="851"/>
        <w:rPr>
          <w:noProof/>
        </w:rPr>
      </w:pPr>
    </w:p>
    <w:p>
      <w:pPr>
        <w:pBdr>
          <w:top w:val="single" w:sz="4" w:space="1" w:color="auto"/>
          <w:left w:val="single" w:sz="4" w:space="4" w:color="auto"/>
          <w:bottom w:val="single" w:sz="4" w:space="1" w:color="auto"/>
          <w:right w:val="single" w:sz="4" w:space="4" w:color="auto"/>
        </w:pBdr>
        <w:spacing w:before="0" w:after="0"/>
        <w:ind w:left="851"/>
        <w:rPr>
          <w:noProof/>
        </w:rPr>
      </w:pPr>
      <w:r>
        <w:rPr>
          <w:noProof/>
        </w:rPr>
        <w:t>Systemy kontroli ustanowione w celu łagodzenia ryzyka: dokumentacja techniczna i metodologiczna oraz wytyczne przekazywane państwom członkowskim z wyprzedzeniem. Przestrzeganie terminów będzie monitorowane. Sprawozdania dotyczące jakości będą uważnie analizowane.</w:t>
      </w:r>
    </w:p>
    <w:p>
      <w:pPr>
        <w:rPr>
          <w:noProof/>
        </w:rPr>
      </w:pPr>
    </w:p>
    <w:p>
      <w:pPr>
        <w:pStyle w:val="ManualHeading3"/>
        <w:rPr>
          <w:noProof/>
        </w:rPr>
      </w:pPr>
      <w:bookmarkStart w:id="34" w:name="_Toc514941987"/>
      <w:bookmarkStart w:id="35" w:name="_Toc46138692"/>
      <w:r>
        <w:t>2.2.2.</w:t>
      </w:r>
      <w:r>
        <w:tab/>
      </w:r>
      <w:r>
        <w:rPr>
          <w:noProof/>
        </w:rPr>
        <w:t>Oszacowanie i uzasadnienie efektywności kosztowej kontroli (relacja kosztów kontroli do wartości zarządzanych funduszy powiązanych) oraz ocena prawdopodobnego ryzyka błędu (przy płatności i przy zamykaniu)</w:t>
      </w:r>
      <w:bookmarkEnd w:id="34"/>
      <w:bookmarkEnd w:id="35"/>
      <w:r>
        <w:rPr>
          <w:noProof/>
        </w:rPr>
        <w:t xml:space="preserve"> </w:t>
      </w:r>
    </w:p>
    <w:p>
      <w:pPr>
        <w:pBdr>
          <w:top w:val="single" w:sz="4" w:space="1" w:color="auto"/>
          <w:left w:val="single" w:sz="4" w:space="4" w:color="auto"/>
          <w:bottom w:val="single" w:sz="4" w:space="1" w:color="auto"/>
          <w:right w:val="single" w:sz="4" w:space="4" w:color="auto"/>
        </w:pBdr>
        <w:ind w:left="851"/>
        <w:rPr>
          <w:noProof/>
        </w:rPr>
      </w:pPr>
      <w:r>
        <w:rPr>
          <w:noProof/>
        </w:rPr>
        <w:t>Kontrole będą przeprowadzane przez urzędników Komisji w ramach ich zwykłych obowiązków. Płynące z tego korzyści to poprawa jakości i porównywalności danych. Spodziewany poziom ryzyka błędu jest niski, gdyż gromadzenie danych na potrzeby statystyki rolnictwa prowadzone jest przy dobrej współpracy z państwami członkowskimi od lat 50-tych XX wieku. Dostosowanie systemu technicznego i innych systemów może spowodować niewielkie zwiększenie ryzyka błędu w perspektywie krótkoterminowej, ale oczekuje się, że zmaleje ono znów do wartości średniej w perspektywie krótko- do średnioterminowej.</w:t>
      </w:r>
    </w:p>
    <w:p>
      <w:pPr>
        <w:ind w:left="850"/>
        <w:rPr>
          <w:noProof/>
        </w:rPr>
      </w:pPr>
    </w:p>
    <w:p>
      <w:pPr>
        <w:pStyle w:val="ManualHeading2"/>
        <w:rPr>
          <w:noProof/>
        </w:rPr>
      </w:pPr>
      <w:bookmarkStart w:id="36" w:name="_Toc514941988"/>
      <w:bookmarkStart w:id="37" w:name="_Toc46138693"/>
      <w:r>
        <w:t>2.3.</w:t>
      </w:r>
      <w:r>
        <w:tab/>
      </w:r>
      <w:r>
        <w:rPr>
          <w:noProof/>
        </w:rPr>
        <w:t>Środki zapobiegania nadużyciom finansowym i nieprawidłowościom</w:t>
      </w:r>
      <w:bookmarkEnd w:id="36"/>
      <w:bookmarkEnd w:id="37"/>
      <w:r>
        <w:rPr>
          <w:noProof/>
        </w:rPr>
        <w:t xml:space="preserve"> </w:t>
      </w:r>
    </w:p>
    <w:p>
      <w:pPr>
        <w:ind w:left="850"/>
        <w:rPr>
          <w:noProof/>
        </w:rPr>
      </w:pPr>
      <w:r>
        <w:rPr>
          <w:i/>
          <w:noProof/>
          <w:sz w:val="20"/>
        </w:rPr>
        <w:t>Określić istniejące lub przewidywane środki zapobiegania i ochrony, np. ze strategii zwalczania nadużyć finansowych.</w:t>
      </w:r>
    </w:p>
    <w:p>
      <w:pPr>
        <w:pBdr>
          <w:top w:val="single" w:sz="4" w:space="1" w:color="auto"/>
          <w:left w:val="single" w:sz="4" w:space="4" w:color="auto"/>
          <w:bottom w:val="single" w:sz="4" w:space="1" w:color="auto"/>
          <w:right w:val="single" w:sz="4" w:space="4" w:color="auto"/>
        </w:pBdr>
        <w:ind w:left="850"/>
        <w:rPr>
          <w:noProof/>
        </w:rPr>
      </w:pPr>
      <w:r>
        <w:rPr>
          <w:noProof/>
        </w:rPr>
        <w:t>Oprócz wszystkich mechanizmów kontroli regulacyjnej Eurostat stosować będzie strategię zwalczania nadużyć finansowych zgodnie z ogólnymi działaniami Komisji w tej dziedzinie. Zapewni to ukierunkowanie podejścia w zakresie zarządzania ryzykiem nadużyć finansowych na rozpoznawanie obszarów ryzyka nadużyć finansowych i na odpowiednie reagowanie. W razie konieczności utworzone zostaną sieci kontaktów oraz odpowiednie narzędzia informatyczne służące analizie przypadków nadużyć finansowych.</w:t>
      </w:r>
    </w:p>
    <w:p>
      <w:pPr>
        <w:pBdr>
          <w:top w:val="single" w:sz="4" w:space="1" w:color="auto"/>
          <w:left w:val="single" w:sz="4" w:space="4" w:color="auto"/>
          <w:bottom w:val="single" w:sz="4" w:space="1" w:color="auto"/>
          <w:right w:val="single" w:sz="4" w:space="4" w:color="auto"/>
        </w:pBdr>
        <w:ind w:left="850"/>
        <w:rPr>
          <w:noProof/>
        </w:rPr>
      </w:pPr>
      <w:r>
        <w:rPr>
          <w:noProof/>
        </w:rPr>
        <w:t>Eurostat określił strategię kontroli towarzyszącą realizacji wydatków. Do proponowanego rozporządzenia stosuje się w pełni środki i narzędzia objęte tą strategią. Zmniejszenie złożoności, stosowanie opłacalnych procedur monitorowania oraz prowadzenie opartych na ryzyku kontroli ex ante i ex post będą miały na celu ograniczenie prawdopodobieństwa nadużyć finansowych i przyczynienie się do zapobiegania im. Częścią strategii kontroli są szczególne środki zwiększania świadomości na temat nadużyć finansowych i odpowiednie szkolenia dotyczące zapobiegania takim nadużyciom.</w:t>
      </w:r>
    </w:p>
    <w:p>
      <w:pPr>
        <w:ind w:left="850"/>
        <w:rPr>
          <w:noProof/>
        </w:rPr>
      </w:pPr>
    </w:p>
    <w:p>
      <w:pPr>
        <w:ind w:left="850"/>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38" w:name="_Toc514941989"/>
      <w:bookmarkStart w:id="39" w:name="_Toc46138694"/>
      <w:r>
        <w:t>3.</w:t>
      </w:r>
      <w:r>
        <w:tab/>
      </w:r>
      <w:r>
        <w:rPr>
          <w:noProof/>
        </w:rPr>
        <w:t>SZACUNKOWY WPŁYW FINANSOWY WNIOSKU/INICJATYWY</w:t>
      </w:r>
      <w:bookmarkEnd w:id="38"/>
      <w:bookmarkEnd w:id="39"/>
      <w:r>
        <w:rPr>
          <w:noProof/>
        </w:rPr>
        <w:t xml:space="preserve"> </w:t>
      </w:r>
    </w:p>
    <w:p>
      <w:pPr>
        <w:pStyle w:val="ManualHeading2"/>
        <w:rPr>
          <w:noProof/>
        </w:rPr>
      </w:pPr>
      <w:bookmarkStart w:id="40" w:name="_Toc514941990"/>
      <w:bookmarkStart w:id="41" w:name="_Toc46138695"/>
      <w:r>
        <w:t>3.1.</w:t>
      </w:r>
      <w:r>
        <w:tab/>
      </w:r>
      <w:r>
        <w:rPr>
          <w:noProof/>
        </w:rPr>
        <w:t>Dział wieloletnich ram finansowych i proponowane nowe linie budżetowe po stronie wydatków</w:t>
      </w:r>
      <w:bookmarkEnd w:id="40"/>
      <w:bookmarkEnd w:id="41"/>
      <w:r>
        <w:rPr>
          <w:noProof/>
        </w:rPr>
        <w:t xml:space="preserve"> </w:t>
      </w:r>
    </w:p>
    <w:p>
      <w:pPr>
        <w:rPr>
          <w:noProof/>
        </w:rPr>
      </w:pPr>
      <w:r>
        <w:rPr>
          <w:noProof/>
        </w:rPr>
        <w:t xml:space="preserve">Wpływ finansowy wniosku nie jest znany w momencie przyjęcia rozporządzenia. Wkład Unii nie ma zastosowania do regularnego gromadzenia danych statystycznych, a jedynie do gromadzenia danych ad hoc, o którym mowa w art. 6. Pierwsze gromadzenie danych ad hoc może nastąpić najwcześniej po 2 latach od pierwszego roku referencyjnego, w przypadku zaistnienia dobrze uzasadnionej nieoczekiwanej potrzeby w zakresie danych. Z tego względu na tym etapie nie jest możliwe ustalenie wpływu finansowego. </w:t>
      </w:r>
    </w:p>
    <w:p>
      <w:pPr>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365"/>
        <w:gridCol w:w="1044"/>
        <w:gridCol w:w="1134"/>
        <w:gridCol w:w="851"/>
        <w:gridCol w:w="1411"/>
      </w:tblGrid>
      <w:tr>
        <w:tc>
          <w:tcPr>
            <w:tcW w:w="1080" w:type="dxa"/>
            <w:vMerge w:val="restart"/>
            <w:vAlign w:val="center"/>
          </w:tcPr>
          <w:p>
            <w:pPr>
              <w:spacing w:before="60" w:after="60"/>
              <w:jc w:val="center"/>
              <w:rPr>
                <w:noProof/>
              </w:rPr>
            </w:pPr>
            <w:r>
              <w:rPr>
                <w:noProof/>
                <w:sz w:val="18"/>
              </w:rPr>
              <w:t>Dział wieloletnich ram finansowych</w:t>
            </w:r>
          </w:p>
        </w:tc>
        <w:tc>
          <w:tcPr>
            <w:tcW w:w="3675" w:type="dxa"/>
            <w:vAlign w:val="center"/>
          </w:tcPr>
          <w:p>
            <w:pPr>
              <w:spacing w:before="60" w:after="60"/>
              <w:jc w:val="center"/>
              <w:rPr>
                <w:noProof/>
              </w:rPr>
            </w:pPr>
            <w:r>
              <w:rPr>
                <w:noProof/>
                <w:sz w:val="20"/>
              </w:rPr>
              <w:t>Linia budżetowa</w:t>
            </w:r>
          </w:p>
        </w:tc>
        <w:tc>
          <w:tcPr>
            <w:tcW w:w="1365" w:type="dxa"/>
            <w:vAlign w:val="center"/>
          </w:tcPr>
          <w:p>
            <w:pPr>
              <w:spacing w:before="60" w:after="60"/>
              <w:jc w:val="center"/>
              <w:rPr>
                <w:noProof/>
              </w:rPr>
            </w:pPr>
            <w:r>
              <w:rPr>
                <w:noProof/>
                <w:sz w:val="18"/>
              </w:rPr>
              <w:t xml:space="preserve">Rodzaj </w:t>
            </w:r>
            <w:r>
              <w:rPr>
                <w:noProof/>
              </w:rPr>
              <w:br/>
            </w:r>
            <w:r>
              <w:rPr>
                <w:noProof/>
                <w:sz w:val="18"/>
              </w:rPr>
              <w:t>wydatków</w:t>
            </w:r>
          </w:p>
        </w:tc>
        <w:tc>
          <w:tcPr>
            <w:tcW w:w="4440" w:type="dxa"/>
            <w:gridSpan w:val="4"/>
            <w:vAlign w:val="center"/>
          </w:tcPr>
          <w:p>
            <w:pPr>
              <w:spacing w:before="60" w:after="60"/>
              <w:jc w:val="center"/>
              <w:rPr>
                <w:noProof/>
              </w:rPr>
            </w:pPr>
            <w:r>
              <w:rPr>
                <w:noProof/>
                <w:sz w:val="20"/>
              </w:rPr>
              <w:t xml:space="preserve">Wkład </w:t>
            </w:r>
          </w:p>
        </w:tc>
      </w:tr>
      <w:tr>
        <w:tc>
          <w:tcPr>
            <w:tcW w:w="1080" w:type="dxa"/>
            <w:vMerge/>
            <w:vAlign w:val="center"/>
          </w:tcPr>
          <w:p>
            <w:pPr>
              <w:jc w:val="center"/>
              <w:rPr>
                <w:noProof/>
              </w:rPr>
            </w:pPr>
          </w:p>
        </w:tc>
        <w:tc>
          <w:tcPr>
            <w:tcW w:w="3675" w:type="dxa"/>
            <w:vAlign w:val="center"/>
          </w:tcPr>
          <w:p>
            <w:pPr>
              <w:rPr>
                <w:noProof/>
              </w:rPr>
            </w:pPr>
            <w:r>
              <w:rPr>
                <w:noProof/>
                <w:sz w:val="20"/>
              </w:rPr>
              <w:t xml:space="preserve">Liczba </w:t>
            </w:r>
            <w:r>
              <w:rPr>
                <w:noProof/>
              </w:rPr>
              <w:br/>
            </w:r>
            <w:r>
              <w:rPr>
                <w:noProof/>
                <w:color w:val="0000FF"/>
                <w:sz w:val="22"/>
              </w:rPr>
              <w:t>[…]</w:t>
            </w:r>
            <w:r>
              <w:rPr>
                <w:noProof/>
                <w:sz w:val="20"/>
              </w:rPr>
              <w:t>[Dział………………………...…………]</w:t>
            </w:r>
          </w:p>
        </w:tc>
        <w:tc>
          <w:tcPr>
            <w:tcW w:w="1365" w:type="dxa"/>
            <w:vAlign w:val="center"/>
          </w:tcPr>
          <w:p>
            <w:pPr>
              <w:jc w:val="center"/>
              <w:rPr>
                <w:noProof/>
                <w:sz w:val="18"/>
                <w:szCs w:val="18"/>
              </w:rPr>
            </w:pPr>
            <w:r>
              <w:rPr>
                <w:noProof/>
                <w:sz w:val="18"/>
                <w:szCs w:val="18"/>
              </w:rPr>
              <w:t>Zróżn. / Niezróżn.</w:t>
            </w:r>
            <w:r>
              <w:rPr>
                <w:rStyle w:val="FootnoteReference"/>
                <w:noProof/>
                <w:szCs w:val="24"/>
              </w:rPr>
              <w:footnoteReference w:id="37"/>
            </w:r>
          </w:p>
        </w:tc>
        <w:tc>
          <w:tcPr>
            <w:tcW w:w="1044" w:type="dxa"/>
            <w:vAlign w:val="center"/>
          </w:tcPr>
          <w:p>
            <w:pPr>
              <w:jc w:val="center"/>
              <w:rPr>
                <w:noProof/>
              </w:rPr>
            </w:pPr>
            <w:r>
              <w:rPr>
                <w:noProof/>
                <w:sz w:val="18"/>
                <w:szCs w:val="18"/>
              </w:rPr>
              <w:t>państw EFTA</w:t>
            </w:r>
            <w:r>
              <w:rPr>
                <w:rStyle w:val="FootnoteReference"/>
                <w:noProof/>
              </w:rPr>
              <w:footnoteReference w:id="38"/>
            </w:r>
          </w:p>
          <w:p>
            <w:pPr>
              <w:spacing w:before="0" w:after="0"/>
              <w:jc w:val="center"/>
              <w:rPr>
                <w:b/>
                <w:noProof/>
                <w:sz w:val="18"/>
              </w:rPr>
            </w:pPr>
          </w:p>
        </w:tc>
        <w:tc>
          <w:tcPr>
            <w:tcW w:w="1134" w:type="dxa"/>
            <w:vAlign w:val="center"/>
          </w:tcPr>
          <w:p>
            <w:pPr>
              <w:jc w:val="center"/>
              <w:rPr>
                <w:noProof/>
              </w:rPr>
            </w:pPr>
            <w:r>
              <w:rPr>
                <w:noProof/>
                <w:sz w:val="18"/>
                <w:szCs w:val="18"/>
              </w:rPr>
              <w:t>krajów kandydujących</w:t>
            </w:r>
            <w:r>
              <w:rPr>
                <w:rStyle w:val="FootnoteReference"/>
                <w:noProof/>
              </w:rPr>
              <w:footnoteReference w:id="39"/>
            </w:r>
          </w:p>
          <w:p>
            <w:pPr>
              <w:spacing w:before="0" w:after="0"/>
              <w:jc w:val="center"/>
              <w:rPr>
                <w:noProof/>
                <w:sz w:val="18"/>
              </w:rPr>
            </w:pPr>
          </w:p>
        </w:tc>
        <w:tc>
          <w:tcPr>
            <w:tcW w:w="851" w:type="dxa"/>
            <w:vAlign w:val="center"/>
          </w:tcPr>
          <w:p>
            <w:pPr>
              <w:jc w:val="center"/>
              <w:rPr>
                <w:noProof/>
                <w:sz w:val="18"/>
              </w:rPr>
            </w:pPr>
            <w:r>
              <w:rPr>
                <w:noProof/>
                <w:sz w:val="18"/>
              </w:rPr>
              <w:t>państw trzecich</w:t>
            </w:r>
          </w:p>
        </w:tc>
        <w:tc>
          <w:tcPr>
            <w:tcW w:w="1411" w:type="dxa"/>
            <w:vAlign w:val="center"/>
          </w:tcPr>
          <w:p>
            <w:pPr>
              <w:jc w:val="center"/>
              <w:rPr>
                <w:noProof/>
              </w:rPr>
            </w:pPr>
            <w:r>
              <w:rPr>
                <w:noProof/>
                <w:sz w:val="16"/>
              </w:rPr>
              <w:t xml:space="preserve">w rozumieniu art. [21 ust. 2 lit. b)] rozporządzenia finansowego </w:t>
            </w:r>
          </w:p>
        </w:tc>
      </w:tr>
      <w:tr>
        <w:tc>
          <w:tcPr>
            <w:tcW w:w="1080" w:type="dxa"/>
            <w:vAlign w:val="center"/>
          </w:tcPr>
          <w:p>
            <w:pPr>
              <w:jc w:val="center"/>
              <w:rPr>
                <w:noProof/>
                <w:color w:val="0000FF"/>
              </w:rPr>
            </w:pPr>
          </w:p>
        </w:tc>
        <w:tc>
          <w:tcPr>
            <w:tcW w:w="3675" w:type="dxa"/>
            <w:vAlign w:val="center"/>
          </w:tcPr>
          <w:p>
            <w:pPr>
              <w:spacing w:after="60"/>
              <w:rPr>
                <w:noProof/>
              </w:rPr>
            </w:pPr>
          </w:p>
        </w:tc>
        <w:tc>
          <w:tcPr>
            <w:tcW w:w="1365" w:type="dxa"/>
            <w:vAlign w:val="center"/>
          </w:tcPr>
          <w:p>
            <w:pPr>
              <w:jc w:val="center"/>
              <w:rPr>
                <w:noProof/>
                <w:color w:val="0000FF"/>
              </w:rPr>
            </w:pPr>
            <w:r>
              <w:rPr>
                <w:noProof/>
                <w:sz w:val="22"/>
              </w:rPr>
              <w:t>Zróżn. / niezróżn.</w:t>
            </w:r>
          </w:p>
        </w:tc>
        <w:tc>
          <w:tcPr>
            <w:tcW w:w="1044" w:type="dxa"/>
            <w:vAlign w:val="center"/>
          </w:tcPr>
          <w:p>
            <w:pPr>
              <w:jc w:val="center"/>
              <w:rPr>
                <w:noProof/>
              </w:rPr>
            </w:pPr>
            <w:r>
              <w:rPr>
                <w:noProof/>
                <w:sz w:val="22"/>
              </w:rPr>
              <w:t>TAK/ NIE</w:t>
            </w:r>
          </w:p>
        </w:tc>
        <w:tc>
          <w:tcPr>
            <w:tcW w:w="1134" w:type="dxa"/>
            <w:vAlign w:val="center"/>
          </w:tcPr>
          <w:p>
            <w:pPr>
              <w:jc w:val="center"/>
              <w:rPr>
                <w:noProof/>
              </w:rPr>
            </w:pPr>
            <w:r>
              <w:rPr>
                <w:noProof/>
                <w:sz w:val="22"/>
              </w:rPr>
              <w:t>TAK/ NIE</w:t>
            </w:r>
          </w:p>
        </w:tc>
        <w:tc>
          <w:tcPr>
            <w:tcW w:w="851" w:type="dxa"/>
            <w:vAlign w:val="center"/>
          </w:tcPr>
          <w:p>
            <w:pPr>
              <w:jc w:val="center"/>
              <w:rPr>
                <w:noProof/>
              </w:rPr>
            </w:pPr>
            <w:r>
              <w:rPr>
                <w:noProof/>
                <w:sz w:val="22"/>
              </w:rPr>
              <w:t>TAK/ NIE</w:t>
            </w:r>
          </w:p>
        </w:tc>
        <w:tc>
          <w:tcPr>
            <w:tcW w:w="1411" w:type="dxa"/>
            <w:vAlign w:val="center"/>
          </w:tcPr>
          <w:p>
            <w:pPr>
              <w:jc w:val="center"/>
              <w:rPr>
                <w:noProof/>
              </w:rPr>
            </w:pPr>
            <w:r>
              <w:rPr>
                <w:noProof/>
                <w:sz w:val="22"/>
              </w:rPr>
              <w:t>TAK/ NIE</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bookmarkStart w:id="42" w:name="_Toc514941991"/>
      <w:bookmarkStart w:id="43" w:name="_Toc46138696"/>
      <w:r>
        <w:t>3.2.</w:t>
      </w:r>
      <w:r>
        <w:tab/>
      </w:r>
      <w:r>
        <w:rPr>
          <w:noProof/>
        </w:rPr>
        <w:t>Szacunkowy wpływ na wydatki</w:t>
      </w:r>
      <w:bookmarkEnd w:id="42"/>
      <w:bookmarkEnd w:id="43"/>
      <w:r>
        <w:rPr>
          <w:noProof/>
        </w:rPr>
        <w:t xml:space="preserve"> </w:t>
      </w:r>
    </w:p>
    <w:p>
      <w:pPr>
        <w:pStyle w:val="ManualHeading3"/>
        <w:rPr>
          <w:noProof/>
          <w:u w:val="single"/>
        </w:rPr>
      </w:pPr>
      <w:bookmarkStart w:id="44" w:name="_Toc514941992"/>
      <w:bookmarkStart w:id="45" w:name="_Toc46138697"/>
      <w:r>
        <w:t>3.2.1.</w:t>
      </w:r>
      <w:r>
        <w:tab/>
      </w:r>
      <w:r>
        <w:rPr>
          <w:noProof/>
        </w:rPr>
        <w:t>Synteza szacunkowego wpływu na wydatki</w:t>
      </w:r>
      <w:bookmarkEnd w:id="44"/>
      <w:bookmarkEnd w:id="45"/>
      <w:r>
        <w:rPr>
          <w:noProof/>
        </w:rPr>
        <w:t xml:space="preserve"> </w:t>
      </w:r>
    </w:p>
    <w:p>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Dział wieloletnich ram </w:t>
            </w:r>
            <w:r>
              <w:rPr>
                <w:noProof/>
              </w:rPr>
              <w:br/>
            </w:r>
            <w:r>
              <w:rPr>
                <w:b/>
                <w:noProof/>
                <w:sz w:val="22"/>
              </w:rPr>
              <w:t xml:space="preserve">finansowych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color w:val="0000FF"/>
                <w:sz w:val="22"/>
              </w:rPr>
              <w:t>[…]</w:t>
            </w:r>
            <w:r>
              <w:rPr>
                <w:noProof/>
                <w:sz w:val="22"/>
              </w:rPr>
              <w:t>[Dział……………...……………………………………………………………]</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2027 r.</w:t>
            </w:r>
          </w:p>
        </w:tc>
        <w:tc>
          <w:tcPr>
            <w:tcW w:w="1289" w:type="dxa"/>
            <w:vAlign w:val="center"/>
          </w:tcPr>
          <w:p>
            <w:pPr>
              <w:jc w:val="center"/>
              <w:rPr>
                <w:b/>
                <w:noProof/>
                <w:sz w:val="20"/>
              </w:rPr>
            </w:pPr>
            <w:r>
              <w:rPr>
                <w:b/>
                <w:noProof/>
                <w:sz w:val="20"/>
              </w:rPr>
              <w:t>OGÓŁEM</w:t>
            </w:r>
          </w:p>
        </w:tc>
      </w:tr>
      <w:tr>
        <w:trPr>
          <w:trHeight w:val="433"/>
          <w:jc w:val="center"/>
        </w:trPr>
        <w:tc>
          <w:tcPr>
            <w:tcW w:w="4103" w:type="dxa"/>
            <w:vMerge w:val="restart"/>
            <w:vAlign w:val="center"/>
          </w:tcPr>
          <w:p>
            <w:pPr>
              <w:rPr>
                <w:noProof/>
              </w:rPr>
            </w:pPr>
            <w:r>
              <w:rPr>
                <w:noProof/>
                <w:sz w:val="20"/>
              </w:rPr>
              <w:t xml:space="preserve">Środki operacyjne (w podziale na linie budżetowe wymienione w pkt 3.1) </w:t>
            </w:r>
          </w:p>
        </w:tc>
        <w:tc>
          <w:tcPr>
            <w:tcW w:w="1440" w:type="dxa"/>
            <w:vAlign w:val="center"/>
          </w:tcPr>
          <w:p>
            <w:pPr>
              <w:spacing w:before="20" w:after="20"/>
              <w:jc w:val="left"/>
              <w:rPr>
                <w:noProof/>
                <w:sz w:val="18"/>
              </w:rPr>
            </w:pPr>
            <w:r>
              <w:rPr>
                <w:noProof/>
                <w:sz w:val="18"/>
              </w:rPr>
              <w:t>Środki na zobowiązania</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Środki na płatności</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319"/>
          <w:jc w:val="center"/>
        </w:trPr>
        <w:tc>
          <w:tcPr>
            <w:tcW w:w="4103" w:type="dxa"/>
            <w:vAlign w:val="center"/>
          </w:tcPr>
          <w:p>
            <w:pPr>
              <w:spacing w:before="20" w:after="20"/>
              <w:jc w:val="left"/>
              <w:rPr>
                <w:noProof/>
              </w:rPr>
            </w:pPr>
            <w:r>
              <w:rPr>
                <w:noProof/>
              </w:rPr>
              <w:t>Środki administracyjne finansowane ze środków przydzielonych na program</w:t>
            </w:r>
            <w:r>
              <w:rPr>
                <w:rStyle w:val="FootnoteReference"/>
                <w:noProof/>
              </w:rPr>
              <w:footnoteReference w:id="40"/>
            </w:r>
            <w:r>
              <w:rPr>
                <w:noProof/>
                <w:sz w:val="21"/>
              </w:rPr>
              <w:t xml:space="preserve"> </w:t>
            </w:r>
          </w:p>
        </w:tc>
        <w:tc>
          <w:tcPr>
            <w:tcW w:w="1440" w:type="dxa"/>
            <w:vAlign w:val="center"/>
          </w:tcPr>
          <w:p>
            <w:pPr>
              <w:spacing w:before="40" w:after="40"/>
              <w:jc w:val="left"/>
              <w:rPr>
                <w:noProof/>
                <w:sz w:val="18"/>
              </w:rPr>
            </w:pPr>
            <w:r>
              <w:rPr>
                <w:noProof/>
                <w:sz w:val="18"/>
              </w:rPr>
              <w:t>Środki na zobowiązania = środki na płatności</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OGÓŁEM środki przydzielone na program</w:t>
            </w:r>
          </w:p>
        </w:tc>
        <w:tc>
          <w:tcPr>
            <w:tcW w:w="1440" w:type="dxa"/>
            <w:vAlign w:val="center"/>
          </w:tcPr>
          <w:p>
            <w:pPr>
              <w:jc w:val="left"/>
              <w:rPr>
                <w:noProof/>
                <w:sz w:val="18"/>
              </w:rPr>
            </w:pPr>
            <w:r>
              <w:rPr>
                <w:noProof/>
                <w:sz w:val="18"/>
              </w:rPr>
              <w:t>Środki na zobowiązania</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Środki na płatności</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Dział wieloletnich ram </w:t>
            </w:r>
            <w:r>
              <w:rPr>
                <w:noProof/>
              </w:rPr>
              <w:br/>
            </w:r>
            <w:r>
              <w:rPr>
                <w:b/>
                <w:noProof/>
                <w:sz w:val="22"/>
              </w:rPr>
              <w:t xml:space="preserve">finansowych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„Wydatki administracyjne”</w:t>
            </w:r>
          </w:p>
        </w:tc>
      </w:tr>
    </w:tbl>
    <w:p>
      <w:pPr>
        <w:jc w:val="left"/>
        <w:rPr>
          <w:noProof/>
        </w:rPr>
      </w:pPr>
      <w:r>
        <w:rPr>
          <w:noProof/>
        </w:rPr>
        <w:t xml:space="preserve">Niniejszą część uzupełnia się przy użyciu „danych budżetowych o charakterze administracyjnym”, które należy najpierw wprowadzić do </w:t>
      </w:r>
      <w:hyperlink r:id="rId13" w:history="1">
        <w:r>
          <w:rPr>
            <w:noProof/>
            <w:color w:val="0000FF"/>
            <w:u w:val="single"/>
          </w:rPr>
          <w:t>załącznika do oceny skutków finansowych regulacji</w:t>
        </w:r>
      </w:hyperlink>
      <w:r>
        <w:rPr>
          <w:noProof/>
        </w:rPr>
        <w:t>, przesyłanego do DECIDE w celu konsultacji między służbami.</w:t>
      </w:r>
    </w:p>
    <w:p>
      <w:pPr>
        <w:jc w:val="left"/>
        <w:rPr>
          <w:noProof/>
          <w:color w:val="0000FF"/>
        </w:rPr>
      </w:pPr>
      <w:r>
        <w:rPr>
          <w:noProof/>
        </w:rPr>
        <w:br w:type="page"/>
      </w:r>
    </w:p>
    <w:p>
      <w:pPr>
        <w:jc w:val="left"/>
        <w:rPr>
          <w:noProof/>
        </w:rPr>
      </w:pPr>
    </w:p>
    <w:p>
      <w:pPr>
        <w:jc w:val="right"/>
        <w:rPr>
          <w:noProof/>
          <w:sz w:val="20"/>
        </w:rPr>
      </w:pPr>
      <w:r>
        <w:rPr>
          <w:noProof/>
          <w:sz w:val="20"/>
        </w:rPr>
        <w:t>w mln EUR (do trzech miejsc po przecinku)</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2027 r.</w:t>
            </w:r>
          </w:p>
        </w:tc>
        <w:tc>
          <w:tcPr>
            <w:tcW w:w="1291" w:type="dxa"/>
            <w:vAlign w:val="center"/>
          </w:tcPr>
          <w:p>
            <w:pPr>
              <w:jc w:val="center"/>
              <w:rPr>
                <w:b/>
                <w:noProof/>
                <w:sz w:val="20"/>
              </w:rPr>
            </w:pPr>
            <w:r>
              <w:rPr>
                <w:b/>
                <w:noProof/>
                <w:sz w:val="20"/>
              </w:rPr>
              <w:t>OGÓŁEM</w:t>
            </w:r>
          </w:p>
        </w:tc>
      </w:tr>
      <w:tr>
        <w:trPr>
          <w:trHeight w:val="313"/>
          <w:jc w:val="center"/>
        </w:trPr>
        <w:tc>
          <w:tcPr>
            <w:tcW w:w="6245" w:type="dxa"/>
            <w:gridSpan w:val="2"/>
            <w:vAlign w:val="center"/>
          </w:tcPr>
          <w:p>
            <w:pPr>
              <w:spacing w:before="20" w:after="20"/>
              <w:rPr>
                <w:noProof/>
              </w:rPr>
            </w:pPr>
            <w:r>
              <w:rPr>
                <w:noProof/>
                <w:sz w:val="22"/>
              </w:rPr>
              <w:t xml:space="preserve">Zasoby ludzkie </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87" w:type="dxa"/>
            <w:shd w:val="clear" w:color="auto" w:fill="A6A6A6"/>
          </w:tcPr>
          <w:p>
            <w:pPr>
              <w:spacing w:before="20" w:after="20"/>
              <w:jc w:val="right"/>
              <w:rPr>
                <w:noProof/>
                <w:sz w:val="20"/>
              </w:rPr>
            </w:pPr>
            <w:r>
              <w:rPr>
                <w:noProof/>
                <w:sz w:val="20"/>
              </w:rPr>
              <w:t>2,100 p.a.</w:t>
            </w:r>
          </w:p>
        </w:tc>
        <w:tc>
          <w:tcPr>
            <w:tcW w:w="1291" w:type="dxa"/>
            <w:vAlign w:val="center"/>
          </w:tcPr>
          <w:p>
            <w:pPr>
              <w:spacing w:before="20" w:after="20"/>
              <w:jc w:val="right"/>
              <w:rPr>
                <w:b/>
                <w:noProof/>
                <w:sz w:val="20"/>
              </w:rPr>
            </w:pPr>
            <w:r>
              <w:rPr>
                <w:b/>
                <w:noProof/>
                <w:sz w:val="20"/>
              </w:rPr>
              <w:t>9,300</w:t>
            </w:r>
          </w:p>
        </w:tc>
      </w:tr>
      <w:tr>
        <w:trPr>
          <w:trHeight w:val="351"/>
          <w:jc w:val="center"/>
        </w:trPr>
        <w:tc>
          <w:tcPr>
            <w:tcW w:w="6245" w:type="dxa"/>
            <w:gridSpan w:val="2"/>
            <w:vAlign w:val="center"/>
          </w:tcPr>
          <w:p>
            <w:pPr>
              <w:spacing w:before="20" w:after="20"/>
              <w:rPr>
                <w:noProof/>
              </w:rPr>
            </w:pPr>
            <w:r>
              <w:rPr>
                <w:noProof/>
                <w:sz w:val="22"/>
              </w:rPr>
              <w:t xml:space="preserve">Pozostałe wydatki administracyjne </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87" w:type="dxa"/>
            <w:shd w:val="clear" w:color="auto" w:fill="A6A6A6"/>
          </w:tcPr>
          <w:p>
            <w:pPr>
              <w:spacing w:before="20" w:after="20"/>
              <w:jc w:val="right"/>
              <w:rPr>
                <w:noProof/>
                <w:sz w:val="20"/>
              </w:rPr>
            </w:pPr>
            <w:r>
              <w:rPr>
                <w:noProof/>
                <w:sz w:val="20"/>
              </w:rPr>
              <w:t>0,030 p.a.</w:t>
            </w:r>
          </w:p>
        </w:tc>
        <w:tc>
          <w:tcPr>
            <w:tcW w:w="1291" w:type="dxa"/>
            <w:vAlign w:val="center"/>
          </w:tcPr>
          <w:p>
            <w:pPr>
              <w:spacing w:before="20" w:after="20"/>
              <w:jc w:val="right"/>
              <w:rPr>
                <w:b/>
                <w:noProof/>
                <w:sz w:val="20"/>
              </w:rPr>
            </w:pPr>
            <w:r>
              <w:rPr>
                <w:b/>
                <w:noProof/>
                <w:sz w:val="20"/>
              </w:rPr>
              <w:t>0,210</w:t>
            </w:r>
          </w:p>
        </w:tc>
      </w:tr>
      <w:tr>
        <w:trPr>
          <w:trHeight w:val="351"/>
          <w:jc w:val="center"/>
        </w:trPr>
        <w:tc>
          <w:tcPr>
            <w:tcW w:w="4199" w:type="dxa"/>
            <w:vAlign w:val="center"/>
          </w:tcPr>
          <w:p>
            <w:pPr>
              <w:spacing w:before="20" w:after="20"/>
              <w:jc w:val="left"/>
              <w:rPr>
                <w:b/>
                <w:noProof/>
                <w:sz w:val="22"/>
              </w:rPr>
            </w:pPr>
            <w:r>
              <w:rPr>
                <w:b/>
                <w:noProof/>
                <w:sz w:val="22"/>
              </w:rPr>
              <w:t>OGÓŁEM środki na DZIAŁ 7 wieloletnich ram finansowych</w:t>
            </w:r>
          </w:p>
        </w:tc>
        <w:tc>
          <w:tcPr>
            <w:tcW w:w="2046" w:type="dxa"/>
            <w:vAlign w:val="center"/>
          </w:tcPr>
          <w:p>
            <w:pPr>
              <w:spacing w:before="20" w:after="20"/>
              <w:rPr>
                <w:noProof/>
                <w:sz w:val="22"/>
              </w:rPr>
            </w:pPr>
            <w:r>
              <w:rPr>
                <w:noProof/>
                <w:sz w:val="18"/>
              </w:rPr>
              <w:t>(Środki na zobowiązania ogółem = środki na płatności ogółem)</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9,510</w:t>
            </w:r>
          </w:p>
        </w:tc>
      </w:tr>
    </w:tbl>
    <w:p>
      <w:pPr>
        <w:jc w:val="right"/>
        <w:rPr>
          <w:noProof/>
          <w:sz w:val="20"/>
        </w:rPr>
      </w:pPr>
      <w:r>
        <w:rPr>
          <w:noProof/>
          <w:sz w:val="20"/>
        </w:rPr>
        <w:t>w mln EUR (do trzech miejsc po przecinku)</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po 2027 r.</w:t>
            </w:r>
          </w:p>
        </w:tc>
        <w:tc>
          <w:tcPr>
            <w:tcW w:w="1292" w:type="dxa"/>
            <w:vAlign w:val="center"/>
          </w:tcPr>
          <w:p>
            <w:pPr>
              <w:jc w:val="center"/>
              <w:rPr>
                <w:b/>
                <w:noProof/>
                <w:sz w:val="20"/>
              </w:rPr>
            </w:pPr>
            <w:r>
              <w:rPr>
                <w:b/>
                <w:noProof/>
                <w:sz w:val="20"/>
              </w:rPr>
              <w:t>OGÓŁEM</w:t>
            </w:r>
          </w:p>
        </w:tc>
      </w:tr>
      <w:tr>
        <w:trPr>
          <w:jc w:val="center"/>
        </w:trPr>
        <w:tc>
          <w:tcPr>
            <w:tcW w:w="4173" w:type="dxa"/>
            <w:vMerge w:val="restart"/>
            <w:shd w:val="clear" w:color="auto" w:fill="C0C0C0"/>
            <w:vAlign w:val="center"/>
          </w:tcPr>
          <w:p>
            <w:pPr>
              <w:jc w:val="center"/>
              <w:rPr>
                <w:b/>
                <w:noProof/>
              </w:rPr>
            </w:pPr>
            <w:r>
              <w:rPr>
                <w:b/>
                <w:noProof/>
                <w:sz w:val="22"/>
              </w:rPr>
              <w:t>OGÓŁEM środki</w:t>
            </w:r>
            <w:r>
              <w:rPr>
                <w:noProof/>
              </w:rPr>
              <w:t xml:space="preserve"> </w:t>
            </w:r>
            <w:r>
              <w:rPr>
                <w:noProof/>
              </w:rPr>
              <w:br/>
            </w:r>
            <w:r>
              <w:rPr>
                <w:b/>
                <w:noProof/>
                <w:sz w:val="22"/>
              </w:rPr>
              <w:t xml:space="preserve">ze wszystkich DZIAŁÓW </w:t>
            </w:r>
            <w:r>
              <w:rPr>
                <w:noProof/>
              </w:rPr>
              <w:br/>
            </w:r>
            <w:r>
              <w:rPr>
                <w:noProof/>
                <w:sz w:val="22"/>
              </w:rP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77" w:type="dxa"/>
            <w:shd w:val="clear" w:color="auto" w:fill="A6A6A6"/>
          </w:tcPr>
          <w:p>
            <w:pPr>
              <w:spacing w:before="60" w:after="60"/>
              <w:jc w:val="right"/>
              <w:rPr>
                <w:noProof/>
                <w:sz w:val="20"/>
              </w:rPr>
            </w:pPr>
            <w:r>
              <w:rPr>
                <w:noProof/>
                <w:sz w:val="20"/>
              </w:rPr>
              <w:t>2,130 p.a.</w:t>
            </w:r>
          </w:p>
        </w:tc>
        <w:tc>
          <w:tcPr>
            <w:tcW w:w="1292" w:type="dxa"/>
            <w:vAlign w:val="center"/>
          </w:tcPr>
          <w:p>
            <w:pPr>
              <w:spacing w:before="60" w:after="60"/>
              <w:jc w:val="right"/>
              <w:rPr>
                <w:b/>
                <w:noProof/>
                <w:sz w:val="20"/>
              </w:rPr>
            </w:pPr>
            <w:r>
              <w:rPr>
                <w:b/>
                <w:noProof/>
                <w:sz w:val="20"/>
              </w:rPr>
              <w:t>9,510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noProof/>
          <w:szCs w:val="24"/>
        </w:rPr>
      </w:pPr>
      <w:bookmarkStart w:id="46" w:name="_Toc514941993"/>
      <w:bookmarkStart w:id="47" w:name="_Toc46138698"/>
      <w:r>
        <w:t>3.2.2.</w:t>
      </w:r>
      <w:r>
        <w:tab/>
      </w:r>
      <w:r>
        <w:rPr>
          <w:noProof/>
        </w:rPr>
        <w:t>Podsumowanie szacunkowego wpływu na środki administracyjne</w:t>
      </w:r>
      <w:bookmarkEnd w:id="46"/>
      <w:bookmarkEnd w:id="47"/>
    </w:p>
    <w:p>
      <w:pPr>
        <w:tabs>
          <w:tab w:val="num" w:pos="1134"/>
        </w:tabs>
        <w:ind w:left="1134"/>
        <w:rPr>
          <w:rFonts w:eastAsia="Times New Roman"/>
          <w:noProof/>
        </w:rPr>
      </w:pPr>
      <w:r>
        <w:rPr>
          <w:noProof/>
        </w:rPr>
        <w:sym w:font="Wingdings" w:char="F0A8"/>
      </w:r>
      <w:r>
        <w:rPr>
          <w:noProof/>
        </w:rPr>
        <w:tab/>
        <w:t xml:space="preserve">Wniosek/inicjatywa nie wiąże się z koniecznością wykorzystania środków administracyjnych </w:t>
      </w:r>
    </w:p>
    <w:p>
      <w:pPr>
        <w:tabs>
          <w:tab w:val="num" w:pos="1134"/>
        </w:tabs>
        <w:ind w:left="1134"/>
        <w:rPr>
          <w:rFonts w:eastAsia="Times New Roman"/>
          <w:noProof/>
        </w:rPr>
      </w:pPr>
      <w:r>
        <w:rPr>
          <w:noProof/>
          <w:bdr w:val="single" w:sz="4" w:space="0" w:color="auto"/>
        </w:rPr>
        <w:t>x</w:t>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Rok</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7</w:t>
            </w:r>
            <w:r>
              <w:rPr>
                <w:noProof/>
              </w:rPr>
              <w:t xml:space="preserve"> </w:t>
            </w:r>
            <w:r>
              <w:rPr>
                <w:noProof/>
              </w:rPr>
              <w:br/>
            </w:r>
            <w:r>
              <w:rPr>
                <w:b/>
                <w:noProof/>
                <w:sz w:val="16"/>
              </w:rPr>
              <w:t>wieloletnich ram finansowych</w:t>
            </w: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60" w:after="60" w:line="200" w:lineRule="exact"/>
              <w:jc w:val="right"/>
              <w:rPr>
                <w:b/>
                <w:noProof/>
                <w:sz w:val="20"/>
                <w:szCs w:val="20"/>
              </w:rPr>
            </w:pPr>
            <w:r>
              <w:rPr>
                <w:b/>
                <w:noProof/>
                <w:sz w:val="20"/>
                <w:szCs w:val="20"/>
              </w:rPr>
              <w:t>9,300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60" w:after="60" w:line="200" w:lineRule="exact"/>
              <w:jc w:val="right"/>
              <w:rPr>
                <w:b/>
                <w:noProof/>
                <w:sz w:val="20"/>
                <w:szCs w:val="20"/>
              </w:rPr>
            </w:pPr>
            <w:r>
              <w:rPr>
                <w:b/>
                <w:noProof/>
                <w:sz w:val="20"/>
                <w:szCs w:val="20"/>
              </w:rPr>
              <w:t>0,210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Suma cząstkowa DZIAŁU 7</w:t>
            </w:r>
            <w:r>
              <w:rPr>
                <w:noProof/>
              </w:rPr>
              <w:t xml:space="preserve"> </w:t>
            </w:r>
            <w:r>
              <w:rPr>
                <w:noProof/>
              </w:rPr>
              <w:br/>
            </w:r>
            <w:r>
              <w:rPr>
                <w:b/>
                <w:noProof/>
                <w:sz w:val="16"/>
              </w:rPr>
              <w:t xml:space="preserve">wieloletnich ram finansowych </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line="200" w:lineRule="exact"/>
              <w:jc w:val="right"/>
              <w:rPr>
                <w:b/>
                <w:noProof/>
                <w:sz w:val="20"/>
                <w:szCs w:val="20"/>
              </w:rPr>
            </w:pPr>
            <w:r>
              <w:rPr>
                <w:b/>
                <w:noProof/>
                <w:sz w:val="20"/>
                <w:szCs w:val="20"/>
              </w:rPr>
              <w:t>9,510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 7</w:t>
            </w:r>
            <w:r>
              <w:rPr>
                <w:rStyle w:val="FootnoteReference"/>
                <w:noProof/>
              </w:rPr>
              <w:footnoteReference w:id="41"/>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 xml:space="preserve">Pozostałe wydatki </w:t>
            </w:r>
            <w:r>
              <w:rPr>
                <w:noProof/>
              </w:rPr>
              <w:br/>
              <w:t>o charakterze administracyjnym</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Suma cząstkowa </w:t>
            </w:r>
            <w:r>
              <w:rPr>
                <w:noProof/>
              </w:rPr>
              <w:br/>
            </w:r>
            <w:r>
              <w:rPr>
                <w:b/>
                <w:noProof/>
                <w:sz w:val="16"/>
              </w:rPr>
              <w:t>poza DZIAŁEM 7</w:t>
            </w:r>
            <w:r>
              <w:rPr>
                <w:noProof/>
              </w:rPr>
              <w:t xml:space="preserve"> </w:t>
            </w:r>
            <w:r>
              <w:rPr>
                <w:noProof/>
              </w:rPr>
              <w:br/>
            </w:r>
            <w:r>
              <w:rPr>
                <w:b/>
                <w:noProof/>
                <w:sz w:val="16"/>
              </w:rPr>
              <w:t xml:space="preserve">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szCs w:val="16"/>
              </w:rPr>
              <w:t>9,510</w:t>
            </w:r>
          </w:p>
        </w:tc>
      </w:tr>
    </w:tbl>
    <w:p>
      <w:pPr>
        <w:rPr>
          <w:noProof/>
          <w:sz w:val="18"/>
        </w:rPr>
      </w:pPr>
      <w:r>
        <w:rPr>
          <w:noProof/>
          <w:sz w:val="18"/>
        </w:rPr>
        <w:t>Potrzeby w zakresie środków na zasoby ludzkie i inne wydatki o charakterze administracyjnym zostaną pokryte z zasobów dyrekcji generalnej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spacing w:before="0" w:after="200" w:line="276" w:lineRule="auto"/>
        <w:jc w:val="left"/>
        <w:rPr>
          <w:noProof/>
          <w:sz w:val="18"/>
        </w:rPr>
      </w:pPr>
      <w:r>
        <w:rPr>
          <w:noProof/>
        </w:rPr>
        <w:br w:type="page"/>
      </w:r>
    </w:p>
    <w:p>
      <w:pPr>
        <w:pStyle w:val="ManualHeading4"/>
        <w:rPr>
          <w:noProof/>
          <w:szCs w:val="24"/>
        </w:rPr>
      </w:pPr>
      <w:r>
        <w:t>3.2.2.1.</w:t>
      </w:r>
      <w:r>
        <w:tab/>
      </w:r>
      <w:r>
        <w:rPr>
          <w:noProof/>
        </w:rPr>
        <w:t>Szacowane zapotrzebowanie na zasoby ludzkie</w:t>
      </w:r>
    </w:p>
    <w:p>
      <w:pPr>
        <w:tabs>
          <w:tab w:val="num" w:pos="1134"/>
        </w:tabs>
        <w:ind w:left="1134"/>
        <w:rPr>
          <w:rFonts w:eastAsia="Times New Roman"/>
          <w:noProof/>
        </w:rPr>
      </w:pPr>
      <w:r>
        <w:rPr>
          <w:noProof/>
        </w:rPr>
        <w:sym w:font="Wingdings" w:char="F0A8"/>
      </w:r>
      <w:r>
        <w:rPr>
          <w:noProof/>
        </w:rPr>
        <w:tab/>
        <w:t xml:space="preserve">Wniosek/inicjatywa nie wiąże się z koniecznością wykorzystania zasobów ludzkich. </w:t>
      </w:r>
    </w:p>
    <w:p>
      <w:pPr>
        <w:tabs>
          <w:tab w:val="num" w:pos="1134"/>
        </w:tabs>
        <w:ind w:left="1134"/>
        <w:rPr>
          <w:rFonts w:eastAsia="Times New Roman"/>
          <w:noProof/>
        </w:rPr>
      </w:pPr>
      <w:r>
        <w:rPr>
          <w:noProof/>
          <w:bdr w:val="single" w:sz="4" w:space="0" w:color="auto"/>
        </w:rPr>
        <w:t>x</w:t>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Rok</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t>Stanowiska przewidziane w planie zatrudnienia (stanowiska urzędników i pracowników zatrudnionych na czas określony)</w:t>
            </w:r>
          </w:p>
        </w:tc>
      </w:tr>
      <w:tr>
        <w:trPr>
          <w:trHeight w:val="289"/>
        </w:trPr>
        <w:tc>
          <w:tcPr>
            <w:tcW w:w="1472" w:type="pct"/>
            <w:gridSpan w:val="2"/>
          </w:tcPr>
          <w:p>
            <w:pPr>
              <w:spacing w:beforeLines="20" w:before="48" w:afterLines="20" w:after="48"/>
              <w:ind w:left="134"/>
              <w:rPr>
                <w:b/>
                <w:noProof/>
                <w:sz w:val="16"/>
                <w:szCs w:val="16"/>
              </w:rPr>
            </w:pPr>
            <w:r>
              <w:rPr>
                <w:noProof/>
                <w:sz w:val="16"/>
              </w:rPr>
              <w:t>w centrali i w biurach przedstawicielstw Komisji</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14</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14</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14</w:t>
            </w:r>
          </w:p>
        </w:tc>
      </w:tr>
      <w:tr>
        <w:trPr>
          <w:trHeight w:val="289"/>
        </w:trPr>
        <w:tc>
          <w:tcPr>
            <w:tcW w:w="1472" w:type="pct"/>
            <w:gridSpan w:val="2"/>
          </w:tcPr>
          <w:p>
            <w:pPr>
              <w:spacing w:beforeLines="20" w:before="48" w:afterLines="20" w:after="48"/>
              <w:ind w:left="134"/>
              <w:rPr>
                <w:noProof/>
                <w:sz w:val="16"/>
                <w:szCs w:val="16"/>
              </w:rPr>
            </w:pPr>
            <w:r>
              <w:rPr>
                <w:noProof/>
                <w:sz w:val="16"/>
              </w:rPr>
              <w:t>w delegaturach</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rPr>
                <w:noProof/>
                <w:sz w:val="16"/>
                <w:szCs w:val="16"/>
              </w:rPr>
            </w:pPr>
            <w:r>
              <w:rPr>
                <w:noProof/>
                <w:sz w:val="16"/>
              </w:rPr>
              <w:t>Badania naukowe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rPr>
                <w:b/>
                <w:noProof/>
                <w:sz w:val="16"/>
                <w:szCs w:val="16"/>
              </w:rPr>
            </w:pPr>
            <w:r>
              <w:rPr>
                <w:b/>
                <w:noProof/>
                <w:sz w:val="16"/>
              </w:rPr>
              <w:t>Personel zewnętrzny (w ekwiwalentach pełnego czasu pracy: EPC) – CA, LA, SNE, INT i JED</w:t>
            </w:r>
            <w:r>
              <w:rPr>
                <w:noProof/>
                <w:sz w:val="16"/>
              </w:rPr>
              <w:t xml:space="preserve"> </w:t>
            </w:r>
            <w:r>
              <w:rPr>
                <w:rStyle w:val="FootnoteReference"/>
                <w:noProof/>
              </w:rPr>
              <w:footnoteReference w:id="42"/>
            </w:r>
          </w:p>
          <w:p>
            <w:pPr>
              <w:rPr>
                <w:noProof/>
                <w:sz w:val="16"/>
                <w:szCs w:val="16"/>
              </w:rPr>
            </w:pPr>
            <w:r>
              <w:rPr>
                <w:noProof/>
                <w:sz w:val="16"/>
                <w:szCs w:val="16"/>
              </w:rPr>
              <w:t>Dział 7</w:t>
            </w:r>
          </w:p>
        </w:tc>
      </w:tr>
      <w:tr>
        <w:trPr>
          <w:trHeight w:val="485"/>
        </w:trPr>
        <w:tc>
          <w:tcPr>
            <w:tcW w:w="735" w:type="pct"/>
            <w:vMerge w:val="restart"/>
            <w:vAlign w:val="center"/>
          </w:tcPr>
          <w:p>
            <w:pPr>
              <w:spacing w:beforeLines="20" w:before="48" w:afterLines="20" w:after="48"/>
              <w:ind w:left="136"/>
              <w:rPr>
                <w:b/>
                <w:noProof/>
                <w:sz w:val="16"/>
                <w:szCs w:val="16"/>
              </w:rPr>
            </w:pPr>
            <w:r>
              <w:rPr>
                <w:noProof/>
                <w:sz w:val="16"/>
                <w:szCs w:val="16"/>
              </w:rPr>
              <w:t>Finansowanie z DZIAŁU 7 wieloletnich ram finansowych</w:t>
            </w:r>
            <w:r>
              <w:rPr>
                <w:b/>
                <w:noProof/>
                <w:sz w:val="16"/>
              </w:rPr>
              <w:t xml:space="preserve"> </w:t>
            </w:r>
          </w:p>
        </w:tc>
        <w:tc>
          <w:tcPr>
            <w:tcW w:w="737" w:type="pct"/>
            <w:vAlign w:val="center"/>
          </w:tcPr>
          <w:p>
            <w:pPr>
              <w:spacing w:beforeLines="20" w:before="48" w:afterLines="20" w:after="48"/>
              <w:ind w:left="136"/>
              <w:rPr>
                <w:b/>
                <w:noProof/>
                <w:sz w:val="16"/>
                <w:szCs w:val="16"/>
              </w:rPr>
            </w:pPr>
            <w:r>
              <w:rPr>
                <w:noProof/>
                <w:sz w:val="16"/>
              </w:rPr>
              <w:t>- w siedzibie głównej</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spacing w:beforeLines="20" w:before="48" w:afterLines="20" w:after="48"/>
              <w:ind w:left="136"/>
              <w:rPr>
                <w:noProof/>
                <w:sz w:val="16"/>
                <w:szCs w:val="16"/>
              </w:rPr>
            </w:pPr>
          </w:p>
        </w:tc>
        <w:tc>
          <w:tcPr>
            <w:tcW w:w="737" w:type="pct"/>
            <w:vAlign w:val="center"/>
          </w:tcPr>
          <w:p>
            <w:pPr>
              <w:spacing w:beforeLines="20" w:before="48" w:afterLines="20" w:after="48"/>
              <w:ind w:left="136"/>
              <w:rPr>
                <w:noProof/>
                <w:sz w:val="16"/>
                <w:szCs w:val="16"/>
              </w:rPr>
            </w:pPr>
            <w:r>
              <w:rPr>
                <w:noProof/>
                <w:sz w:val="16"/>
              </w:rPr>
              <w:t xml:space="preserve">- w delegaturach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rPr>
                <w:b/>
                <w:noProof/>
                <w:sz w:val="16"/>
                <w:szCs w:val="16"/>
              </w:rPr>
            </w:pPr>
            <w:r>
              <w:rPr>
                <w:noProof/>
              </w:rPr>
              <w:t>Finansowanie ze środków przydzielonych na program</w:t>
            </w:r>
            <w:r>
              <w:rPr>
                <w:rStyle w:val="FootnoteReference"/>
                <w:noProof/>
              </w:rPr>
              <w:footnoteReference w:id="43"/>
            </w:r>
          </w:p>
        </w:tc>
        <w:tc>
          <w:tcPr>
            <w:tcW w:w="737" w:type="pct"/>
            <w:shd w:val="clear" w:color="auto" w:fill="auto"/>
            <w:vAlign w:val="center"/>
          </w:tcPr>
          <w:p>
            <w:pPr>
              <w:spacing w:beforeLines="20" w:before="48" w:afterLines="20" w:after="48"/>
              <w:ind w:left="136"/>
              <w:rPr>
                <w:b/>
                <w:noProof/>
                <w:sz w:val="16"/>
                <w:szCs w:val="16"/>
              </w:rPr>
            </w:pPr>
            <w:r>
              <w:rPr>
                <w:noProof/>
                <w:sz w:val="16"/>
              </w:rPr>
              <w:t>- w siedzibie głównej</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rPr>
                <w:b/>
                <w:noProof/>
                <w:sz w:val="16"/>
                <w:szCs w:val="16"/>
              </w:rPr>
            </w:pPr>
          </w:p>
        </w:tc>
        <w:tc>
          <w:tcPr>
            <w:tcW w:w="737" w:type="pct"/>
            <w:shd w:val="clear" w:color="auto" w:fill="auto"/>
            <w:vAlign w:val="center"/>
          </w:tcPr>
          <w:p>
            <w:pPr>
              <w:spacing w:beforeLines="20" w:before="48" w:afterLines="20" w:after="48"/>
              <w:ind w:left="136"/>
              <w:rPr>
                <w:b/>
                <w:noProof/>
                <w:sz w:val="16"/>
                <w:szCs w:val="16"/>
              </w:rPr>
            </w:pPr>
            <w:r>
              <w:rPr>
                <w:noProof/>
                <w:sz w:val="16"/>
              </w:rPr>
              <w:t xml:space="preserve">- w delegaturach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rPr>
                <w:noProof/>
                <w:sz w:val="16"/>
                <w:szCs w:val="16"/>
              </w:rPr>
            </w:pPr>
            <w:r>
              <w:rPr>
                <w:noProof/>
                <w:sz w:val="16"/>
                <w:szCs w:val="16"/>
              </w:rPr>
              <w:t>Badania naukowe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rPr>
                <w:noProof/>
                <w:sz w:val="16"/>
                <w:szCs w:val="16"/>
              </w:rPr>
            </w:pPr>
            <w:r>
              <w:rPr>
                <w:noProof/>
                <w:sz w:val="16"/>
              </w:rPr>
              <w:t>Inne (określić)</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rPr>
                <w:noProof/>
                <w:sz w:val="16"/>
                <w:szCs w:val="16"/>
              </w:rPr>
            </w:pPr>
            <w:r>
              <w:rPr>
                <w:b/>
                <w:noProof/>
                <w:sz w:val="16"/>
              </w:rPr>
              <w:t>OGÓŁEM</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r>
    </w:tbl>
    <w:p>
      <w:pPr>
        <w:ind w:left="850"/>
        <w:rPr>
          <w:noProof/>
          <w:sz w:val="18"/>
          <w:szCs w:val="18"/>
        </w:rPr>
      </w:pPr>
      <w:r>
        <w:rPr>
          <w:noProof/>
          <w:sz w:val="18"/>
        </w:rPr>
        <w:t>Potrzeby w zakresie zasobów ludzkich zostaną pokryte z zasobów dyrekcji generalnej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Urzędnicy i pracownicy zatrudnieni na czas określony</w:t>
            </w:r>
          </w:p>
        </w:tc>
        <w:tc>
          <w:tcPr>
            <w:tcW w:w="7392" w:type="dxa"/>
          </w:tcPr>
          <w:p>
            <w:pPr>
              <w:spacing w:after="0"/>
              <w:rPr>
                <w:noProof/>
                <w:sz w:val="20"/>
              </w:rPr>
            </w:pPr>
            <w:r>
              <w:rPr>
                <w:noProof/>
                <w:sz w:val="20"/>
              </w:rPr>
              <w:t>- zatwierdzanie danych</w:t>
            </w:r>
          </w:p>
          <w:p>
            <w:pPr>
              <w:spacing w:after="0"/>
              <w:rPr>
                <w:noProof/>
                <w:sz w:val="20"/>
              </w:rPr>
            </w:pPr>
            <w:r>
              <w:rPr>
                <w:noProof/>
                <w:sz w:val="20"/>
              </w:rPr>
              <w:t>- wsparcie i praca metodologiczna</w:t>
            </w:r>
          </w:p>
          <w:p>
            <w:pPr>
              <w:spacing w:after="0"/>
              <w:rPr>
                <w:noProof/>
                <w:sz w:val="20"/>
              </w:rPr>
            </w:pPr>
            <w:r>
              <w:rPr>
                <w:noProof/>
                <w:sz w:val="20"/>
              </w:rPr>
              <w:t>- analiza sprawozdań</w:t>
            </w:r>
          </w:p>
          <w:p>
            <w:pPr>
              <w:spacing w:after="0"/>
              <w:rPr>
                <w:noProof/>
                <w:sz w:val="20"/>
              </w:rPr>
            </w:pPr>
            <w:r>
              <w:rPr>
                <w:noProof/>
                <w:sz w:val="20"/>
              </w:rPr>
              <w:t>- rozpowszechnianie danych</w:t>
            </w:r>
          </w:p>
          <w:p>
            <w:pPr>
              <w:spacing w:after="0"/>
              <w:rPr>
                <w:noProof/>
                <w:sz w:val="20"/>
              </w:rPr>
            </w:pPr>
            <w:r>
              <w:rPr>
                <w:noProof/>
                <w:sz w:val="20"/>
              </w:rPr>
              <w:t>- zarządzanie dotacjami związanymi z inicjatywą</w:t>
            </w:r>
          </w:p>
        </w:tc>
      </w:tr>
      <w:tr>
        <w:tc>
          <w:tcPr>
            <w:tcW w:w="3240" w:type="dxa"/>
          </w:tcPr>
          <w:p>
            <w:pPr>
              <w:spacing w:before="60" w:after="60"/>
              <w:rPr>
                <w:noProof/>
                <w:sz w:val="20"/>
              </w:rPr>
            </w:pPr>
            <w:r>
              <w:rPr>
                <w:noProof/>
                <w:sz w:val="20"/>
              </w:rPr>
              <w:t>Personel zewnętrzny</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noProof/>
          <w:szCs w:val="24"/>
        </w:rPr>
      </w:pPr>
      <w:bookmarkStart w:id="48" w:name="_Toc514941994"/>
      <w:bookmarkStart w:id="49" w:name="_Toc46138699"/>
      <w:r>
        <w:t>3.2.3.</w:t>
      </w:r>
      <w:r>
        <w:tab/>
      </w:r>
      <w:r>
        <w:rPr>
          <w:noProof/>
        </w:rPr>
        <w:t>Udział osób trzecich w finansowaniu</w:t>
      </w:r>
      <w:bookmarkEnd w:id="48"/>
      <w:bookmarkEnd w:id="49"/>
      <w:r>
        <w:rPr>
          <w:noProof/>
        </w:rPr>
        <w:t xml:space="preserve"> </w:t>
      </w:r>
    </w:p>
    <w:p>
      <w:pPr>
        <w:spacing w:before="0" w:after="240"/>
        <w:ind w:left="1202"/>
        <w:rPr>
          <w:noProof/>
          <w:szCs w:val="20"/>
        </w:rPr>
      </w:pPr>
      <w:r>
        <w:rPr>
          <w:noProof/>
        </w:rPr>
        <w:t>Wniosek/inicjatywa:</w:t>
      </w:r>
    </w:p>
    <w:p>
      <w:pPr>
        <w:spacing w:before="0" w:after="240"/>
        <w:ind w:left="1202"/>
        <w:rPr>
          <w:rFonts w:eastAsia="Times New Roman"/>
          <w:noProof/>
          <w:szCs w:val="20"/>
        </w:rPr>
      </w:pPr>
      <w:r>
        <w:rPr>
          <w:noProof/>
          <w:szCs w:val="20"/>
          <w:bdr w:val="single" w:sz="4" w:space="0" w:color="auto"/>
        </w:rPr>
        <w:t>x</w:t>
      </w:r>
      <w:r>
        <w:rPr>
          <w:noProof/>
        </w:rPr>
        <w:tab/>
        <w:t>nie przewiduje współfinansowania ze strony osób trzecich</w:t>
      </w:r>
    </w:p>
    <w:p>
      <w:pPr>
        <w:spacing w:before="0" w:after="240"/>
        <w:ind w:left="1202"/>
        <w:rPr>
          <w:rFonts w:eastAsia="Times New Roman"/>
          <w:noProof/>
          <w:szCs w:val="20"/>
        </w:rPr>
      </w:pPr>
      <w:r>
        <w:rPr>
          <w:noProof/>
        </w:rPr>
        <w:sym w:font="Wingdings" w:char="F0A8"/>
      </w:r>
      <w:r>
        <w:rPr>
          <w:noProof/>
        </w:rPr>
        <w:tab/>
        <w:t>przewiduje współfinansowanie ze strony osób trzecich szacowane zgodnie z poniższymi szacunkami:</w:t>
      </w:r>
    </w:p>
    <w:p>
      <w:pPr>
        <w:spacing w:before="0" w:after="240"/>
        <w:ind w:left="1202"/>
        <w:rPr>
          <w:noProof/>
          <w:szCs w:val="20"/>
        </w:rPr>
      </w:pPr>
      <w:r>
        <w:rPr>
          <w:noProof/>
        </w:rPr>
        <w:t>Środki w mln EUR (do trzech miejsc po przecinku)</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Rok</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OGÓŁEM</w:t>
            </w:r>
          </w:p>
        </w:tc>
      </w:tr>
      <w:tr>
        <w:trPr>
          <w:cantSplit/>
          <w:jc w:val="center"/>
        </w:trPr>
        <w:tc>
          <w:tcPr>
            <w:tcW w:w="2340" w:type="dxa"/>
          </w:tcPr>
          <w:p>
            <w:pPr>
              <w:rPr>
                <w:noProof/>
              </w:rPr>
            </w:pPr>
            <w:r>
              <w:rPr>
                <w:noProof/>
                <w:sz w:val="20"/>
              </w:rPr>
              <w:t>Określić organ współfinansujący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szCs w:val="24"/>
        </w:rPr>
      </w:pPr>
      <w:bookmarkStart w:id="50" w:name="_Toc514941995"/>
      <w:bookmarkStart w:id="51" w:name="_Toc46138700"/>
      <w:r>
        <w:t>3.3.</w:t>
      </w:r>
      <w:r>
        <w:tab/>
      </w:r>
      <w:r>
        <w:rPr>
          <w:noProof/>
        </w:rPr>
        <w:t>Szacunkowy wpływ na dochody</w:t>
      </w:r>
      <w:bookmarkEnd w:id="50"/>
      <w:bookmarkEnd w:id="51"/>
      <w:r>
        <w:rPr>
          <w:noProof/>
        </w:rPr>
        <w:t xml:space="preserve"> </w:t>
      </w:r>
    </w:p>
    <w:p>
      <w:pPr>
        <w:tabs>
          <w:tab w:val="num" w:pos="1134"/>
        </w:tabs>
        <w:ind w:left="1134"/>
        <w:rPr>
          <w:rFonts w:eastAsia="Times New Roman"/>
          <w:noProof/>
        </w:rPr>
      </w:pPr>
      <w:r>
        <w:rPr>
          <w:noProof/>
          <w:bdr w:val="single" w:sz="4" w:space="0" w:color="auto"/>
        </w:rPr>
        <w:t>x</w:t>
      </w:r>
      <w:r>
        <w:rPr>
          <w:noProof/>
        </w:rPr>
        <w:tab/>
        <w:t>Wniosek/inicjatywa nie ma wpływu finansowego na dochody.</w:t>
      </w:r>
    </w:p>
    <w:p>
      <w:pPr>
        <w:tabs>
          <w:tab w:val="num" w:pos="1134"/>
        </w:tabs>
        <w:ind w:left="1134"/>
        <w:rPr>
          <w:rFonts w:eastAsia="Times New Roman"/>
          <w:noProof/>
        </w:rPr>
      </w:pPr>
      <w:r>
        <w:rPr>
          <w:noProof/>
        </w:rPr>
        <w:sym w:font="Wingdings" w:char="F0A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A8"/>
      </w:r>
      <w:r>
        <w:rPr>
          <w:noProof/>
        </w:rPr>
        <w:tab/>
        <w:t xml:space="preserve">wpływ na dochody różne </w:t>
      </w:r>
    </w:p>
    <w:p>
      <w:pPr>
        <w:rPr>
          <w:noProof/>
        </w:rPr>
      </w:pPr>
      <w:r>
        <w:rPr>
          <w:noProof/>
        </w:rPr>
        <w:t>Wskazać, czy dochody są przypisane do linii budżetowej po stronie wydatków</w:t>
      </w:r>
      <w:r>
        <w:rPr>
          <w:noProof/>
        </w:rPr>
        <w:sym w:font="Wingdings" w:char="F0A8"/>
      </w:r>
      <w:r>
        <w:rPr>
          <w:noProof/>
        </w:rPr>
        <w:tab/>
      </w:r>
    </w:p>
    <w:p>
      <w:pPr>
        <w:jc w:val="right"/>
        <w:rPr>
          <w:i/>
          <w:noProof/>
          <w:sz w:val="20"/>
        </w:rPr>
      </w:pPr>
      <w:r>
        <w:rPr>
          <w:noProof/>
        </w:rPr>
        <w:t>w mln EUR (do trzech miejsc po przecinku)</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Linia budżetowa po stronie dochodów</w:t>
            </w:r>
          </w:p>
        </w:tc>
        <w:tc>
          <w:tcPr>
            <w:tcW w:w="7200" w:type="dxa"/>
            <w:gridSpan w:val="7"/>
            <w:vAlign w:val="center"/>
          </w:tcPr>
          <w:p>
            <w:pPr>
              <w:jc w:val="center"/>
              <w:rPr>
                <w:noProof/>
                <w:sz w:val="18"/>
              </w:rPr>
            </w:pPr>
            <w:r>
              <w:rPr>
                <w:noProof/>
              </w:rPr>
              <w:t>Wpływ wniosku/inicjatywy</w:t>
            </w:r>
            <w:r>
              <w:rPr>
                <w:rStyle w:val="FootnoteReference"/>
                <w:noProof/>
              </w:rPr>
              <w:footnoteReference w:id="44"/>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Artykuł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W przypadku wpływu na dochody przeznaczone na określony cel należy wskazać linie budżetowe po stronie wydatków, które ten wpływ obejmie.</w:t>
      </w:r>
    </w:p>
    <w:p>
      <w:pPr>
        <w:pBdr>
          <w:top w:val="single" w:sz="4" w:space="1" w:color="auto"/>
          <w:left w:val="single" w:sz="4" w:space="4" w:color="auto"/>
          <w:bottom w:val="single" w:sz="4" w:space="1" w:color="auto"/>
          <w:right w:val="single" w:sz="4" w:space="4" w:color="auto"/>
        </w:pBdr>
        <w:ind w:left="850"/>
        <w:rPr>
          <w:noProof/>
        </w:rPr>
      </w:pPr>
      <w:r>
        <w:rPr>
          <w:noProof/>
        </w:rPr>
        <w:t>Nie dotyczy</w:t>
      </w:r>
    </w:p>
    <w:p>
      <w:pPr>
        <w:ind w:left="850"/>
        <w:rPr>
          <w:noProof/>
          <w:sz w:val="16"/>
          <w:szCs w:val="16"/>
        </w:rPr>
      </w:pPr>
      <w:r>
        <w:rPr>
          <w:noProof/>
          <w:sz w:val="20"/>
        </w:rPr>
        <w:t>Pozostałe uwagi (np. metoda/wzór użyte do obliczenia wpływu na dochody albo inne informacje).</w:t>
      </w:r>
      <w:r>
        <w:rPr>
          <w:noProof/>
          <w:sz w:val="16"/>
          <w:szCs w:val="16"/>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Nie dotyczy</w:t>
      </w:r>
    </w:p>
    <w:p>
      <w:pPr>
        <w:ind w:left="850"/>
        <w:rPr>
          <w:noProof/>
        </w:rPr>
      </w:pPr>
    </w:p>
    <w:p>
      <w:pPr>
        <w:rPr>
          <w:noProof/>
        </w:rPr>
      </w:pPr>
    </w:p>
    <w:p>
      <w:pPr>
        <w:tabs>
          <w:tab w:val="left" w:pos="720"/>
        </w:tabs>
        <w:spacing w:before="0" w:after="0"/>
        <w:jc w:val="left"/>
        <w:rPr>
          <w:rFonts w:eastAsia="Calibri"/>
          <w:b/>
          <w:i/>
          <w:iCs/>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SWD(2017) 96 – Dokument roboczy służb Komisji, Ocena skutków towarzysząca strategii dotyczącej statystyki rolnictwa na rok 2020 i na okres późniejszy oraz wynikające z niej potencjalne scenariusze ustawodawcze (dostępny tylko w jęz. angielskim).</w:t>
      </w:r>
    </w:p>
  </w:footnote>
  <w:footnote w:id="2">
    <w:p>
      <w:pPr>
        <w:pStyle w:val="FootnoteText"/>
      </w:pPr>
      <w:r>
        <w:rPr>
          <w:rStyle w:val="FootnoteReference"/>
        </w:rPr>
        <w:footnoteRef/>
      </w:r>
      <w:r>
        <w:tab/>
      </w:r>
      <w:hyperlink r:id="rId1" w:history="1">
        <w:r>
          <w:rPr>
            <w:rStyle w:val="Hyperlink"/>
          </w:rPr>
          <w:t>https://ec.europa.eu/eurostat/web/agriculture/methodology/strategy-beyond-2020</w:t>
        </w:r>
      </w:hyperlink>
      <w:r>
        <w:t xml:space="preserve"> (dostępny tylko w jęz. angielskim).</w:t>
      </w:r>
    </w:p>
  </w:footnote>
  <w:footnote w:id="3">
    <w:p>
      <w:pPr>
        <w:pStyle w:val="FootnoteText"/>
      </w:pPr>
      <w:r>
        <w:rPr>
          <w:rStyle w:val="FootnoteReference"/>
        </w:rPr>
        <w:footnoteRef/>
      </w:r>
      <w:r>
        <w:tab/>
        <w:t>Rozporządzenie Parlamentu Europejskiego i Rady (UE) 2018/1091 z dnia 18 lipca 2018 r. w sprawie zintegrowanych statystyk dotyczących gospodarstw rolnych oraz uchylenia rozporządzeń (WE) nr 1166/2008 i (UE) nr 1337/2011 (Dz.U. L 200 z 7.8.2018, s. 1).</w:t>
      </w:r>
    </w:p>
  </w:footnote>
  <w:footnote w:id="4">
    <w:p>
      <w:pPr>
        <w:pStyle w:val="FootnoteText"/>
      </w:pPr>
      <w:r>
        <w:rPr>
          <w:rStyle w:val="FootnoteReference"/>
        </w:rPr>
        <w:footnoteRef/>
      </w:r>
      <w:r>
        <w:tab/>
        <w:t>Rozporządzenie (WE) nr 138/2004 Parlamentu Europejskiego i Rady z dnia 5 grudnia 2003 r. dotyczące rachunków gospodarczych dla rolnictwa we Wspólnocie (Dz.U. L 33 z 5.2.2004, s. 1).</w:t>
      </w:r>
    </w:p>
  </w:footnote>
  <w:footnote w:id="5">
    <w:p>
      <w:pPr>
        <w:pStyle w:val="FootnoteText"/>
      </w:pPr>
      <w:r>
        <w:rPr>
          <w:rStyle w:val="FootnoteReference"/>
        </w:rPr>
        <w:footnoteRef/>
      </w:r>
      <w:r>
        <w:tab/>
        <w:t xml:space="preserve">Rozporządzenie Parlamentu Europejskiego i Rady (UE) nr 99/2013 z dnia 15 stycznia 2013 r. w sprawie Europejskiego programu statystycznego 2013–2017 (Dz.U. L 39 z 9.2.2013, s. 12). </w:t>
      </w:r>
    </w:p>
  </w:footnote>
  <w:footnote w:id="6">
    <w:p>
      <w:pPr>
        <w:pStyle w:val="FootnoteText"/>
      </w:pPr>
      <w:r>
        <w:rPr>
          <w:rStyle w:val="FootnoteReference"/>
        </w:rPr>
        <w:footnoteRef/>
      </w:r>
      <w:r>
        <w:tab/>
        <w:t xml:space="preserve">Rozporządzenie Parlamentu Europejskiego i Rady (UE) 2017/1951 z dnia 25 października 2017 r. zmieniające rozporządzenie (UE) nr 99/2013 w sprawie Europejskiego programu statystycznego 2013–2017 poprzez przedłużenie programu do roku 2020 (Dz.U. L 284 z 31.10.2017, s. 1) </w:t>
      </w:r>
    </w:p>
  </w:footnote>
  <w:footnote w:id="7">
    <w:p>
      <w:pPr>
        <w:pStyle w:val="FootnoteText"/>
      </w:pPr>
      <w:r>
        <w:rPr>
          <w:rStyle w:val="FootnoteReference"/>
        </w:rPr>
        <w:footnoteRef/>
      </w:r>
      <w:r>
        <w:tab/>
        <w:t xml:space="preserve">COM(2018) 441. </w:t>
      </w:r>
    </w:p>
  </w:footnote>
  <w:footnote w:id="8">
    <w:p>
      <w:pPr>
        <w:pStyle w:val="FootnoteText"/>
      </w:pPr>
      <w:r>
        <w:rPr>
          <w:rStyle w:val="FootnoteReference"/>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 (Dz.U. L 87 z 31.3.2009, s. 164).</w:t>
      </w:r>
    </w:p>
  </w:footnote>
  <w:footnote w:id="9">
    <w:p>
      <w:pPr>
        <w:pStyle w:val="FootnoteText"/>
        <w:jc w:val="left"/>
      </w:pPr>
      <w:r>
        <w:rPr>
          <w:rStyle w:val="FootnoteReference"/>
        </w:rPr>
        <w:footnoteRef/>
      </w:r>
      <w:r>
        <w:tab/>
        <w:t xml:space="preserve">Strona internetowa konsultacji publicznych Eurostatu: </w:t>
      </w:r>
      <w:hyperlink r:id="rId2" w:history="1">
        <w:r>
          <w:rPr>
            <w:color w:val="0000FF"/>
            <w:u w:val="single"/>
          </w:rPr>
          <w:t>http://ec.europa.eu/eurostat/about/opportunities/consultations/eass</w:t>
        </w:r>
      </w:hyperlink>
      <w:r>
        <w:rPr>
          <w:u w:val="single"/>
        </w:rPr>
        <w:t xml:space="preserve"> </w:t>
      </w:r>
      <w:r>
        <w:t xml:space="preserve"> </w:t>
      </w:r>
    </w:p>
    <w:p>
      <w:pPr>
        <w:pStyle w:val="FootnoteText"/>
      </w:pPr>
      <w:r>
        <w:tab/>
        <w:t>Sprawozdanie z otwartych konsultacji publicznych:</w:t>
      </w:r>
    </w:p>
    <w:p>
      <w:pPr>
        <w:pStyle w:val="FootnoteText"/>
      </w:pPr>
      <w:r>
        <w:tab/>
      </w:r>
      <w:hyperlink r:id="rId3" w:history="1">
        <w:r>
          <w:rPr>
            <w:rStyle w:val="Hyperlink"/>
          </w:rPr>
          <w:t>http://ec.europa.eu/eurostat/documents/10186/6937766/Agricultural-Statistics-Strategy-2020-Report.docx</w:t>
        </w:r>
      </w:hyperlink>
      <w:r>
        <w:t xml:space="preserve"> (dostępne tylko w jęz. angielskim).</w:t>
      </w:r>
    </w:p>
  </w:footnote>
  <w:footnote w:id="10">
    <w:p>
      <w:pPr>
        <w:pStyle w:val="FootnoteText"/>
      </w:pPr>
      <w:r>
        <w:rPr>
          <w:rStyle w:val="FootnoteReference"/>
        </w:rPr>
        <w:footnoteRef/>
      </w:r>
      <w:r>
        <w:tab/>
      </w:r>
      <w:hyperlink r:id="rId4" w:history="1">
        <w:r>
          <w:t>SWD (2016)430</w:t>
        </w:r>
      </w:hyperlink>
      <w:r>
        <w:t xml:space="preserve">. </w:t>
      </w:r>
    </w:p>
  </w:footnote>
  <w:footnote w:id="11">
    <w:p>
      <w:pPr>
        <w:pStyle w:val="FootnoteText"/>
      </w:pPr>
      <w:r>
        <w:rPr>
          <w:rStyle w:val="FootnoteReference"/>
        </w:rPr>
        <w:footnoteRef/>
      </w:r>
      <w:r>
        <w:tab/>
      </w:r>
      <w:hyperlink r:id="rId5" w:history="1">
        <w:r>
          <w:rPr>
            <w:rStyle w:val="Hyperlink"/>
          </w:rPr>
          <w:t>Ocena skutków</w:t>
        </w:r>
      </w:hyperlink>
      <w:r>
        <w:t xml:space="preserve">, </w:t>
      </w:r>
      <w:hyperlink r:id="rId6" w:history="1">
        <w:r>
          <w:rPr>
            <w:rStyle w:val="Hyperlink"/>
          </w:rPr>
          <w:t>Streszczenie oceny skutków</w:t>
        </w:r>
      </w:hyperlink>
      <w:r>
        <w:t xml:space="preserve">, </w:t>
      </w:r>
      <w:hyperlink r:id="rId7" w:history="1">
        <w:r>
          <w:rPr>
            <w:rStyle w:val="Hyperlink"/>
          </w:rPr>
          <w:t>Opinia Rady ds. Kontroli Regulacyjnej</w:t>
        </w:r>
      </w:hyperlink>
      <w:r>
        <w:rPr>
          <w:rStyle w:val="Hyperlink"/>
        </w:rPr>
        <w:t xml:space="preserve"> (tylko w jęz. angielskim).</w:t>
      </w:r>
      <w:r>
        <w:t xml:space="preserve"> </w:t>
      </w:r>
    </w:p>
  </w:footnote>
  <w:footnote w:id="12">
    <w:p>
      <w:pPr>
        <w:pStyle w:val="FootnoteText"/>
      </w:pPr>
      <w:r>
        <w:rPr>
          <w:rStyle w:val="FootnoteReference"/>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 (Dz.U. L 87 z 31.3.2009, s. 164).</w:t>
      </w:r>
    </w:p>
  </w:footnote>
  <w:footnote w:id="13">
    <w:p>
      <w:pPr>
        <w:pStyle w:val="FootnoteText"/>
      </w:pPr>
      <w:r>
        <w:rPr>
          <w:rStyle w:val="FootnoteReference"/>
        </w:rPr>
        <w:footnoteRef/>
      </w:r>
      <w:r>
        <w:tab/>
      </w:r>
      <w:hyperlink r:id="rId8" w:history="1">
        <w:r>
          <w:rPr>
            <w:rStyle w:val="Hyperlink"/>
          </w:rPr>
          <w:t>https://ec.europa.eu/eurostat/web/agriculture/methodology/strategy-beyond-2020</w:t>
        </w:r>
      </w:hyperlink>
      <w:r>
        <w:t xml:space="preserve"> </w:t>
      </w:r>
    </w:p>
  </w:footnote>
  <w:footnote w:id="14">
    <w:p>
      <w:pPr>
        <w:pStyle w:val="FootnoteText"/>
      </w:pPr>
      <w:r>
        <w:rPr>
          <w:rStyle w:val="FootnoteReference"/>
        </w:rPr>
        <w:footnoteRef/>
      </w:r>
      <w:r>
        <w:tab/>
        <w:t>Rozporządzenie Parlamentu Europejskiego i Rady (UE) 2018/1091 z dnia 18 lipca 2018 r. w sprawie zintegrowanych statystyk dotyczących gospodarstw rolnych oraz uchylenia rozporządzeń (WE) nr 1166/2008 i (UE) nr 1337/2011 (Dz.U. L 200 z 7.8.2018, s. 1).</w:t>
      </w:r>
    </w:p>
  </w:footnote>
  <w:footnote w:id="15">
    <w:p>
      <w:pPr>
        <w:pStyle w:val="FootnoteText"/>
      </w:pPr>
      <w:r>
        <w:rPr>
          <w:rStyle w:val="FootnoteReference"/>
        </w:rPr>
        <w:footnoteRef/>
      </w:r>
      <w:r>
        <w:tab/>
        <w:t>Rozporządzenie Parlamentu Europejskiego i Rady (WE) nr 1165/2008 z dnia 19 listopada 2008 r. w sprawie statystyk dotyczących zwierząt gospodarskich i mięsa i uchylające dyrektywy Rady 93/23/EWG, 93/24/EWG oraz 93/25/EWG (Dz.U. L 321 z 1.12.2008, s. 1).</w:t>
      </w:r>
    </w:p>
  </w:footnote>
  <w:footnote w:id="16">
    <w:p>
      <w:pPr>
        <w:pStyle w:val="FootnoteText"/>
      </w:pPr>
      <w:r>
        <w:rPr>
          <w:rStyle w:val="FootnoteReference"/>
        </w:rPr>
        <w:footnoteRef/>
      </w:r>
      <w:r>
        <w:tab/>
        <w:t>Rozporządzenie Parlamentu Europejskiego i Rady (WE) nr 543/2009 z dnia 18 czerwca 2009 r. w sprawie statystyk upraw oraz uchylające rozporządzenia Rady (EWG) nr 837/90 oraz (EWG) nr 959/93 (Dz.U. L 167 z 29.6.2009, s. 1).</w:t>
      </w:r>
    </w:p>
  </w:footnote>
  <w:footnote w:id="17">
    <w:p>
      <w:pPr>
        <w:pStyle w:val="FootnoteText"/>
      </w:pPr>
      <w:r>
        <w:rPr>
          <w:rStyle w:val="FootnoteReference"/>
        </w:rPr>
        <w:footnoteRef/>
      </w:r>
      <w:r>
        <w:tab/>
        <w:t>Rozporządzenie Parlamentu Europejskiego i Rady (WE) nr 1185/2009 z dnia 25 listopada 2009 r. w sprawie statystyk dotyczących pestycydów (Dz.U. L 324 z 10.12.2009, s. 1).</w:t>
      </w:r>
    </w:p>
  </w:footnote>
  <w:footnote w:id="18">
    <w:p>
      <w:pPr>
        <w:pStyle w:val="FootnoteText"/>
      </w:pPr>
      <w:r>
        <w:rPr>
          <w:rStyle w:val="FootnoteReference"/>
        </w:rPr>
        <w:footnoteRef/>
      </w:r>
      <w:r>
        <w:tab/>
        <w:t xml:space="preserve">Dyrektywa Rady 96/16/WE z dnia 19 marca 1996 r. w sprawie prowadzenia badań statystycznych dotyczących sektora mleka i przetworów mlecznych (Dz.U. L 78 z 28.3.1996, s. 27). </w:t>
      </w:r>
    </w:p>
  </w:footnote>
  <w:footnote w:id="19">
    <w:p>
      <w:pPr>
        <w:pStyle w:val="FootnoteText"/>
      </w:pPr>
      <w:r>
        <w:rPr>
          <w:rStyle w:val="FootnoteReference"/>
        </w:rPr>
        <w:footnoteRef/>
      </w:r>
      <w:r>
        <w:tab/>
        <w:t>Rozporządzenie Komisji (WE) nr 617/2008 z dnia 27 czerwca 2008 r. ustanawiające szczegółowe zasady wykonania rozporządzenia Rady (WE) nr 1234/2007 w zakresie norm handlowych w odniesieniu do jaj wylęgowych i piskląt drobiu hodowlanego (Dz.U. L 168 z 28.6.2008, s. 5).</w:t>
      </w:r>
    </w:p>
  </w:footnote>
  <w:footnote w:id="20">
    <w:p>
      <w:pPr>
        <w:pStyle w:val="FootnoteText"/>
      </w:pPr>
      <w:r>
        <w:rPr>
          <w:rStyle w:val="FootnoteReference"/>
        </w:rPr>
        <w:footnoteRef/>
      </w:r>
      <w:r>
        <w:tab/>
        <w:t>Rozporządzenie (WE) nr 138/2004 Parlamentu Europejskiego i Rady z dnia 5 grudnia 2003 r. dotyczące rachunków gospodarczych dla rolnictwa we Wspólnocie (Dz.U. L 33 z 5.2.2004, s. 1).</w:t>
      </w:r>
    </w:p>
  </w:footnote>
  <w:footnote w:id="21">
    <w:p>
      <w:pPr>
        <w:pStyle w:val="FootnoteText"/>
      </w:pPr>
      <w:r>
        <w:rPr>
          <w:rStyle w:val="FootnoteReference"/>
        </w:rPr>
        <w:footnoteRef/>
      </w:r>
      <w:r>
        <w:tab/>
        <w:t>Dyrektywa Parlamentu Europejskiego I Rady 2009/128/WE z dnia 21 października 2009 r. ustanawiająca ramy wspólnotowego działania na rzecz zrównoważonego stosowania pestycydów (Dz.U. L 309 z 24.11.2009, s. 71).</w:t>
      </w:r>
    </w:p>
  </w:footnote>
  <w:footnote w:id="22">
    <w:p>
      <w:pPr>
        <w:pStyle w:val="FootnoteText"/>
      </w:pPr>
      <w:r>
        <w:rPr>
          <w:rStyle w:val="FootnoteReference"/>
        </w:rPr>
        <w:footnoteRef/>
      </w:r>
      <w:r>
        <w:tab/>
        <w:t>Rozporządzenie Parlamentu Europejskiego i Rady (WE) nr 1107/2009 z dnia 21 października 2009 r. dotyczące wprowadzania do obrotu środków ochrony roślin i uchylające dyrektywy Rady 79/117/EWG i 91/414/EWG (Dz.U. L 309 z 24.11.2009, s. 1).</w:t>
      </w:r>
    </w:p>
  </w:footnote>
  <w:footnote w:id="23">
    <w:p>
      <w:pPr>
        <w:pStyle w:val="FootnoteText"/>
      </w:pPr>
      <w:r>
        <w:rPr>
          <w:rStyle w:val="FootnoteReference"/>
        </w:rPr>
        <w:footnoteRef/>
      </w:r>
      <w:r>
        <w:tab/>
        <w:t>Rozporządzenie Parlamentu Europejskiego i Rady (UE) 2018/848 z dnia 30 maja 2018 r. w sprawie produkcji ekologicznej i znakowania produktów ekologicznych i uchylające rozporządzenie Rady (WE) nr 834/2007 (Dz.U. L 150 z 14.6.2018, s. 1).</w:t>
      </w:r>
    </w:p>
  </w:footnote>
  <w:footnote w:id="24">
    <w:p>
      <w:pPr>
        <w:pStyle w:val="FootnoteText"/>
      </w:pPr>
      <w:r>
        <w:rPr>
          <w:rStyle w:val="FootnoteReference"/>
        </w:rPr>
        <w:footnoteRef/>
      </w:r>
      <w:r>
        <w:tab/>
        <w:t>Rozporządzenie (WE) nr 1059/2003 Parlamentu Europejskiego i Rady z dnia 26 maja 2003 roku w sprawie ustalenia wspólnej klasyfikacji Jednostek Terytorialnych do Celów Statystycznych (NUTS) (Dz.U. L 154 z 21.6.2003, s. 1).</w:t>
      </w:r>
    </w:p>
  </w:footnote>
  <w:footnote w:id="25">
    <w:p>
      <w:pPr>
        <w:pStyle w:val="FootnoteText"/>
        <w:rPr>
          <w:sz w:val="18"/>
          <w:szCs w:val="18"/>
        </w:rPr>
      </w:pPr>
      <w:r>
        <w:rPr>
          <w:rStyle w:val="FootnoteReference"/>
        </w:rPr>
        <w:footnoteRef/>
      </w:r>
      <w:r>
        <w:tab/>
        <w:t>Dz.U. L 123 z 12.5.2016, s. 1.</w:t>
      </w:r>
    </w:p>
  </w:footnote>
  <w:footnote w:id="26">
    <w:p>
      <w:pPr>
        <w:pStyle w:val="FootnoteText"/>
        <w:rPr>
          <w:sz w:val="18"/>
          <w:szCs w:val="18"/>
        </w:rPr>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27">
    <w:p>
      <w:pPr>
        <w:pStyle w:val="FootnoteText"/>
      </w:pPr>
      <w:r>
        <w:rPr>
          <w:rStyle w:val="FootnoteReference"/>
        </w:rPr>
        <w:footnoteRef/>
      </w:r>
      <w:r>
        <w:tab/>
        <w:t>Dyrektywa Parlamentu Europejskiego i Rady 2003/4/WE z dnia 28 stycznia 2003 r. w sprawie publicznego dostępu do informacji dotyczących środowiska i uchylająca dyrektywę Rady 90/313/EWG (Dz.U. L 41 z 14.2.2003, s. 26).</w:t>
      </w:r>
    </w:p>
  </w:footnote>
  <w:footnote w:id="28">
    <w:p>
      <w:pPr>
        <w:pStyle w:val="FootnoteText"/>
      </w:pPr>
      <w:r>
        <w:rPr>
          <w:rStyle w:val="FootnoteReference"/>
        </w:rPr>
        <w:footnoteRef/>
      </w:r>
      <w:r>
        <w:tab/>
        <w:t>Rozporządzenie (WE) nr 1367/2006 Parlamentu Europejskiego i Rady z dnia 6 września 2006 r. w sprawie zastosowania postanowień Konwencji z Aarhus o dostępie do informacji, udziale społeczeństwa w podejmowaniu decyzji oraz dostępie do sprawiedliwości w sprawach dotyczących środowiska do instytucji i organów Wspólnoty (Dz.U. L 264 z 25.9.2006, s. 13).</w:t>
      </w:r>
    </w:p>
  </w:footnote>
  <w:footnote w:id="29">
    <w:p>
      <w:pPr>
        <w:pStyle w:val="FootnoteText"/>
        <w:spacing w:after="60"/>
      </w:pPr>
      <w:r>
        <w:rPr>
          <w:rStyle w:val="FootnoteReference"/>
        </w:rPr>
        <w:footnoteRef/>
      </w:r>
      <w:r>
        <w:tab/>
        <w:t>Rozporządzenie Parlamentu Europejskiego i Rady (UE) nr 1307/2013 z dnia 17 grudnia 2013 r. ustanawiające przepisy dotyczące płatności bezpośrednich dla rolników na podstawie systemów wsparcia w ramach wspólnej polityki rolnej oraz uchylające rozporządzenie Rady (WE) nr 637/2008 i rozporządzenie Rady (WE) nr 73/2009 (Dz.U. L 347 z 20.12.2013, s. 608).</w:t>
      </w:r>
    </w:p>
  </w:footnote>
  <w:footnote w:id="30">
    <w:p>
      <w:pPr>
        <w:pStyle w:val="FootnoteText"/>
        <w:spacing w:after="60"/>
        <w:ind w:left="709" w:hanging="709"/>
      </w:pPr>
      <w:r>
        <w:rPr>
          <w:rStyle w:val="FootnoteReference"/>
        </w:rPr>
        <w:footnoteRef/>
      </w:r>
      <w:r>
        <w:tab/>
        <w:t>Rozporządzenie (WE) nr 1760/2000 Parlamentu Europejskiego i Rady z dnia 17 lipca 2000 r. ustanawiające system identyfikacji i rejestracji bydła i dotyczące etykietowania wołowiny i produktów z wołowiny oraz uchylające rozporządzenie Rady (WE) nr 820/97 (Dz.U. L 204 z 11.8.2000, s. 1).</w:t>
      </w:r>
    </w:p>
  </w:footnote>
  <w:footnote w:id="31">
    <w:p>
      <w:pPr>
        <w:pStyle w:val="FootnoteText"/>
        <w:spacing w:after="60"/>
        <w:ind w:left="709" w:hanging="709"/>
      </w:pPr>
      <w:r>
        <w:rPr>
          <w:rStyle w:val="FootnoteReference"/>
        </w:rPr>
        <w:footnoteRef/>
      </w:r>
      <w:r>
        <w:tab/>
        <w:t>Rozporządzenie Rady (WE) nr 21/2004 z dnia 17 grudnia 2003 r. ustanawiające system identyfikacji i rejestrowania owiec i kóz oraz zmieniające rozporządzenie (WE) nr 1782/2003 i dyrektywy 92/102/EWG i 64/432/EWG (Dz.U. L 5 z 9.1.2004, s. 8).</w:t>
      </w:r>
    </w:p>
  </w:footnote>
  <w:footnote w:id="32">
    <w:p>
      <w:pPr>
        <w:pStyle w:val="FootnoteText"/>
        <w:spacing w:after="60"/>
        <w:ind w:left="709" w:hanging="709"/>
      </w:pPr>
      <w:r>
        <w:rPr>
          <w:rStyle w:val="FootnoteReference"/>
        </w:rPr>
        <w:footnoteRef/>
      </w:r>
      <w:r>
        <w:tab/>
        <w:t>Rozporządzenie Parlamentu Europejskiego i Rady (UE) nr 1308/2013 z dnia 17 grudnia 2013 r. ustanawiające wspólną organizację rynków produktów rolnych oraz uchylające rozporządzenia Rady (EWG) nr 922/72, (EWG) nr 234/79, (WE) nr 1037/2001 i (WE) nr 1234/2007 (Dz.U. L 347 z 20.12.2013, s. 671).</w:t>
      </w:r>
    </w:p>
  </w:footnote>
  <w:footnote w:id="33">
    <w:p>
      <w:pPr>
        <w:pStyle w:val="FootnoteText"/>
      </w:pPr>
      <w:r>
        <w:rPr>
          <w:rStyle w:val="FootnoteReference"/>
        </w:rPr>
        <w:footnoteRef/>
      </w:r>
      <w:r>
        <w:tab/>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34">
    <w:p>
      <w:pPr>
        <w:pStyle w:val="FootnoteText"/>
        <w:rPr>
          <w:sz w:val="24"/>
          <w:szCs w:val="24"/>
        </w:rPr>
      </w:pPr>
      <w:r>
        <w:rPr>
          <w:rStyle w:val="FootnoteReference"/>
        </w:rPr>
        <w:footnoteRef/>
      </w:r>
      <w:r>
        <w:tab/>
        <w:t>Rozporządzenie Rady (Euratom, WE) nr 2185/96 z dnia 11 listopada 1996 r. w sprawie kontroli na miejscu oraz inspekcji przeprowadzanych przez Komisję w celu ochrony interesów finansowych Wspólnot Europejskich przed nadużyciami finansowymi i innymi nieprawidłowościami (Dz.U. L 292 z 15.11.1996, s. 2).</w:t>
      </w:r>
    </w:p>
  </w:footnote>
  <w:footnote w:id="35">
    <w:p>
      <w:pPr>
        <w:pStyle w:val="FootnoteText"/>
        <w:rPr>
          <w:szCs w:val="24"/>
        </w:rPr>
      </w:pPr>
      <w:r>
        <w:rPr>
          <w:rStyle w:val="FootnoteReference"/>
        </w:rPr>
        <w:footnoteRef/>
      </w:r>
      <w:r>
        <w:tab/>
        <w:t>O którym mowa w art. 58 ust. 2 lit. a) lub b) rozporządzenia finansowego.</w:t>
      </w:r>
    </w:p>
  </w:footnote>
  <w:footnote w:id="36">
    <w:p>
      <w:pPr>
        <w:pStyle w:val="FootnoteText"/>
        <w:jc w:val="left"/>
        <w:rPr>
          <w:szCs w:val="24"/>
        </w:rPr>
      </w:pPr>
      <w:r>
        <w:rPr>
          <w:rStyle w:val="FootnoteReference"/>
        </w:rPr>
        <w:footnoteRef/>
      </w:r>
      <w:r>
        <w:tab/>
        <w:t xml:space="preserve">Wyjaśnienia dotyczące trybów zarządzania oraz odniesienia do rozporządzenia finansowego znajdują się na następującej stronie: </w:t>
      </w:r>
      <w:hyperlink r:id="rId9" w:history="1">
        <w:r>
          <w:rPr>
            <w:rStyle w:val="Hyperlink"/>
          </w:rPr>
          <w:t>https://myintracomm.ec.europa.eu/budgweb/EN/man/budgmanag/Pages/budgmanag.aspx</w:t>
        </w:r>
      </w:hyperlink>
      <w:r>
        <w:t xml:space="preserve"> </w:t>
      </w:r>
    </w:p>
  </w:footnote>
  <w:footnote w:id="37">
    <w:p>
      <w:pPr>
        <w:pStyle w:val="FootnoteText"/>
        <w:rPr>
          <w:szCs w:val="24"/>
        </w:rPr>
      </w:pPr>
      <w:r>
        <w:rPr>
          <w:rStyle w:val="FootnoteReference"/>
        </w:rPr>
        <w:footnoteRef/>
      </w:r>
      <w:r>
        <w:tab/>
        <w:t>Zróżn. = środki zróżnicowane / Niezróżn. = środki niezróżnicowane.</w:t>
      </w:r>
    </w:p>
  </w:footnote>
  <w:footnote w:id="38">
    <w:p>
      <w:pPr>
        <w:pStyle w:val="FootnoteText"/>
        <w:rPr>
          <w:szCs w:val="24"/>
        </w:rPr>
      </w:pPr>
      <w:r>
        <w:rPr>
          <w:rStyle w:val="FootnoteReference"/>
        </w:rPr>
        <w:footnoteRef/>
      </w:r>
      <w:r>
        <w:tab/>
        <w:t xml:space="preserve">EFTA: Europejskie Stowarzyszenie Wolnego Handlu </w:t>
      </w:r>
    </w:p>
  </w:footnote>
  <w:footnote w:id="39">
    <w:p>
      <w:pPr>
        <w:pStyle w:val="FootnoteText"/>
      </w:pPr>
      <w:r>
        <w:rPr>
          <w:rStyle w:val="FootnoteReference"/>
        </w:rPr>
        <w:footnoteRef/>
      </w:r>
      <w:r>
        <w:tab/>
        <w:t>Kraje kandydujące oraz w stosownych przypadkach potencjalne kraje kandydujące Bałkanów Zachodnich.</w:t>
      </w:r>
    </w:p>
  </w:footnote>
  <w:footnote w:id="40">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41">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42">
    <w:p>
      <w:pPr>
        <w:pStyle w:val="FootnoteText"/>
        <w:rPr>
          <w:szCs w:val="24"/>
        </w:rPr>
      </w:pPr>
      <w:r>
        <w:rPr>
          <w:rStyle w:val="FootnoteReference"/>
        </w:rPr>
        <w:footnoteRef/>
      </w:r>
      <w:r>
        <w:tab/>
        <w:t xml:space="preserve">CA = personel kontraktowy; LA = personel miejscowy; SNE = oddelegowany ekspert krajowy; INT = personel tymczasowy; JPD = młodszy specjalista w delegaturze. </w:t>
      </w:r>
    </w:p>
  </w:footnote>
  <w:footnote w:id="43">
    <w:p>
      <w:pPr>
        <w:pStyle w:val="FootnoteText"/>
        <w:rPr>
          <w:szCs w:val="24"/>
        </w:rPr>
      </w:pPr>
      <w:r>
        <w:rPr>
          <w:rStyle w:val="FootnoteReference"/>
        </w:rPr>
        <w:footnoteRef/>
      </w:r>
      <w:r>
        <w:tab/>
        <w:t>W ramach podpułapu na personel zewnętrzny ze środków operacyjnych (dawne linie „BA”).</w:t>
      </w:r>
    </w:p>
  </w:footnote>
  <w:footnote w:id="44">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20 %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13"/>
    <w:lvlOverride w:ilvl="0">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Formatting/>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6 09:41: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7"/>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A75B2DD-B800-42E4-A8D2-1F9B0A8F4A1D"/>
    <w:docVar w:name="LW_COVERPAGE_TYPE" w:val="1"/>
    <w:docVar w:name="LW_CROSSREFERENCE" w:val="&lt;UNUSED&gt;"/>
    <w:docVar w:name="LW_DocType" w:val="COM"/>
    <w:docVar w:name="LW_EMISSION" w:val="2.2.2021"/>
    <w:docVar w:name="LW_EMISSION_ISODATE" w:val="2021-02-02"/>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20"/>
    <w:docVar w:name="LW_REF.II.NEW.CP_YEAR" w:val="2021"/>
    <w:docVar w:name="LW_REF.INST.NEW" w:val="COM"/>
    <w:docVar w:name="LW_REF.INST.NEW_ADOPTED" w:val="final"/>
    <w:docVar w:name="LW_REF.INST.NEW_TEXT" w:val="(2021)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tystyki dotycz\u261?cej nak\u322?adów i produkcji w rolnictwie oraz uchylaj\u261?ce rozporz\u261?dzenia (WE) nr 1165/2008, (WE) nr 543/2009, (WE) nr 1185/2009 i dyrektyw\u281? Rady 96/16/WE _x000b_"/>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l-P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pl-P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l-P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pl-P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6886">
      <w:bodyDiv w:val="1"/>
      <w:marLeft w:val="0"/>
      <w:marRight w:val="0"/>
      <w:marTop w:val="0"/>
      <w:marBottom w:val="0"/>
      <w:divBdr>
        <w:top w:val="none" w:sz="0" w:space="0" w:color="auto"/>
        <w:left w:val="none" w:sz="0" w:space="0" w:color="auto"/>
        <w:bottom w:val="none" w:sz="0" w:space="0" w:color="auto"/>
        <w:right w:val="none" w:sz="0" w:space="0" w:color="auto"/>
      </w:divBdr>
    </w:div>
    <w:div w:id="12981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web/agriculture/methodology/strategy-beyond-2020" TargetMode="External"/><Relationship Id="rId3" Type="http://schemas.openxmlformats.org/officeDocument/2006/relationships/hyperlink" Target="http://ec.europa.eu/eurostat/documents/10186/6937766/Agricultural-Statistics-Strategy-2020-Report.docx" TargetMode="External"/><Relationship Id="rId7" Type="http://schemas.openxmlformats.org/officeDocument/2006/relationships/hyperlink" Target="https://ec.europa.eu/smart-regulation/impact/ia_carried_out/docs/ia_2016/sec_2016_0519_en.pdf" TargetMode="External"/><Relationship Id="rId2" Type="http://schemas.openxmlformats.org/officeDocument/2006/relationships/hyperlink" Target="http://ec.europa.eu/eurostat/about/opportunities/consultations/eass" TargetMode="External"/><Relationship Id="rId1" Type="http://schemas.openxmlformats.org/officeDocument/2006/relationships/hyperlink" Target="https://ec.europa.eu/eurostat/web/agriculture/methodology/strategy-beyond-2020" TargetMode="External"/><Relationship Id="rId6" Type="http://schemas.openxmlformats.org/officeDocument/2006/relationships/hyperlink" Target="http://ec.europa.eu/transparency/regdoc/index.cfm;jsessionid=3EAB7C00BF4B14D59E2D411F4A3934A7.cfusion14601?fuseaction=list&amp;n=10&amp;adv=0&amp;coteId=10102&amp;year=2016&amp;number=429&amp;version=F&amp;dateFrom=&amp;dateTo=&amp;serviceId=&amp;documentType=&amp;title=&amp;titleLanguage=&amp;titleSearch=EXACT&amp;sortBy=NUMBER&amp;sortOrder=DESC" TargetMode="External"/><Relationship Id="rId5" Type="http://schemas.openxmlformats.org/officeDocument/2006/relationships/hyperlink" Target="http://ec.europa.eu/transparency/regdoc/index.cfm;jsessionid=3EAB7C00BF4B14D59E2D411F4A3934A7.cfusion14601?fuseaction=list&amp;n=10&amp;adv=0&amp;coteId=10102&amp;year=2016&amp;number=430&amp;version=F&amp;dateFrom=&amp;dateTo=&amp;serviceId=&amp;documentType=&amp;title=&amp;titleLanguage=&amp;titleSearch=EXACT&amp;sortBy=NUMBER&amp;sortOrder=DESC" TargetMode="External"/><Relationship Id="rId4" Type="http://schemas.openxmlformats.org/officeDocument/2006/relationships/hyperlink" Target="https://ec.europa.eu/transparency/regdoc/rep/10102/2016/EN/SWD-2016-430-F1-EN-MAIN-PART-1.PDF" TargetMode="External"/><Relationship Id="rId9"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B22FAC-3924-4FE9-B747-E17ADFDB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10937</Words>
  <Characters>74045</Characters>
  <Application>Microsoft Office Word</Application>
  <DocSecurity>0</DocSecurity>
  <Lines>1762</Lines>
  <Paragraphs>752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2021-01-22T13:01:00Z</dcterms:created>
  <dcterms:modified xsi:type="dcterms:W3CDTF">2021-01-26T08:41:00Z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