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DB8C2601-D7D2-41C6-802C-B8D034A13552" style="width:450.7pt;height:383.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ANNESS </w:t>
      </w:r>
    </w:p>
    <w:p>
      <w:pPr>
        <w:jc w:val="center"/>
        <w:rPr>
          <w:b/>
          <w:noProof/>
        </w:rPr>
      </w:pPr>
      <w:r>
        <w:rPr>
          <w:b/>
          <w:noProof/>
        </w:rPr>
        <w:t>Dominji, suġġetti u suġġetti dettaljati, u frekwenzi tat-trażmissjoni u perjodi ta’ referenza għal kull suġġett dettaljat</w:t>
      </w:r>
    </w:p>
    <w:p>
      <w:pPr>
        <w:rPr>
          <w:noProof/>
        </w:rPr>
      </w:pPr>
    </w:p>
    <w:p>
      <w:pPr>
        <w:pStyle w:val="Point0letter"/>
        <w:numPr>
          <w:ilvl w:val="1"/>
          <w:numId w:val="9"/>
        </w:numPr>
        <w:rPr>
          <w:noProof/>
        </w:rPr>
      </w:pPr>
      <w:r>
        <w:rPr>
          <w:noProof/>
        </w:rPr>
        <w:t>Statistika dwar il-produzzjoni tal-annimali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61"/>
        <w:gridCol w:w="3136"/>
        <w:gridCol w:w="2135"/>
        <w:gridCol w:w="2057"/>
      </w:tblGrid>
      <w:tr>
        <w:trPr>
          <w:cantSplit/>
          <w:tblHeader/>
        </w:trPr>
        <w:tc>
          <w:tcPr>
            <w:tcW w:w="1056" w:type="pct"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Suġġett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Suġġetti dettaljati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Frekwenzi tat-trażmissjoni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Perjodi ta’ referenza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Bhejjem u laħam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Popolazzjoni tal-bhejjem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Darbtejn fis-sena, annwali jew tliet darbiet kull għaxar snin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Tamal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Produzzjoni tal-laħam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xahar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 xml:space="preserve">Xahar kalendarju 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Konsenja tal-annimali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Darbtejn fis-sena jew kull sena</w:t>
            </w:r>
          </w:p>
        </w:tc>
        <w:tc>
          <w:tcPr>
            <w:tcW w:w="1107" w:type="pct"/>
          </w:tcPr>
          <w:p>
            <w:pPr>
              <w:spacing w:before="0" w:after="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Trimestri kalendarji</w:t>
            </w:r>
          </w:p>
          <w:p>
            <w:pPr>
              <w:spacing w:before="0" w:after="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Nofs snin kalendarji</w:t>
            </w:r>
          </w:p>
          <w:p>
            <w:pPr>
              <w:spacing w:before="0" w:after="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Snin kalendarja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Bajd u flieles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Bajd għall-konsum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 jew tliet darbiet kull għaxar snin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Bajd għat-tifqis u flieles tat-tjur tal-irziezet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xahar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Xahar kalendarju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Struttura tal-imfaqas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Tamal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Ħalib u prodotti tal-ħalib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Ħalib prodott u użat fl-azjendi agrikoli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 jew tliet darbiet kull għaxar snin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Disponibbiltajiet tal-ħalib għas-settur tal-ħalib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Użi ta’ ħalib u materjali tal-ħalib mis-settur tal-ħalib u prodotti li jirriżultaw minnhom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Użi ta’ kull xahar tal-ħalib tal-baqar mis-settur tal-ħalib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xahar jew darbtejn fis-sena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Xahar kalendarju</w:t>
            </w:r>
          </w:p>
        </w:tc>
      </w:tr>
      <w:tr>
        <w:trPr>
          <w:cantSplit/>
        </w:trPr>
        <w:tc>
          <w:tcPr>
            <w:tcW w:w="1056" w:type="pct"/>
            <w:vMerge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Struttura tal-intrapriżi tal-ħalib</w:t>
            </w:r>
          </w:p>
        </w:tc>
        <w:tc>
          <w:tcPr>
            <w:tcW w:w="1149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Tliet darbiet kull għaxar snin</w:t>
            </w:r>
          </w:p>
        </w:tc>
        <w:tc>
          <w:tcPr>
            <w:tcW w:w="1107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pStyle w:val="Point0letter"/>
        <w:rPr>
          <w:noProof/>
        </w:rPr>
      </w:pPr>
      <w:r>
        <w:rPr>
          <w:noProof/>
        </w:rPr>
        <w:t>Statistika dwar il-produzzjoni tal-għelejjel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62"/>
        <w:gridCol w:w="3136"/>
        <w:gridCol w:w="2127"/>
        <w:gridCol w:w="2064"/>
      </w:tblGrid>
      <w:tr>
        <w:trPr>
          <w:cantSplit/>
          <w:tblHeader/>
        </w:trPr>
        <w:tc>
          <w:tcPr>
            <w:tcW w:w="1056" w:type="pct"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Suġġett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Suġġetti dettaljati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Frekwenzi tat-trażmissjoni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Perjodi ta’ referenza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Produzzjoni tal-għelejjel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 xml:space="preserve">Produzzjoni ta’ uċuħ tar-raba’ li jinħartu u bwar permanenti 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  <w:highlight w:val="yellow"/>
              </w:rPr>
            </w:pPr>
            <w:r>
              <w:rPr>
                <w:noProof/>
              </w:rPr>
              <w:t>Subannwali u kull sena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Produzzjoni tal-ortikultura għajr l-għelejjel permanenti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Subannwali u kull sena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Produzzjoni tal-għelejjel permanenti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Subannwali u kull sena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Bilanċi tal-għelejjel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Bilanċi taċ-ċereali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Bilanċi taż-żrieragħ taż-żejt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</w:t>
            </w:r>
          </w:p>
        </w:tc>
      </w:tr>
      <w:tr>
        <w:trPr>
          <w:cantSplit/>
        </w:trPr>
        <w:tc>
          <w:tcPr>
            <w:tcW w:w="105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Bwar u mergħat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Ġestjoni taż-żoni tar-ragħa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3 snin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</w:tbl>
    <w:p>
      <w:pPr>
        <w:pStyle w:val="Point0letter"/>
        <w:rPr>
          <w:noProof/>
        </w:rPr>
      </w:pPr>
      <w:r>
        <w:rPr>
          <w:noProof/>
        </w:rPr>
        <w:t>Statistika dwar il-prezzijiet agrikoli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62"/>
        <w:gridCol w:w="3136"/>
        <w:gridCol w:w="2127"/>
        <w:gridCol w:w="2064"/>
      </w:tblGrid>
      <w:tr>
        <w:trPr>
          <w:cantSplit/>
          <w:tblHeader/>
        </w:trPr>
        <w:tc>
          <w:tcPr>
            <w:tcW w:w="1056" w:type="pct"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Suġġett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Suġġetti dettaljati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Frekwenzi tat-trażmissjoni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Perjodi ta’ referenza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Indiċijiet dwar il-prezzijiet agrikoli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Indiċijiet bikrin u miksuba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Trimestrali u kull sena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Trimestru kalendarju</w:t>
            </w:r>
          </w:p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56" w:type="pct"/>
            <w:vMerge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Ponderazzjonijiet u indiċijiet ibbażati mill-ġdid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5 snin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 xml:space="preserve">Trimestru kalendarju Sena kalendarja </w:t>
            </w:r>
          </w:p>
        </w:tc>
      </w:tr>
      <w:tr>
        <w:trPr>
          <w:cantSplit/>
        </w:trPr>
        <w:tc>
          <w:tcPr>
            <w:tcW w:w="1056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Prezzijiet tal-input assoluti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Fertilizzanti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Għalf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56" w:type="pct"/>
            <w:vMerge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Enerġija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56" w:type="pct"/>
            <w:vMerge w:val="restart"/>
            <w:tcBorders>
              <w:top w:val="single" w:sz="4" w:space="0" w:color="auto"/>
            </w:tcBorders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Prezzijiet u kirjiet tal-art agrikola</w:t>
            </w: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Prezzijiet tal-art agrikola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56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88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Kirjiet tal-art agrikola</w:t>
            </w:r>
          </w:p>
        </w:tc>
        <w:tc>
          <w:tcPr>
            <w:tcW w:w="1145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11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</w:tbl>
    <w:p>
      <w:pPr>
        <w:rPr>
          <w:noProof/>
        </w:rPr>
      </w:pP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Point0letter"/>
        <w:rPr>
          <w:noProof/>
        </w:rPr>
      </w:pPr>
      <w:r>
        <w:rPr>
          <w:noProof/>
        </w:rPr>
        <w:t>Statistika dwar in-nutrijenti u l-prodotti għall-protezzjoni tal-pjanti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26"/>
        <w:gridCol w:w="3114"/>
        <w:gridCol w:w="2105"/>
        <w:gridCol w:w="2044"/>
      </w:tblGrid>
      <w:tr>
        <w:trPr>
          <w:cantSplit/>
          <w:tblHeader/>
        </w:trPr>
        <w:tc>
          <w:tcPr>
            <w:tcW w:w="1091" w:type="pct"/>
            <w:tcBorders>
              <w:bottom w:val="single" w:sz="4" w:space="0" w:color="auto"/>
            </w:tcBorders>
          </w:tcPr>
          <w:p>
            <w:pPr>
              <w:keepNext/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Suġġett</w:t>
            </w: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Suġġetti dettaljati</w:t>
            </w:r>
          </w:p>
        </w:tc>
        <w:tc>
          <w:tcPr>
            <w:tcW w:w="1133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Frekwenzi tat-trażmissjoni</w:t>
            </w:r>
          </w:p>
        </w:tc>
        <w:tc>
          <w:tcPr>
            <w:tcW w:w="1100" w:type="pct"/>
          </w:tcPr>
          <w:p>
            <w:pPr>
              <w:spacing w:before="0" w:after="100"/>
              <w:jc w:val="left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Perjodi ta’ referenza</w:t>
            </w:r>
          </w:p>
        </w:tc>
      </w:tr>
      <w:tr>
        <w:trPr>
          <w:cantSplit/>
        </w:trPr>
        <w:tc>
          <w:tcPr>
            <w:tcW w:w="1091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Nutrijenti fil-fertilizzanti agrikoli</w:t>
            </w: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 xml:space="preserve">Fertilizzanti inorganiċi għall-agrikoltura </w:t>
            </w:r>
          </w:p>
        </w:tc>
        <w:tc>
          <w:tcPr>
            <w:tcW w:w="1133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00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91" w:type="pct"/>
            <w:vMerge/>
            <w:tcBorders>
              <w:bottom w:val="single" w:sz="4" w:space="0" w:color="auto"/>
            </w:tcBorders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Fertilizzanti organiċi għall-agrikoltura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 w:val="restart"/>
            <w:tcBorders>
              <w:top w:val="single" w:sz="4" w:space="0" w:color="auto"/>
            </w:tcBorders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Bilanċ tan-nutrijenti</w:t>
            </w: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Koeffiċjenti tal-kontenuti tan-nutrijenti tal-għelejjel u tal-foraġġ</w:t>
            </w:r>
          </w:p>
        </w:tc>
        <w:tc>
          <w:tcPr>
            <w:tcW w:w="1133" w:type="pct"/>
            <w:vMerge w:val="restart"/>
          </w:tcPr>
          <w:p>
            <w:pPr>
              <w:spacing w:before="0" w:after="10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t xml:space="preserve">Kull ħames snin </w:t>
            </w:r>
          </w:p>
        </w:tc>
        <w:tc>
          <w:tcPr>
            <w:tcW w:w="1100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Snin kalendarja</w:t>
            </w: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 xml:space="preserve">Volumi tar-residwi tal-għelejjel u koeffiċjenti tal-kontenut tan-nutrijenti 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rPr>
                <w:noProof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 xml:space="preserve">Koeffiċjenti tal-iffissar bijoloġiku tan-nitroġenu 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rPr>
                <w:noProof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Koeffiċjenti tad-depożizzjoni tan-nitroġenu atmosferiku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rPr>
                <w:noProof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Koeffiċjenti tal-kontenut tan-nutrijenti fl-użu taż-żerriegħa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rPr>
                <w:noProof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Koeffiċjenti tan-nutrijenti tal-eskrement tal-bhejjem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rPr>
                <w:noProof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Volumi tal-irtirar tad-demel tal-bhejjem u koeffiċjenti tal-kontenut tan-nutrijenti</w:t>
            </w:r>
          </w:p>
        </w:tc>
        <w:tc>
          <w:tcPr>
            <w:tcW w:w="1133" w:type="pct"/>
            <w:vMerge/>
          </w:tcPr>
          <w:p>
            <w:pPr>
              <w:spacing w:before="0" w:after="100"/>
              <w:rPr>
                <w:noProof/>
              </w:rPr>
            </w:pPr>
          </w:p>
        </w:tc>
        <w:tc>
          <w:tcPr>
            <w:tcW w:w="1100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</w:tr>
      <w:tr>
        <w:trPr>
          <w:cantSplit/>
        </w:trPr>
        <w:tc>
          <w:tcPr>
            <w:tcW w:w="1091" w:type="pct"/>
            <w:vMerge w:val="restar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Prodotti għall-protezzjoni tal-pjanti</w:t>
            </w: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Prodotti għall-protezzjoni tal-pjanti mqiegħda fis-suq</w:t>
            </w:r>
          </w:p>
        </w:tc>
        <w:tc>
          <w:tcPr>
            <w:tcW w:w="1133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00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  <w:tr>
        <w:trPr>
          <w:cantSplit/>
        </w:trPr>
        <w:tc>
          <w:tcPr>
            <w:tcW w:w="1091" w:type="pct"/>
            <w:vMerge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</w:p>
        </w:tc>
        <w:tc>
          <w:tcPr>
            <w:tcW w:w="1676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Użu ta’ prodotti għall-protezzjoni tal-pjanti fl-agrikoltura</w:t>
            </w:r>
          </w:p>
        </w:tc>
        <w:tc>
          <w:tcPr>
            <w:tcW w:w="1133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Kull sena</w:t>
            </w:r>
          </w:p>
        </w:tc>
        <w:tc>
          <w:tcPr>
            <w:tcW w:w="1100" w:type="pct"/>
          </w:tcPr>
          <w:p>
            <w:pPr>
              <w:spacing w:before="0" w:after="100"/>
              <w:jc w:val="left"/>
              <w:rPr>
                <w:noProof/>
                <w:szCs w:val="20"/>
              </w:rPr>
            </w:pPr>
            <w:r>
              <w:rPr>
                <w:noProof/>
              </w:rPr>
              <w:t>Sena kalendarja</w:t>
            </w:r>
          </w:p>
        </w:tc>
      </w:tr>
    </w:tbl>
    <w:p>
      <w:pPr>
        <w:spacing w:before="0" w:after="200" w:line="276" w:lineRule="auto"/>
        <w:jc w:val="left"/>
        <w:rPr>
          <w:noProof/>
        </w:rPr>
      </w:pP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5C35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BFAC1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7B223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ECE78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1A0CB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B8462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A7EFA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47C63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26 09:42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"/>
    <w:docVar w:name="LW_ACCOMPAGNANT.CP" w:val="tal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B8C2601-D7D2-41C6-802C-B8D034A13552"/>
    <w:docVar w:name="LW_COVERPAGE_TYPE" w:val="1"/>
    <w:docVar w:name="LW_CROSSREFERENCE" w:val="&lt;UNUSED&gt;"/>
    <w:docVar w:name="LW_DocType" w:val="ANNEX"/>
    <w:docVar w:name="LW_EMISSION" w:val="2.2.2021"/>
    <w:docVar w:name="LW_EMISSION_ISODATE" w:val="2021-02-02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&lt;FMT:Bold&gt;dwar l-istatistika dwar l-input u l-output agrikoli u li j\u295?assar ir-Regolamenti (KE) Nru 1165/2008, (KE) Nru 543/2009, (KE) Nru 1185/2009 u d-Direttiva tal-Kunsill 96/16/KE&lt;/FMT&gt;"/>
    <w:docVar w:name="LW_OBJETACTEPRINCIPAL.CP" w:val="&lt;FMT:Bold&gt;dwar l-istatistika dwar l-input u l-output agrikoli u li j\u295?assar ir-Regolamenti (KE) Nru 1165/2008, (KE) Nru 543/2009, (KE) Nru 1185/2009 u d-Direttiva tal-Kunsill 96/16/KE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1) 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 REGOLAMENT TAL-PARLAMENT EWROPEW U TAL-KUNSILL"/>
    <w:docVar w:name="LW_TYPEACTEPRINCIPAL.CP" w:val="Proposta g\u295?al 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429</Words>
  <Characters>3181</Characters>
  <Application>Microsoft Office Word</Application>
  <DocSecurity>0</DocSecurity>
  <Lines>265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MEMMI Giuliana (ESTAT)</dc:creator>
  <cp:keywords/>
  <dc:description/>
  <cp:lastModifiedBy>WES PDFC Administrator</cp:lastModifiedBy>
  <cp:revision>9</cp:revision>
  <dcterms:created xsi:type="dcterms:W3CDTF">2021-01-20T09:32:00Z</dcterms:created>
  <dcterms:modified xsi:type="dcterms:W3CDTF">2021-01-26T08:42:00Z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