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90" w:rsidRDefault="00D755D4" w:rsidP="00D755D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87ECFC52-DEA2-4CEE-9567-F3AA9DBDF697" style="width:450.75pt;height:476.25pt">
            <v:imagedata r:id="rId8" o:title=""/>
          </v:shape>
        </w:pict>
      </w:r>
    </w:p>
    <w:p w:rsidR="00E86590" w:rsidRDefault="00E86590">
      <w:pPr>
        <w:rPr>
          <w:noProof/>
        </w:rPr>
        <w:sectPr w:rsidR="00E86590" w:rsidSect="00D755D4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86590" w:rsidRDefault="00D755D4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INDOKOLÁS</w:t>
      </w:r>
    </w:p>
    <w:p w:rsidR="00E86590" w:rsidRDefault="00D755D4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1.</w:t>
      </w:r>
      <w:r>
        <w:rPr>
          <w:noProof/>
        </w:rPr>
        <w:tab/>
      </w:r>
      <w:r>
        <w:rPr>
          <w:b/>
          <w:smallCaps/>
          <w:noProof/>
        </w:rPr>
        <w:t>A JAVASLAT HÁTTERE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A javaslat indokai és céljai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0" w:after="240"/>
        <w:rPr>
          <w:rFonts w:eastAsia="Arial Unicode MS"/>
          <w:noProof/>
        </w:rPr>
      </w:pPr>
      <w:r>
        <w:rPr>
          <w:noProof/>
        </w:rPr>
        <w:t xml:space="preserve">Az Eurostat évtizedek óta készít európai agrárstatisztikákat az uniós mezőgazdaságról. </w:t>
      </w:r>
      <w:r>
        <w:rPr>
          <w:noProof/>
        </w:rPr>
        <w:t>Ezek a statisztikák jelenleg a következő területeket fedik le: a gazdaságok szerkezete, mezőgazdasági számlarendszer, állattenyésztés és növénytermesztés, ökológiai gazdálkodás, mezőgazdasági árak, peszticidek, tápanyagok és egyéb agrár-környezetvédelemi t</w:t>
      </w:r>
      <w:r>
        <w:rPr>
          <w:noProof/>
        </w:rPr>
        <w:t>ényezők. A statisztikák elsősorban a közös agrárpolitika (KAP) és más fontos uniós politikák ellenőrzésére és értékelésére, valamint a politikai döntéshozatal támogatására szolgálnak.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2016-ban értékelték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ezeket az adatgyűjtéseket, és megállapították, hogy a mezőgazdaságban, a KAP-ban és más kapcsolódó uniós politikákban bekövetkezett változások figyelembevételével naprakésszé kell tenni őket. A 2020-ig tartó és az azt követő időszakra vonatkozó agrárstati</w:t>
      </w:r>
      <w:r>
        <w:rPr>
          <w:noProof/>
        </w:rPr>
        <w:t>sztikai stratégia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az Európai Bizottság által a tagállamokkal szoros együttműködésben folytatott nagyszabású program, amely az Európai Unió agrárstatisztikáinak korszerűsítésére irányul. Az Európai Statisztikai Rendszer Bizottsága által támogatott stratégi</w:t>
      </w:r>
      <w:r>
        <w:rPr>
          <w:noProof/>
        </w:rPr>
        <w:t xml:space="preserve">a a célravezető és hatásos szabályozás program (REFIT) részét képezi, amelynek célja az európai agrárstatisztikai rendszer (EASS) egyszerűsítése és fejlesztése. A stratégia emellett nemzetközi ajánlásokhoz, köztük az Éghajlatváltozási Kormányközi Testület </w:t>
      </w:r>
      <w:r>
        <w:rPr>
          <w:noProof/>
        </w:rPr>
        <w:t>üvegházhatást okozó gázok kibocsátásának jelentésére vonatkozó iránymutatásához, valamint az ENSZ Élelmezési és Mezőgazdasági Szervezetének normáihoz is igazodik, és az ENSZ agrár- és vidékstatisztikák javítására vonatkozó globális stratégiájának végrehajt</w:t>
      </w:r>
      <w:r>
        <w:rPr>
          <w:noProof/>
        </w:rPr>
        <w:t>ását is magában foglalja.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mezőgazdaság gazdasági szempontból viszonylag kevésbé hangsúlyos ágazat, ugyanakkor az Európai Unió szárazföldi területének közel felét lefedi, és élelmiszer-ellátásának túlnyomó részéről gondoskodik, szavatolva az élelmiszer- é</w:t>
      </w:r>
      <w:r>
        <w:rPr>
          <w:noProof/>
        </w:rPr>
        <w:t>s az élelmezésbiztonságot. Jelentősen befolyásolja az éghajlatváltozást és a környezetet, emellett sok vidéki közösség megélhetését biztosítja. Az Uniónak a legpontosabb adatokra van szüksége ezen a területen, hogy olyan szakpolitikákat alakíthasson ki, am</w:t>
      </w:r>
      <w:r>
        <w:rPr>
          <w:noProof/>
        </w:rPr>
        <w:t>elyek minden európai polgár előnyére válnak annak köszönhetően, hogy több szempont figyelembevételével, a lehető leghatékonyabban és legeredményesebben osztják el a KAP és a hozzá kapcsolódó intézkedések jelentős költségvetési forrásait. A mezőgazdaság eze</w:t>
      </w:r>
      <w:r>
        <w:rPr>
          <w:noProof/>
        </w:rPr>
        <w:t>nkívül központi helyet foglal el az európai zöld megállapodásról szóló bizottsági közleményben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>, különösen az abban megfogalmazott, „a termelőtől a fogyasztóig” stratégiában.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mezőgazdasági ágazat egészének teljesítménye a mezőgazdasági áruk és szolgáltat</w:t>
      </w:r>
      <w:r>
        <w:rPr>
          <w:noProof/>
        </w:rPr>
        <w:t xml:space="preserve">ások volumenében és árában bekövetkező változásokra vonatkozó adatok számviteli szerkezetbe </w:t>
      </w:r>
      <w:r>
        <w:rPr>
          <w:noProof/>
        </w:rPr>
        <w:lastRenderedPageBreak/>
        <w:t>foglalásával értékelhető. Ennek érdekében a mezőgazdasági számlarendszer (EAA) összehasonlítható adatokkal szolgál, amelyek alapján a fő felhasználók – különösen az</w:t>
      </w:r>
      <w:r>
        <w:rPr>
          <w:noProof/>
        </w:rPr>
        <w:t xml:space="preserve"> Európai Bizottság Mezőgazdasági és Vidékfejlesztési Főigazgatósága – fontos makrogazdasági szintű információkhoz juthatnak. 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EAA a számlák európai rendszerének (ESA 2010) szatellitszámlájaként szorosan követi a nemzeti számlákra vonatkozó módszertant.</w:t>
      </w:r>
      <w:r>
        <w:rPr>
          <w:noProof/>
        </w:rPr>
        <w:t xml:space="preserve"> Összeállításához azonban megfelelő szabályokat és módszereket kell kidolgozni. A jelenlegi módszertan alapján a tagállamok 2000 óta szolgáltatnak nemzeti és regionális mezőgazdasági számlákat az Eurostat számára. 2004-ben hatályba lépett a közösségi mezőg</w:t>
      </w:r>
      <w:r>
        <w:rPr>
          <w:noProof/>
        </w:rPr>
        <w:t>azdasági számlarendszerről szóló, 2003. december 5-i 138/2004/EK európai parlamenti és tanácsi rendelet</w:t>
      </w:r>
      <w:r>
        <w:rPr>
          <w:rStyle w:val="FootnoteReference"/>
          <w:noProof/>
        </w:rPr>
        <w:footnoteReference w:id="4"/>
      </w:r>
      <w:r>
        <w:rPr>
          <w:noProof/>
        </w:rPr>
        <w:t>, és hivatalos keretbe foglalta a számlarendszer nemzeti szintű részét. A rendelet azóta hat alkalommal módosult. A rendelet ugyan nem tér ki a regionál</w:t>
      </w:r>
      <w:r>
        <w:rPr>
          <w:noProof/>
        </w:rPr>
        <w:t>is szintű számlákra, de egy informális megállapodás alapján szinte minden tagállam továbbra is rendszeresen közli őket. Ez nem a legjobb megoldás, mivel az informális megállapodásban tárgyalt statisztikák hivatalosan nem képezik az EAA részét, és nincsenek</w:t>
      </w:r>
      <w:r>
        <w:rPr>
          <w:noProof/>
        </w:rPr>
        <w:t xml:space="preserve"> sem kötelező erejű kötelezettségek, sem teljesítési garancia. Mivel azonban a regionális mezőgazdasági számlarendszer lényeges, kiforrott statisztikai adatokat jelent, a mezőgazdasági számlarendszerről szóló rendeletbe való belefoglalásával hivatalos kere</w:t>
      </w:r>
      <w:r>
        <w:rPr>
          <w:noProof/>
        </w:rPr>
        <w:t>tbe kell illeszteni. Csak így biztosítható a minősége. Az Európai Számvevőszék 1/2016. sz. különjelentésében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azonosította ezt a problémát, és a regionális mezőgazdasági számlarendszer hivatalos keretbe foglalását ajánlotta. A Bizottság elfogadta ezt a meg</w:t>
      </w:r>
      <w:r>
        <w:rPr>
          <w:noProof/>
        </w:rPr>
        <w:t>állapítást.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Ez az 1/2016. sz. különjelentés az EAA-minőségjelentés hiányára is rámutatott. Az Eurostat 2016 óta dolgozik ennek az ajánlásnak a végrehajtásán, a tagállamok pedig a 223/2009/EK rendelet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12. cikkének (2) bekezdésében foglalt előírásokra figye</w:t>
      </w:r>
      <w:r>
        <w:rPr>
          <w:noProof/>
        </w:rPr>
        <w:t>lemmel (nagyon kevés kivétellel) 2019 óta nyújtanak be EAA-minőségjelentéseket. A 12. cikk viszont úgy rendelkezik, hogy az ágazati jogszabályoknak kifejezetten tartalmazniuk kell minőségjelentési követelményeket, ami lehetővé teszi az adatszolgáltatási ha</w:t>
      </w:r>
      <w:r>
        <w:rPr>
          <w:noProof/>
        </w:rPr>
        <w:t>táridők mellett a minőségjelentések módozatainak, szerkezetének, gyakoriságának és értékelési mutatóinak meghatározását. A pontos minőségjelentési rendelkezések jelenleg mindössze informálisak, ezért a 223/2009/EK rendelet említett hatályos előírásai szeri</w:t>
      </w:r>
      <w:r>
        <w:rPr>
          <w:noProof/>
        </w:rPr>
        <w:t>nt hivatalos keretbe kell foglalni őket.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Végezetül a tagállamok a nemzeti szintű adatokat illetően első becsült adatokat (n. referenciaév novemberi határidővel), második becsült adatokat (n+1. év januári határidővel) és végleges adatokat (n+1. év szeptembe</w:t>
      </w:r>
      <w:r>
        <w:rPr>
          <w:noProof/>
        </w:rPr>
        <w:t>ri határidővel) szolgáltatnak az EAA-hoz. A második adatközlés túl hamar követi az elsőt ahhoz, hogy a minőség kellőképpen javuljon, tehát a második becslés adatszolgáltatási határidejét ki kell tolni két hónappal, vagyis át kellene helyezni a referenciaév</w:t>
      </w:r>
      <w:r>
        <w:rPr>
          <w:noProof/>
        </w:rPr>
        <w:t xml:space="preserve">et követő év januárjának végéről ugyanazon év márciusának végére. 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Összhang a szakpolitikai területen hatályos szakpolitikai rendelkezésekkel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politikai döntéshozóknak, vállalkozásoknak és az állampolgároknak megbízható és kiváló minőségű statisztikákra van szükségük ahhoz, hogy megfelelő, tényekkel alátámasztott döntéseket hozhassanak.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fent említett 2020. évi agrárstatisztikai stratégia fő </w:t>
      </w:r>
      <w:r>
        <w:rPr>
          <w:noProof/>
        </w:rPr>
        <w:t>célkitűzései közé tartoztak az alábbiak:</w:t>
      </w:r>
    </w:p>
    <w:p w:rsidR="00E86590" w:rsidRDefault="00D755D4"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>kiváló minőségű statisztikák készítése, amelyek megfelelnek a felhasználók hatékonysági és eredményességi igényeinek;</w:t>
      </w:r>
    </w:p>
    <w:p w:rsidR="00E86590" w:rsidRDefault="00D755D4">
      <w:pPr>
        <w:pStyle w:val="Bullet0"/>
        <w:rPr>
          <w:noProof/>
        </w:rPr>
      </w:pPr>
      <w:r>
        <w:rPr>
          <w:noProof/>
        </w:rPr>
        <w:t>az európai agrárstatisztikák harmonizációjának és koherenciájának fokozása.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 javaslatban szer</w:t>
      </w:r>
      <w:r>
        <w:rPr>
          <w:noProof/>
        </w:rPr>
        <w:t xml:space="preserve">eplő három terület közvetlenül kapcsolódik ezekhez a célkitűzésekhez. 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Összhang az Unió egyéb szakpolitikáival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2013 és 2017 közötti időszakra vonatkozó (2020-ig meghosszabbított</w:t>
      </w:r>
      <w:r>
        <w:rPr>
          <w:rStyle w:val="FootnoteReference"/>
          <w:noProof/>
        </w:rPr>
        <w:footnoteReference w:id="7"/>
      </w:r>
      <w:r>
        <w:rPr>
          <w:noProof/>
        </w:rPr>
        <w:t>) európai statisztikai program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fő mozgatórugója az európai szakpolitikák</w:t>
      </w:r>
      <w:r>
        <w:rPr>
          <w:noProof/>
        </w:rPr>
        <w:t>at elősegítő, minőségi statisztikák iránti igény. A környezeti- és agrárstatisztikák az e program alapján történő statisztikai adat-előállítás három pillérének egyikét jelentik. A program lényeges célkitűzései közé tartozik „a mezőgazdasági adatok gyűjtésé</w:t>
      </w:r>
      <w:r>
        <w:rPr>
          <w:noProof/>
        </w:rPr>
        <w:t>nek felülvizsgálata és egyszerűsítése a közös agrárpolitika 2013 utáni felülvizsgálatával összhangban”, valamint „a mezőgazdasági adatok gyűjtési folyamatainak átalakítása, különösen a szolgáltatott adatok minőségének és időszerűségének javítása érdekében”</w:t>
      </w:r>
      <w:r>
        <w:rPr>
          <w:noProof/>
        </w:rPr>
        <w:t>. A mostani kezdeményezés ezt a célkitűzést valósítja meg.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Azzal, hogy színvonalasabb adatokat nyújt a környezet, a lakosság, a régiók és a gazdaság javát szolgáló agrárágazati fenntarthatóság értékeléséhez, az európai agrárstatisztikai információs rendsze</w:t>
      </w:r>
      <w:r>
        <w:rPr>
          <w:noProof/>
        </w:rPr>
        <w:t>r a von der Leyen vezette Bizottság hat prioritása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közül legalább az alábbi kettő megvalósításához is hozzájárul: </w:t>
      </w:r>
    </w:p>
    <w:p w:rsidR="00E86590" w:rsidRDefault="00D755D4">
      <w:pPr>
        <w:pStyle w:val="Bullet0"/>
        <w:rPr>
          <w:noProof/>
        </w:rPr>
      </w:pPr>
      <w:r>
        <w:rPr>
          <w:noProof/>
        </w:rPr>
        <w:t>„a termelőtől a fogyasztóig” és a biodiverzitási stratégián alapuló európai zöld megállapodás; és</w:t>
      </w:r>
    </w:p>
    <w:p w:rsidR="00E86590" w:rsidRDefault="00D755D4">
      <w:pPr>
        <w:pStyle w:val="Bullet0"/>
        <w:rPr>
          <w:noProof/>
        </w:rPr>
      </w:pPr>
      <w:r>
        <w:rPr>
          <w:noProof/>
        </w:rPr>
        <w:t xml:space="preserve">emberközpontú gazdaság.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agrárstatiszti</w:t>
      </w:r>
      <w:r>
        <w:rPr>
          <w:noProof/>
        </w:rPr>
        <w:t xml:space="preserve">kák azonban a mezőgazdaságot és a vidékfejlesztést érintő vagy az által érintett más uniós vagy tagállami prioritások esetében is hasznosak.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Ezen túlmenően a jelenleg intézményközi egyeztetés alatt álló, az egységes piacra vonatkozó programra irányuló jav</w:t>
      </w:r>
      <w:r>
        <w:rPr>
          <w:noProof/>
        </w:rPr>
        <w:t>aslat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keretet biztosít az európai statisztikák fejlesztésének, előállításának és közzétételének finanszírozásához. Az uniós szakpolitikák végrehajtása az Unió gazdasági, társadalmi, területi és környezeti helyzetére vonatkozó, kiváló minőségű, összehasonl</w:t>
      </w:r>
      <w:r>
        <w:rPr>
          <w:noProof/>
        </w:rPr>
        <w:t>ítható és megbízható statisztikai információkat igényel. Ezenkívül az európai statisztikák lehetővé teszik, hogy az uniós polgárok megérthessék a demokratikus folyamatot, abban részt vehessenek, valamint, hogy vitát folytathassanak az Unió jelenéről és jöv</w:t>
      </w:r>
      <w:r>
        <w:rPr>
          <w:noProof/>
        </w:rPr>
        <w:t xml:space="preserve">őjéről. Az agrárstatisztikák esetében a közös agrárpolitika, a közös halászati politika, valamint a környezetvédelmi, az élelmezésbiztonsági és az állatjóléti politikák igényeihez igazodó, időszerű és lényeges adatok szolgáltatásán van a hangsúly.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agrá</w:t>
      </w:r>
      <w:r>
        <w:rPr>
          <w:noProof/>
        </w:rPr>
        <w:t>rstatisztikák kiváló minőségű statisztikai bizonyítékot nyújtanak a közös agrárpolitika végrehajtásához és ellenőrzéséhez. A KAP fontos szerepet játszik a munkahelyteremtés, valamint az intelligens, fenntartható és inkluzív növekedés előmozdításában az Uni</w:t>
      </w:r>
      <w:r>
        <w:rPr>
          <w:noProof/>
        </w:rPr>
        <w:t>ón belül. A közös agrárpolitika szerves részét képező vidékfejlesztési politika a szociális célkitűzései mellett arra irányul, hogy javítsa a mezőgazdasági termelés versenyképességét és fenntarthatóságát. A KAP az Unió teljes költségvetésének több mint 37 </w:t>
      </w:r>
      <w:r>
        <w:rPr>
          <w:noProof/>
        </w:rPr>
        <w:t>%-át teszi ki a 2014–2020 közötti időszakra vonatkozó többéves pénzügyi keretben.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agrárstatisztikákra egyre inkább szükség van olyan egyéb kulcsfontosságú uniós politikákhoz is, mint az európai zöld megállapodás, a környezetvédelmi és éghajlatváltozási </w:t>
      </w:r>
      <w:r>
        <w:rPr>
          <w:noProof/>
        </w:rPr>
        <w:t>politika, a kereskedelempolitika, a regionális politika stb.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smallCaps/>
          <w:noProof/>
        </w:rPr>
      </w:pPr>
      <w:r>
        <w:rPr>
          <w:noProof/>
        </w:rPr>
        <w:t xml:space="preserve"> </w:t>
      </w:r>
      <w:r>
        <w:rPr>
          <w:b/>
          <w:smallCaps/>
          <w:noProof/>
        </w:rPr>
        <w:t>2.</w:t>
      </w:r>
      <w:r>
        <w:rPr>
          <w:noProof/>
        </w:rPr>
        <w:tab/>
      </w:r>
      <w:r>
        <w:rPr>
          <w:b/>
          <w:smallCaps/>
          <w:noProof/>
        </w:rPr>
        <w:t>JOGALAP, SZUBSZIDIARITÁS ÉS ARÁNYOSSÁG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Jogalap</w:t>
      </w:r>
    </w:p>
    <w:p w:rsidR="00E86590" w:rsidRDefault="00D755D4">
      <w:pPr>
        <w:autoSpaceDE w:val="0"/>
        <w:autoSpaceDN w:val="0"/>
        <w:adjustRightInd w:val="0"/>
        <w:spacing w:before="0" w:after="240"/>
        <w:rPr>
          <w:noProof/>
          <w:szCs w:val="24"/>
        </w:rPr>
      </w:pPr>
      <w:r>
        <w:rPr>
          <w:noProof/>
        </w:rPr>
        <w:t>Az európai statisztikai tevékenység jogalapja az Európai Unió működéséről szóló szerződés (EUMSZ) 338. cikke. Az Európai Parlament és a Tanács</w:t>
      </w:r>
      <w:r>
        <w:rPr>
          <w:noProof/>
        </w:rPr>
        <w:t xml:space="preserve"> rendes jogalkotási eljárás keretében intézkedéseket fogad el statisztikák készítésére vonatkozóan, amennyiben ez az Unió tevékenységeinek ellátásához szükséges. A 338. cikk meghatározza az európai statisztikák készítésére vonatkozó követelményeket, és kim</w:t>
      </w:r>
      <w:r>
        <w:rPr>
          <w:noProof/>
        </w:rPr>
        <w:t>ondja, hogy annak a pártatlanság, a megbízhatóság, a tárgyilagosság, a tudományos függetlenség, a költséghatékonyság és a statisztikai adatok bizalmas kezelésének tiszteletben tartásával kell történnie.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 xml:space="preserve">A minőségjelentések jogalapja a 223/2009/EK rendelet </w:t>
      </w:r>
      <w:r>
        <w:rPr>
          <w:noProof/>
        </w:rPr>
        <w:t xml:space="preserve">12. cikke. 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 xml:space="preserve">Szubszidiaritás (nem kizárólagos hatáskör esetén)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 xml:space="preserve">A szubszidiaritás elve érvényesül, amennyiben a javaslat nem tartozik az Unió kizárólagos hatáskörébe. Az európai statisztikai rendszer (ESR) biztosítja a statisztikai információk </w:t>
      </w:r>
      <w:r>
        <w:rPr>
          <w:noProof/>
        </w:rPr>
        <w:t>infrastruktúráját. A rendszert úgy alakították ki, hogy kielégítse a demokratikus társadalmakban a döntéshozatali folyamat körében felmerülő különféle felhasználói igényeket. Az e rendeletre irányuló javaslat kidolgozásának célja az ESR-partnerek fő tevéke</w:t>
      </w:r>
      <w:r>
        <w:rPr>
          <w:noProof/>
        </w:rPr>
        <w:t>nységeinek védelme az EAA-statisztikák minőségének és összehasonlíthatóságának eredményesebb biztosítása mellett.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A statisztikai adatokkal szembeni egyik legfontosabb követelmény, hogy következetesek és összehasonlíthatók legyenek. Egyértelmű európai keret</w:t>
      </w:r>
      <w:r>
        <w:rPr>
          <w:noProof/>
        </w:rPr>
        <w:t xml:space="preserve"> – vagyis a közös statisztikai fogalmakat, jelentéstételi formátumokat és minőségi követelményeket meghatározó európai jogszabály – hiányában a tagállamok nem tudják megvalósítani a szükséges következetességet és összehasonlíthatóságot.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Az összehasonlítha</w:t>
      </w:r>
      <w:r>
        <w:rPr>
          <w:noProof/>
        </w:rPr>
        <w:t>tósági követelmény a KAP miatt nagyon fontos az agrárstatisztikák esetében.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tagállamok független fellépésével nem érhető el megfelelően a javasolt fellépés célja. A javasolt jogi aktus hatálya alá tartozó tárgykörökre vonatkozó statisztikai információk ö</w:t>
      </w:r>
      <w:r>
        <w:rPr>
          <w:noProof/>
        </w:rPr>
        <w:t>sszehasonlíthatóságát biztosító uniós jogszabály alapján hatékonyabban lehet fellépni uniós szinten. Eközben magát az adatgyűjtést végezhetik a tagállamok.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Arányosság</w:t>
      </w:r>
    </w:p>
    <w:p w:rsidR="00E86590" w:rsidRDefault="00D755D4">
      <w:pPr>
        <w:autoSpaceDE w:val="0"/>
        <w:autoSpaceDN w:val="0"/>
        <w:adjustRightInd w:val="0"/>
        <w:spacing w:before="0" w:after="240"/>
        <w:rPr>
          <w:noProof/>
          <w:szCs w:val="24"/>
        </w:rPr>
      </w:pPr>
      <w:r>
        <w:rPr>
          <w:noProof/>
        </w:rPr>
        <w:t>A javaslat az alábbi okokból megfelel az arányosság elvének:</w:t>
      </w:r>
    </w:p>
    <w:p w:rsidR="00E86590" w:rsidRDefault="00D755D4">
      <w:pP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 xml:space="preserve">A javaslat az összes </w:t>
      </w:r>
      <w:r>
        <w:rPr>
          <w:noProof/>
        </w:rPr>
        <w:t>tagállamban azonos elvek alkalmazásával biztosítja majd a gyűjtött és összeállított európai agrárstatisztikák minőségét és összehasonlíthatóságát. Hasonlóképpen biztosítja majd, hogy az európai agrárstatisztikák időszerűek maradjanak, és a felhasználók igé</w:t>
      </w:r>
      <w:r>
        <w:rPr>
          <w:noProof/>
        </w:rPr>
        <w:t>nyeihez igazodjanak. A rendelet költséghatékonyabbá teszi a statisztikák készítését, egyúttal figyelembe pedig veszi a tagállami rendszerek sajátosságait.</w:t>
      </w:r>
    </w:p>
    <w:p w:rsidR="00E86590" w:rsidRDefault="00D755D4">
      <w:pPr>
        <w:autoSpaceDE w:val="0"/>
        <w:autoSpaceDN w:val="0"/>
        <w:adjustRightInd w:val="0"/>
        <w:spacing w:before="0" w:after="240"/>
        <w:rPr>
          <w:noProof/>
          <w:szCs w:val="24"/>
        </w:rPr>
      </w:pPr>
      <w:r>
        <w:rPr>
          <w:noProof/>
        </w:rPr>
        <w:t>A javasolt rendelet az arányosság elvével összhangban a céljának eléréséhez szükséges minimumra korlá</w:t>
      </w:r>
      <w:r>
        <w:rPr>
          <w:noProof/>
        </w:rPr>
        <w:t xml:space="preserve">tozódik, és nem lépi túl az ehhez szükséges mértéket.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A jogi aktus típusának megválasztása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Javasolt eszköz: rendelet.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A javaslat célkitűzései és tartalma miatt a rendelet a legmegfelelőbb jogi aktus. Fontos közös uniós szakpolitikák, mint például a közö</w:t>
      </w:r>
      <w:r>
        <w:rPr>
          <w:noProof/>
        </w:rPr>
        <w:t>s agrárpolitika szervesen összefüggenek az összehasonlítható, harmonizált és kiváló minőségű, európai szintű agrárstatisztikákkal. Ezek legmegfelelőbben rendeletek útján biztosíthatók, amelyek közvetlenül alkalmazandók a tagállamokban, és nincs szükség a n</w:t>
      </w:r>
      <w:r>
        <w:rPr>
          <w:noProof/>
        </w:rPr>
        <w:t xml:space="preserve">emzeti jogba való előzetes átültetésükre. </w:t>
      </w:r>
    </w:p>
    <w:p w:rsidR="00E86590" w:rsidRDefault="00D755D4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noProof/>
        </w:rPr>
        <w:tab/>
      </w:r>
      <w:r>
        <w:rPr>
          <w:b/>
          <w:smallCaps/>
          <w:noProof/>
        </w:rPr>
        <w:t>AZ UTÓLAGOS ÉRTÉKELÉSEK, AZ ÉRDEKELT FELEKKEL FOLYTATOTT KONZULTÁCIÓK ÉS A HATÁSVIZSGÁLATOK EREDMÉNYEI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A jelenleg hatályban lévő jogszabályok utólagos értékelése / célravezetőségi vizsgálata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 </w:t>
      </w:r>
      <w:r>
        <w:rPr>
          <w:noProof/>
        </w:rPr>
        <w:br/>
        <w:t>A 2020-ig tartó</w:t>
      </w:r>
      <w:r>
        <w:rPr>
          <w:noProof/>
        </w:rPr>
        <w:t xml:space="preserve"> és az azt követő időszakra vonatkozó agrárstatisztikai stratégia értékelése az akkor folyamatban lévő (és azóta az 1/2016. sz. különjelentéssel lezárult) európai számvevőszéki ellenőrzésre utal, amelyből kiderül, mennyire elégíti ki az EAA a felhasználók </w:t>
      </w:r>
      <w:r>
        <w:rPr>
          <w:noProof/>
        </w:rPr>
        <w:t xml:space="preserve">adatigényeit. A fent leírtak szerint ezeknek a megállapításoknak meghatározó szerepük van a javaslatban. 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Az érdekelt felekkel folytatott konzultációk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Eurostat az ESR-ben folytatott szoros, összehangolt és rendszeres együttműködés keretében, az Euros</w:t>
      </w:r>
      <w:r>
        <w:rPr>
          <w:noProof/>
        </w:rPr>
        <w:t>tat, valamint a nemzeti statisztikai hivatalok és az összes egyéb érintett hatóság közötti, hosszú időre visszanyúló partnerségre építve valósítja meg az európai agrárstatisztikák fejlesztését, előállítását és terjesztését.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Összességében véve, valamint a 2020-ig tartó és az azt követő időszakra vonatkozó agrárstatisztikai stratégiára figyelemmel az európai agrárstatisztikákban érdekeltek fő kategóriái az adat-előállítók (a nemzeti statisztikai hivatalok és más nemzeti hatóság</w:t>
      </w:r>
      <w:r>
        <w:rPr>
          <w:noProof/>
        </w:rPr>
        <w:t xml:space="preserve">ok, valamint az Eurostat), a válaszadók (gazdák, gazdaszervezetek és vállalkozások), valamint a felhasználók (magán és állami döntéshozók, különösen a Bizottság más szervezeti egységei; kutatók és újságírók). Széles körű konzultáció folyt az említettekkel </w:t>
      </w:r>
      <w:r>
        <w:rPr>
          <w:noProof/>
        </w:rPr>
        <w:t>a problémákról és a fennálló helyzethez képest kívánt változtatásokról, adatigényeikről és prioritásaikról, a problémák megoldására rendelkezésre álló lehetséges szakpolitikai alternatívákról, a javasolt intézkedések hatásairól és a stratégia konkrét megfo</w:t>
      </w:r>
      <w:r>
        <w:rPr>
          <w:noProof/>
        </w:rPr>
        <w:t xml:space="preserve">galmazásáról.. E konzultációk főként a következő fórumokon zajlottak: i. az Agrárstatisztikai Állandó Bizottságnak és jogutódjának, az Agrárstatisztikai Igazgatók Csoportjának (tagjai a nemzeti statisztikai hivatalok agrárstatisztikai igazgatói) ülései és </w:t>
      </w:r>
      <w:r>
        <w:rPr>
          <w:noProof/>
        </w:rPr>
        <w:t>szemináriumai, ahol a Bizottság szervezeti egységei, nemzetközi szervezetek és gazdaszervezetek rendszeresen szót kapnak; ii. az Európai Statisztikai Rendszer Bizottságának (tagjai a nemzeti statisztikai hivatalok főigazgatói) ülései; valamint iii. a Bizot</w:t>
      </w:r>
      <w:r>
        <w:rPr>
          <w:noProof/>
        </w:rPr>
        <w:t>tság szervezeti egységeinél rendszeres időközönként tartott konzultációk és meghallgatások.</w:t>
      </w:r>
    </w:p>
    <w:p w:rsidR="00E86590" w:rsidRDefault="00D755D4">
      <w:pPr>
        <w:rPr>
          <w:noProof/>
        </w:rPr>
      </w:pPr>
      <w:r>
        <w:rPr>
          <w:noProof/>
        </w:rPr>
        <w:t>Az értékeléshez nyilvános konzultáció is folyt, amelynek eredményeit külön jelentés tartalmazza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 w:rsidR="00E86590" w:rsidRDefault="00D755D4">
      <w:pPr>
        <w:rPr>
          <w:noProof/>
          <w:szCs w:val="24"/>
        </w:rPr>
      </w:pPr>
      <w:r>
        <w:rPr>
          <w:noProof/>
        </w:rPr>
        <w:t>E nyilvános konzultáció főbb megállapításai – amelyek a 2020-ig ta</w:t>
      </w:r>
      <w:r>
        <w:rPr>
          <w:noProof/>
        </w:rPr>
        <w:t>rtó agrárstatisztikai stratégia és ennek következtében e rendelet lényegét alkotják – az alábbi három csoportba sorolhatók:</w:t>
      </w:r>
    </w:p>
    <w:p w:rsidR="00E86590" w:rsidRDefault="00D755D4">
      <w:pPr>
        <w:tabs>
          <w:tab w:val="num" w:pos="1417"/>
        </w:tabs>
        <w:ind w:left="850"/>
        <w:rPr>
          <w:noProof/>
        </w:rPr>
      </w:pPr>
      <w:r>
        <w:rPr>
          <w:b/>
          <w:noProof/>
        </w:rPr>
        <w:t>A hatályos uniós agrárstatisztikai jogszabályok nem elégítik ki maradéktalanul az új és az újonnan felmerülő adatigényeket</w:t>
      </w:r>
      <w:r>
        <w:rPr>
          <w:noProof/>
        </w:rPr>
        <w:t xml:space="preserve">, mivel a </w:t>
      </w:r>
      <w:r>
        <w:rPr>
          <w:noProof/>
        </w:rPr>
        <w:t xml:space="preserve">jogalkotási aktusok nem térnek ki ezeknek az adatoknak a szolgáltatására, és nem eléggé rugalmasak és integráltak ahhoz, hogy időszerű választ adjanak az új felmerülő igényekre. </w:t>
      </w:r>
    </w:p>
    <w:p w:rsidR="00E86590" w:rsidRDefault="00D755D4">
      <w:pPr>
        <w:ind w:left="850"/>
        <w:rPr>
          <w:noProof/>
        </w:rPr>
      </w:pPr>
      <w:r>
        <w:rPr>
          <w:noProof/>
        </w:rPr>
        <w:t xml:space="preserve">Ilyen </w:t>
      </w:r>
      <w:r>
        <w:rPr>
          <w:i/>
          <w:noProof/>
        </w:rPr>
        <w:t>új adatigények</w:t>
      </w:r>
      <w:r>
        <w:rPr>
          <w:noProof/>
        </w:rPr>
        <w:t xml:space="preserve"> főként az új mezőgazdasági fejleményekből, az átdolgozot</w:t>
      </w:r>
      <w:r>
        <w:rPr>
          <w:noProof/>
        </w:rPr>
        <w:t>t jogszabályokból és a változó szakpolitikai prioritásokból, különösen a közelmúltban megreformált közös agrárpolitikából erednek.</w:t>
      </w:r>
    </w:p>
    <w:p w:rsidR="00E86590" w:rsidRDefault="00D755D4">
      <w:pPr>
        <w:tabs>
          <w:tab w:val="num" w:pos="1417"/>
        </w:tabs>
        <w:ind w:left="850"/>
        <w:rPr>
          <w:noProof/>
        </w:rPr>
      </w:pPr>
      <w:r>
        <w:rPr>
          <w:b/>
          <w:noProof/>
        </w:rPr>
        <w:t>Az adatgyűjtés nem harmonizált és koherens</w:t>
      </w:r>
      <w:r>
        <w:rPr>
          <w:noProof/>
        </w:rPr>
        <w:t xml:space="preserve">, mivel új adatigények merülnek fel, a jogszabályokat sok év alatt külön-külön dolgozták ki, és részben eltérő meghatározásokat és fogalmakat használnak a különböző agrárstatisztikai területeken. </w:t>
      </w:r>
    </w:p>
    <w:p w:rsidR="00E86590" w:rsidRDefault="00D755D4">
      <w:pPr>
        <w:tabs>
          <w:tab w:val="num" w:pos="1417"/>
        </w:tabs>
        <w:ind w:left="850"/>
        <w:rPr>
          <w:noProof/>
        </w:rPr>
      </w:pPr>
      <w:r>
        <w:rPr>
          <w:b/>
          <w:noProof/>
        </w:rPr>
        <w:t>Az általános megítélés szerint túl nagy az adatszolgáltatás</w:t>
      </w:r>
      <w:r>
        <w:rPr>
          <w:b/>
          <w:noProof/>
        </w:rPr>
        <w:t>i teher</w:t>
      </w:r>
      <w:r>
        <w:rPr>
          <w:noProof/>
        </w:rPr>
        <w:t xml:space="preserve">, mivel az adatigények növekednek, az adatgyűjtés nem harmonizált, és az uniós és nemzeti szintű források folyamatosan zsugorodnak. Megerősítést nyert, hogy ez a teher akadályozza az adatgyűjtést és rontja az adatminőséget.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Az európai uniós agrárst</w:t>
      </w:r>
      <w:r>
        <w:rPr>
          <w:noProof/>
        </w:rPr>
        <w:t>atisztikák korszerűvé tételének keretében 2016 óta zajlik az EAA korszerűsítése. Ehhez hozzájárultak az Európai Számvevőszék által a mezőgazdasági termelők jövedelmével kapcsolatosan végzett ellenőrzés megállapításai (1/2016. sz. különjelentés). Az említet</w:t>
      </w:r>
      <w:r>
        <w:rPr>
          <w:noProof/>
        </w:rPr>
        <w:t>t jelentésben megfogalmazott ajánlásokat – amelyek több, az EAA-t érintő fejlesztést tartalmaznak – beillesztették a tágabb korszerűsítési folyamatba.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Bizottság megállapította, hogy e fejlesztések között kettő, a regionális mezőgazdasági számlarendszer i</w:t>
      </w:r>
      <w:r>
        <w:rPr>
          <w:noProof/>
        </w:rPr>
        <w:t>ntegrálása és az EAA-hoz szolgáltatandó második becslés határidőinek kitolása szükségessé teszi a hatályos rendelet módosítását.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Ezekről a fejlesztésekről részletes egyeztetések folytak két, tagállami szakértőkből álló csoporttal, a mezőgazdasági számlákka</w:t>
      </w:r>
      <w:r>
        <w:rPr>
          <w:noProof/>
        </w:rPr>
        <w:t>l és árakkal foglalkozó munkacsoporttal és a magasabb szintű, agrárstatisztikákkal foglalkozó igazgatói csoporttal.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Mivel a regionális mezőgazdasági számlarendszer régóta létező statisztika, amelyet évek óta szolgáltatnak az Eurostatnak, a 138/2004/EK rend</w:t>
      </w:r>
      <w:r>
        <w:rPr>
          <w:noProof/>
        </w:rPr>
        <w:t>eletbe való beépítéséhez tulajdonképpen azt a már meglévő módszertant kell integrálni, amelyet a hosszú ideje fennálló, kölcsönös bizalmon alapuló megállapodás alapján alkalmaznak. Mivel a módszertan a jelenlegi formájában nagyrészt kielégítő (A mezőgazdas</w:t>
      </w:r>
      <w:r>
        <w:rPr>
          <w:noProof/>
        </w:rPr>
        <w:t>ági és erdőgazdálkodási számlarendszerre vonatkozó kézikönyv VII. része</w:t>
      </w:r>
      <w:r>
        <w:rPr>
          <w:rStyle w:val="FootnoteReference"/>
          <w:noProof/>
        </w:rPr>
        <w:footnoteReference w:id="12"/>
      </w:r>
      <w:r>
        <w:rPr>
          <w:noProof/>
        </w:rPr>
        <w:t>), nem szükséges átdolgozni. A rendeletbe foglalandó módszertan és regionális mezőgazdasági számlarendszerről szóló fejezet tükrözheti a meglévő kézikönyvben jelenleg foglaltakat. Mind</w:t>
      </w:r>
      <w:r>
        <w:rPr>
          <w:noProof/>
        </w:rPr>
        <w:t>azonáltal néhány kisebb módosításra szükség van az ESA 2010 és a tagállamokkal folytatott technikai konzultációk figyelembevétele érdekében.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Erről a javaslatról teljes körű egyeztetés zajlott a mezőgazdasági számlákkal és árakkal foglalkozó szakértői csopo</w:t>
      </w:r>
      <w:r>
        <w:rPr>
          <w:noProof/>
        </w:rPr>
        <w:t>rttal és az agrárstatisztikákkal foglalkozó igazgatói csoporttal. Mindkét csoport tudomásul vette, hogy a Bizottság (Eurostat) a saját kezdeményezési jogával élve folytatja a javaslattal kapcsolatos munkát. A javaslatot a 223/2009/EK rendelettel létrehozot</w:t>
      </w:r>
      <w:r>
        <w:rPr>
          <w:noProof/>
        </w:rPr>
        <w:t xml:space="preserve">t Európai Statisztikai Rendszer Bizottságához is benyújtották. 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Szakértői vélemények beszerzése és felhasználása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Eurostat külön munkacsoportokban és meglévő szakértői csoportokban, többek között igazgatói szinten széles körű egyeztetéseket folytatott a nemzeti statisztikai hivatalokkal a javaslatról.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javaslatot 2020 októberében terjesztették az Európai Statiszt</w:t>
      </w:r>
      <w:r>
        <w:rPr>
          <w:noProof/>
        </w:rPr>
        <w:t xml:space="preserve">ikai Rendszer Bizottsága elé.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Hatásvizsgálat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A Szabályozói Ellenőrzési Testület pozitív véleményt fogalmazott meg az EAA-t is tartalmazó</w:t>
      </w:r>
      <w:r>
        <w:rPr>
          <w:rStyle w:val="FootnoteReference"/>
          <w:noProof/>
        </w:rPr>
        <w:footnoteReference w:id="13"/>
      </w:r>
      <w:r>
        <w:rPr>
          <w:noProof/>
        </w:rPr>
        <w:t>, 2020-ig tartó és az azt követő időszakra vonatkozó agrárstatisztikai stratégia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hatásvizsgálatáról.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A hatásvizsgál</w:t>
      </w:r>
      <w:r>
        <w:rPr>
          <w:noProof/>
        </w:rPr>
        <w:t xml:space="preserve">atot az egész agrárstatisztikai rendszerre kiterjedő, az összes rendszerelem egymáshoz illeszkedését biztosító, rendszerelvű megközelítés miatt stratégiai szinten végezték el.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A hatásvizsgálat során megállapítást nyert, hogy az európai agrárstatisztikai r</w:t>
      </w:r>
      <w:r>
        <w:rPr>
          <w:noProof/>
        </w:rPr>
        <w:t xml:space="preserve">endszert – előnyben részesített lehetőségként – végeredményben három rendelettel kell szabályozni. E rendeletek közül kettő új lenne, és több régebbi uniós agrárstatisztikai rendelet helyébe lépne. Az elsőt az integrált mezőgazdasági statisztikákról szóló </w:t>
      </w:r>
      <w:r>
        <w:rPr>
          <w:noProof/>
        </w:rPr>
        <w:t>(EU) 2018/1091 rendelet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formájában fogadták el, amely a gazdaságszerkezettel, a gyümölcsös ültetvényekkel és a szőlőültetvényekkel kapcsolatos adatokra vonatkozik. A második a mezőgazdasági felhasználási és kibocsátási statisztikákról szóló rendeletre irá</w:t>
      </w:r>
      <w:r>
        <w:rPr>
          <w:noProof/>
        </w:rPr>
        <w:t>nyuló párhuzamos jogalkotási javaslat, amely a mezőgazdasági ágazat inputanyagaival és kibocsátott termékeivel, így a mezőgazdasági termeléssel, ezen belül a biogazdálkodással, a mezőgazdasági árakkal, a tápanyagokkal és növényvédő szerekkel foglalkozik. A</w:t>
      </w:r>
      <w:r>
        <w:rPr>
          <w:noProof/>
        </w:rPr>
        <w:t xml:space="preserve"> hatásvizsgálatban említett harmadik rendelet a mezőgazdasági számlarendszerről szóló 138/2004/EK rendelet, amely ennek a módosító rendeletre irányuló javaslatnak a tárgyát képezi. Mivel az EAA a nemzeti számlák eleve makrogazdasági jellegű szatellitszámlá</w:t>
      </w:r>
      <w:r>
        <w:rPr>
          <w:noProof/>
        </w:rPr>
        <w:t xml:space="preserve">ja, nem javasolták beillesztését az új keretrendeletekbe. Ehelyett az a javaslat született, hogy maradjon külön jogszabály hatálya alatt, ahogy a mezőgazdasági számlarendszerről szóló rendelet 2004. évi első hatálybalépése óta volt.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Célravezető szabályo</w:t>
      </w:r>
      <w:r>
        <w:rPr>
          <w:b/>
          <w:noProof/>
          <w:u w:color="000000"/>
          <w:bdr w:val="nil"/>
        </w:rPr>
        <w:t>zás és egyszerűsítés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az Európai Bizottság által a tagállamokkal szoros együttműködésben folytatott, az uniós agrárstatisztikák korszerűsítésére irányuló, nagyszabású program, a 2020-ig tartó és az azt követő időszakra vonatkozó agrárstatisztikai</w:t>
      </w:r>
      <w:r>
        <w:rPr>
          <w:noProof/>
        </w:rPr>
        <w:t xml:space="preserve"> stratégia részét képezi. A stratégiát támogatja az Európai Statisztikai Rendszer Bizottsága, és a REFIT program részét képezi az EASS egyszerűsítése és fejlesztése céljából.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EAA a 138/2004/EK rendelet hatálya alá tartozó, kiforrott statisztika. A java</w:t>
      </w:r>
      <w:r>
        <w:rPr>
          <w:noProof/>
        </w:rPr>
        <w:t>solt új rendeletnek az EAA minden elemére ki kell terjednie e statisztika minőségének biztosítása érdekében. A kölcsönös bizalmon alapuló megállapodások használatát meg kell szüntetni. Ez elősegíteni az egyszerűsítést, mivel a hivatkozási alap az új rendel</w:t>
      </w:r>
      <w:r>
        <w:rPr>
          <w:noProof/>
        </w:rPr>
        <w:t xml:space="preserve">et lenne, eleget téve minden adatigénynek és minőségjelentési követelménynek. 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az EAA-t illetően jelenleg zajló korszerűsítési intézkedésekből merít azzal kapcsolatosan, mit kell tartalmaznia a javasolt rendeletmódosításnak. A regionális mezőga</w:t>
      </w:r>
      <w:r>
        <w:rPr>
          <w:noProof/>
        </w:rPr>
        <w:t>zdasági számlarendszeren kívül más adatszolgáltatás is kölcsönös bizalmon alapuló megállapodás tárgyát képezi. Az EAA „egységértékei” – ugyanilyen jellegű megállapodás alapján évek óta szolgáltatott adatok – esetében megállapították a korszerűsítési folyam</w:t>
      </w:r>
      <w:r>
        <w:rPr>
          <w:noProof/>
        </w:rPr>
        <w:t>at során, hogy az egységértékek uniós szintű gyűjtését meg kell szüntetni. Következésképpen a javaslatban nem szerepel, hogy az egységértékek kerüljenek be a mezőgazdasági számlarendszerről szóló rendelet módosításába, és el kell hagyni őket. Ezzel kis mér</w:t>
      </w:r>
      <w:r>
        <w:rPr>
          <w:noProof/>
        </w:rPr>
        <w:t xml:space="preserve">tékben ugyan, de érzékelhetően csökken az érdekeltekre nehezedő teher.     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Alapjogok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javaslat nem érinti az alapjogok védelmét. </w:t>
      </w:r>
    </w:p>
    <w:p w:rsidR="00E86590" w:rsidRDefault="00D755D4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4.</w:t>
      </w:r>
      <w:r>
        <w:rPr>
          <w:noProof/>
        </w:rPr>
        <w:tab/>
      </w:r>
      <w:r>
        <w:rPr>
          <w:b/>
          <w:smallCaps/>
          <w:noProof/>
        </w:rPr>
        <w:t>KÖLTSÉGVETÉSI VONZATOK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Nincsenek.  </w:t>
      </w:r>
    </w:p>
    <w:p w:rsidR="00E86590" w:rsidRDefault="00D755D4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5.</w:t>
      </w:r>
      <w:r>
        <w:rPr>
          <w:noProof/>
        </w:rPr>
        <w:tab/>
      </w:r>
      <w:r>
        <w:rPr>
          <w:b/>
          <w:smallCaps/>
          <w:noProof/>
        </w:rPr>
        <w:t>EGYÉB ELEMEK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Végrehajtási tervek, valamint a nyomon követés, az értékelés és a</w:t>
      </w:r>
      <w:r>
        <w:rPr>
          <w:b/>
          <w:noProof/>
          <w:u w:color="000000"/>
          <w:bdr w:val="nil"/>
        </w:rPr>
        <w:t xml:space="preserve"> jelentéstétel szabályai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javasolt rendeletet az Európai Parlament és a Tanács várhatóan 2021-ben fogadja el, röviddel ezután pedig a bizottsági végrehajtási intézkedés elfogadása következik. A rendelet közvetlenül alkalmazandó lesz valamennyi tagállamban</w:t>
      </w:r>
      <w:r>
        <w:rPr>
          <w:noProof/>
        </w:rPr>
        <w:t>, így nincs szükség végrehajtási tervre.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tagállamok várhatóan 2022-ben kezdenek az új rendelet szerint adatokat szolgáltatni a Bizottság részére.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javasolt jogalkotási eszköz az EASS részét képezi, amelyet átfogóan értékelnek majd, többek között annak </w:t>
      </w:r>
      <w:r>
        <w:rPr>
          <w:noProof/>
        </w:rPr>
        <w:t>érdekében, hogy felmérjék a hatékonyságát és eredményességét a kitűzött célok elérése terén, és eldöntsék, szükség van-e új intézkedésekre vagy módosításokra.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Az előállított statisztikák megfelelőség-ellenőrzése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Eurostat rendszeresen értékeli a megfel</w:t>
      </w:r>
      <w:r>
        <w:rPr>
          <w:noProof/>
        </w:rPr>
        <w:t xml:space="preserve">előséget. Ezek az értékelések kiterjednek az adatok rendelkezésre állására, minőségére, pontosságára, és a meg nem felelés esetén tett nyomonkövetési intézkedésekre.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uniós jogszabályok szerint a tagállamok kötelesek lényeges agrárstatisztikai számadato</w:t>
      </w:r>
      <w:r>
        <w:rPr>
          <w:noProof/>
        </w:rPr>
        <w:t>kat szolgáltatni a Bizottságnak. E számadatok továbbítására szigorú határidők vonatkoznak, amelyeket az európai statisztikák helyes kezelése, terjesztése és hasznossága érdekében be kell tartani, mivel a hiányzó vagy hiányos adatok hiányosságokhoz vezetnek</w:t>
      </w:r>
      <w:r>
        <w:rPr>
          <w:noProof/>
        </w:rPr>
        <w:t xml:space="preserve"> az információk rendelkezésre állását illetően (vagyis nem lehet kiszámítani az uniós aggregátumokat és a tervezett ütemtervek szerint közzétenni az adatokat).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223/2009/EK rendelet adja az európai statisztikai rendszer és az európai statisztikák előállí</w:t>
      </w:r>
      <w:r>
        <w:rPr>
          <w:noProof/>
        </w:rPr>
        <w:t xml:space="preserve">tására vonatkozó összes ágazati jogszabály alapvető jogi keretét.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Noha az éves megfelelőség-értékelésekben már fontos tényezőnek számít az időszerűség, a pontosság és a teljesség az agrárstatisztikák késedelem nélküli terjesztése szempontjából, az Eurosta</w:t>
      </w:r>
      <w:r>
        <w:rPr>
          <w:noProof/>
        </w:rPr>
        <w:t>t és az ESR által előállított statisztikák iránti bizalom megszilárdítása érdekében nagyobb figyelmet kell majd fordítani az említett és más minőségi szempontokra.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Az EASS folyamatos fejlesztése: az új adatigények és új adatforrások feltárása, a koherenc</w:t>
      </w:r>
      <w:r>
        <w:rPr>
          <w:b/>
          <w:noProof/>
        </w:rPr>
        <w:t>ia növelése, a terhek csökkentése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Eurostat jelenleg éves meghallgatásokat tart a Bizottság más szervezeti egységeivel. E meghallgatások lényeges eleme az egységek munkaprogramjaival kapcsolatos információcsere. A meghallgatások hivatalos fórumot biztosí</w:t>
      </w:r>
      <w:r>
        <w:rPr>
          <w:noProof/>
        </w:rPr>
        <w:t>tanak az új statisztikákkal kapcsolatos jövőbeni igények megvitatására és a rendelkezésre álló statisztikák hasznosságának vizsgálatára.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Más bizottsági szervezeti egységekkel, nemzeti statisztikai hivatalokkal és más nemzeti hatóságokkal a hierarchia külön</w:t>
      </w:r>
      <w:r>
        <w:rPr>
          <w:noProof/>
        </w:rPr>
        <w:t>böző szintjein, a szakértői csoportok ülésein és szemináriumain, az igazgatók csoportjának ülésein, az Európai Statisztikai Rendszer Bizottságának ülésein, valamint a gyakori kétoldalú eszmecserék keretében folyik tovább az együttműködés. Kitüntetett figye</w:t>
      </w:r>
      <w:r>
        <w:rPr>
          <w:noProof/>
        </w:rPr>
        <w:t>lmet kell fordítani az uniós jogszabályok alapján kezelt adminisztratív adatok és egyéb információforrások feltárására, valamint a statisztika-előállítás megfelelőségének értékelésére annak érdekében, hogy megállapodások szülessenek a statisztikák stabilit</w:t>
      </w:r>
      <w:r>
        <w:rPr>
          <w:noProof/>
        </w:rPr>
        <w:t>ásáról, hozzáférhetőségéről és a statisztikai igények megfelelőbb kiszolgálása érdekében történő esetleges kiigazításáról. Továbbá rendszeres felméréseket és értékeléseket kell folytatni az európai agrárstatisztikák fejlesztésére és az adminisztratív terhe</w:t>
      </w:r>
      <w:r>
        <w:rPr>
          <w:noProof/>
        </w:rPr>
        <w:t>k csökkentésére kínálkozó lehetőségek megtalálása érdekében.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szóban forgó kiigazításokat és a jogi keret általános működését különösen a fentiekben felsorolt stratégiai célkitűzések alapján kell ellenőrizni és értékelni.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Háromévenkénti ellenőrző jelen</w:t>
      </w:r>
      <w:r>
        <w:rPr>
          <w:b/>
          <w:noProof/>
        </w:rPr>
        <w:t>tések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megújult EASS működésének ellenőrzése, valamint a REFIT egyszerűsítési és tehercsökkentési céljainak e rendszerben való elérése érdekében háromévente jelentést kell közzétenni a teljes rendszer működéséről.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Értékelés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második háromévenkénti </w:t>
      </w:r>
      <w:r>
        <w:rPr>
          <w:noProof/>
        </w:rPr>
        <w:t>ellenőrző jelentést a megújult európai agrárstatisztikai rendszer visszamenőleges értékelése fogja felváltani, amely a Bizottság értékelési iránymutatásainak megfelelően készül majd. Ez a visszamenőleges értékelés szükség esetén alapot nyújthat a jogszabál</w:t>
      </w:r>
      <w:r>
        <w:rPr>
          <w:noProof/>
        </w:rPr>
        <w:t>yok további felülvizsgálatához.</w:t>
      </w:r>
    </w:p>
    <w:p w:rsidR="00E86590" w:rsidRDefault="00D755D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A javaslat egyes rendelkezéseinek részletes magyarázata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javasolt rendelet két új cikkből, valamint az I. melléklet (EAA-módszertan) és a II. melléklet (Adatszolgáltatási program) módosításából áll.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főbb változtatások a</w:t>
      </w:r>
      <w:r>
        <w:rPr>
          <w:noProof/>
        </w:rPr>
        <w:t>z I. és a II. mellékletet érintik.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első főbb változás a regionális mezőgazdasági számlarendszerrel kapcsolatos. A tagállamok 2000 óta közölnek regionális mezőgazdasági számlákat az Eurostatnak kölcsönös bizalmon alapuló megállapodás alapján és az azóta </w:t>
      </w:r>
      <w:r>
        <w:rPr>
          <w:noProof/>
        </w:rPr>
        <w:t>meglévő módszertani gyakorlatokkal összhangban. A regionális mezőgazdasági számlarendszer 138/2004/EK rendeletbe illesztése céljából új fejezet került az I. mellékletbe. Ez a fejezet a tagállami küldöttekből álló szakértői csoportokkal (a mezőgazdasági szá</w:t>
      </w:r>
      <w:r>
        <w:rPr>
          <w:noProof/>
        </w:rPr>
        <w:t>mlákkal és árakkal foglalkozó munkacsoporttal és az agrárstatisztikákkal foglalkozó igazgatói csoporttal) a jelenlegi módszertannak a naprakésszé és a rendeletbe való beillesztésre alkalmassá tétele érdekében végrehajtott kisebb módosításairól folytatott e</w:t>
      </w:r>
      <w:r>
        <w:rPr>
          <w:noProof/>
        </w:rPr>
        <w:t xml:space="preserve">gyezetetések figyelembevételével készült. A II. mellékletet azért volt szükséges naprakésszé tenni, hogy tükrözze a regionális mezőgazdasági számlarendszerre vonatkozó adatszolgáltatási határidőket. 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Másodszor, minőségjelentési követelményeket tartalmazó c</w:t>
      </w:r>
      <w:r>
        <w:rPr>
          <w:noProof/>
        </w:rPr>
        <w:t>ikk került a rendeletbe (4a. cikk). Az uniós tagállamok a 223/2009/EK rendelet 12. cikkének (2) bekezdésében foglalt előírásokra figyelemmel 2019-től (nagyon kevés kivétellel) önkéntesen benyújtanak EAA-minőségjelentéseket. A 138/2004/EK rendelet azonban n</w:t>
      </w:r>
      <w:r>
        <w:rPr>
          <w:noProof/>
        </w:rPr>
        <w:t>em tartalmaz a minőségjelentésről szóló cikket. A 223/2009/EK rendelet 12. cikkének (2) bekezdése úgy rendelkezik, hogy az ágazati jogszabályoknak kifejezetten tartalmazniuk minőségjelentési követelményeket, ami lehetővé teszi a minőségjelentések módozatai</w:t>
      </w:r>
      <w:r>
        <w:rPr>
          <w:noProof/>
        </w:rPr>
        <w:t xml:space="preserve">nak, szerkezetének, gyakoriságának és értékelési mutatóinak a meghatározását és az adatszolgáltatási határidők megállapítását. Az EAA-ra vonatkozó pontos minőségjelentési rendelkezések jelenleg mindössze informálisak, így a 4a. cikk hivatalos keretbe kell </w:t>
      </w:r>
      <w:r>
        <w:rPr>
          <w:noProof/>
        </w:rPr>
        <w:t>foglalná őket.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A harmadik főbb változás a második EAA-becslések adatszolgáltatási határidejének kitolása az adatminőség javulásának előmozdítása érdekében. A tagállamok a nemzeti adatokat illetően első becsült adatokat (n. referenciaév novemberi határidőve</w:t>
      </w:r>
      <w:r>
        <w:rPr>
          <w:noProof/>
        </w:rPr>
        <w:t>l), második becsült adatokat (n+1. év januári határidővel) és végleges adatokat (n+1. év szeptemberi határidővel) szolgáltatnak az EAA-hoz. A második adatközlés túl hamar követi az elsőt ahhoz, hogy a minőség érdemben javuljon. A második becslések adatszol</w:t>
      </w:r>
      <w:r>
        <w:rPr>
          <w:noProof/>
        </w:rPr>
        <w:t>gáltatási határidejét ezért ki kell tolni az n+1. év januárjáról az n+1. év márciusára, hogy a tagállamoknak több ideje legyen jobb minőségű adatok beszerzésére. Mivel az alapvető fontosságú első becslések és a végleges adatok közlésének határideje változa</w:t>
      </w:r>
      <w:r>
        <w:rPr>
          <w:noProof/>
        </w:rPr>
        <w:t>tlan marad, a második becslések határidejének kitolása az említett célból helyénvalónak minősül. A II. mellékletet azért volt szükséges naprakésszé tenni, hogy tükrözze a második EAA-becslések adatszolgáltatási határidejével kapcsolatosan illetően javasolt</w:t>
      </w:r>
      <w:r>
        <w:rPr>
          <w:noProof/>
        </w:rPr>
        <w:t xml:space="preserve"> változtatást.</w:t>
      </w:r>
    </w:p>
    <w:p w:rsidR="00E86590" w:rsidRDefault="00D755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 xml:space="preserve">A rendelet cikkeit érintő többi javasolt változtatás az alábbi célokat szolgálja: </w:t>
      </w:r>
    </w:p>
    <w:p w:rsidR="00E86590" w:rsidRDefault="00D755D4"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a regionális mezőgazdasági számlarendszerhez kapcsolódó adatok első továbbítására vonatkozó határidő tisztázása (a 3. cikk (2) bekezdése);</w:t>
      </w:r>
    </w:p>
    <w:p w:rsidR="00E86590" w:rsidRDefault="00D755D4">
      <w:pPr>
        <w:pStyle w:val="Tiret0"/>
        <w:rPr>
          <w:noProof/>
        </w:rPr>
      </w:pPr>
      <w:r>
        <w:rPr>
          <w:noProof/>
        </w:rPr>
        <w:t xml:space="preserve">a regionális </w:t>
      </w:r>
      <w:r>
        <w:rPr>
          <w:noProof/>
        </w:rPr>
        <w:t>mezőgazdasági számlarendszerre vonatkozó követelményektől való esetleges eltérések lehetővé tétele (4b. cikk);</w:t>
      </w:r>
    </w:p>
    <w:p w:rsidR="00E86590" w:rsidRDefault="00D755D4">
      <w:pPr>
        <w:pStyle w:val="Tiret0"/>
        <w:rPr>
          <w:noProof/>
        </w:rPr>
      </w:pPr>
      <w:r>
        <w:rPr>
          <w:noProof/>
        </w:rPr>
        <w:t xml:space="preserve">utalás a bizottsági eljárásra (4c. cikk), amely a hatályos jogszabályban nem szerepel, de szükséges beilleszteni;  </w:t>
      </w:r>
    </w:p>
    <w:p w:rsidR="00E86590" w:rsidRDefault="00D755D4">
      <w:pPr>
        <w:pStyle w:val="Tiret0"/>
        <w:rPr>
          <w:noProof/>
        </w:rPr>
      </w:pPr>
      <w:r>
        <w:rPr>
          <w:noProof/>
        </w:rPr>
        <w:t>néhány további javasolt válto</w:t>
      </w:r>
      <w:r>
        <w:rPr>
          <w:noProof/>
        </w:rPr>
        <w:t xml:space="preserve">ztatás az I. mellékletben (a szakértői csoportokkal folytatott egyeztetést követően).  </w:t>
      </w:r>
    </w:p>
    <w:p w:rsidR="00E86590" w:rsidRDefault="00D755D4"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D755D4" w:rsidRDefault="00D755D4" w:rsidP="00D755D4">
      <w:pPr>
        <w:pStyle w:val="Rfrenceinstitutionnelle"/>
        <w:rPr>
          <w:noProof/>
        </w:rPr>
      </w:pPr>
      <w:r>
        <w:rPr>
          <w:noProof/>
        </w:rPr>
        <w:t xml:space="preserve">2021/0031 </w:t>
      </w:r>
      <w:bookmarkStart w:id="0" w:name="_GoBack"/>
      <w:bookmarkEnd w:id="0"/>
      <w:r>
        <w:rPr>
          <w:noProof/>
        </w:rPr>
        <w:t>(COD)</w:t>
      </w:r>
    </w:p>
    <w:p w:rsidR="00E86590" w:rsidRDefault="00D755D4"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Javaslat</w:t>
      </w:r>
    </w:p>
    <w:p w:rsidR="00E86590" w:rsidRDefault="00D755D4"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AZ EURÓPAI PARLAMENT ÉS A TANÁCS RENDELETE</w:t>
      </w:r>
    </w:p>
    <w:p w:rsidR="00E86590" w:rsidRDefault="00D755D4">
      <w:pPr>
        <w:spacing w:before="360" w:after="360"/>
        <w:jc w:val="center"/>
        <w:rPr>
          <w:b/>
          <w:noProof/>
        </w:rPr>
      </w:pPr>
      <w:r>
        <w:rPr>
          <w:b/>
          <w:noProof/>
        </w:rPr>
        <w:t xml:space="preserve">a 138/2004/EK európai parlamenti és tanácsi rendeletnek a regionális mezőgazdasági számlarendszer tekintetében </w:t>
      </w:r>
      <w:r>
        <w:rPr>
          <w:b/>
          <w:noProof/>
        </w:rPr>
        <w:t>történő módosításáról</w:t>
      </w:r>
      <w:r>
        <w:rPr>
          <w:noProof/>
        </w:rPr>
        <w:t xml:space="preserve"> </w:t>
      </w:r>
      <w:r>
        <w:rPr>
          <w:noProof/>
        </w:rPr>
        <w:br/>
      </w:r>
    </w:p>
    <w:p w:rsidR="00E86590" w:rsidRDefault="00D755D4">
      <w:pPr>
        <w:spacing w:before="360" w:after="240"/>
        <w:ind w:left="2880"/>
        <w:jc w:val="left"/>
        <w:rPr>
          <w:noProof/>
        </w:rPr>
      </w:pPr>
      <w:r>
        <w:rPr>
          <w:noProof/>
        </w:rPr>
        <w:t>(EGT-vonatkozású szöveg)</w:t>
      </w:r>
    </w:p>
    <w:p w:rsidR="00E86590" w:rsidRDefault="00D755D4">
      <w:pPr>
        <w:keepNext/>
        <w:spacing w:before="600"/>
        <w:rPr>
          <w:noProof/>
        </w:rPr>
      </w:pPr>
      <w:r>
        <w:rPr>
          <w:noProof/>
        </w:rPr>
        <w:t>AZ EURÓPAI PARLAMENT ÉS AZ EURÓPAI UNIÓ TANÁCSA,</w:t>
      </w:r>
    </w:p>
    <w:p w:rsidR="00E86590" w:rsidRDefault="00D755D4">
      <w:pPr>
        <w:rPr>
          <w:noProof/>
        </w:rPr>
      </w:pPr>
      <w:r>
        <w:rPr>
          <w:noProof/>
        </w:rPr>
        <w:t>tekintettel az Európai Unió működéséről szóló szerződésre és különösen annak 338. cikke (1) bekezdésére,</w:t>
      </w:r>
    </w:p>
    <w:p w:rsidR="00E86590" w:rsidRDefault="00D755D4">
      <w:pPr>
        <w:rPr>
          <w:noProof/>
        </w:rPr>
      </w:pPr>
      <w:r>
        <w:rPr>
          <w:noProof/>
        </w:rPr>
        <w:t>tekintettel az Európai Bizottság javaslatára,</w:t>
      </w:r>
    </w:p>
    <w:p w:rsidR="00E86590" w:rsidRDefault="00D755D4">
      <w:pPr>
        <w:rPr>
          <w:noProof/>
        </w:rPr>
      </w:pPr>
      <w:r>
        <w:rPr>
          <w:noProof/>
        </w:rPr>
        <w:t>a jogal</w:t>
      </w:r>
      <w:r>
        <w:rPr>
          <w:noProof/>
        </w:rPr>
        <w:t>kotási aktus tervezetének a nemzeti parlamenteknek való megküldését követően,</w:t>
      </w:r>
    </w:p>
    <w:p w:rsidR="00E86590" w:rsidRDefault="00D755D4">
      <w:pPr>
        <w:rPr>
          <w:noProof/>
        </w:rPr>
      </w:pPr>
      <w:r>
        <w:rPr>
          <w:noProof/>
        </w:rPr>
        <w:t>rendes jogalkotási eljárás keretében,</w:t>
      </w:r>
    </w:p>
    <w:p w:rsidR="00E86590" w:rsidRDefault="00D755D4">
      <w:pPr>
        <w:rPr>
          <w:noProof/>
        </w:rPr>
      </w:pPr>
      <w:r>
        <w:rPr>
          <w:noProof/>
        </w:rPr>
        <w:t>mivel:</w:t>
      </w:r>
    </w:p>
    <w:p w:rsidR="00E86590" w:rsidRDefault="00D755D4">
      <w:pPr>
        <w:rPr>
          <w:noProof/>
          <w:szCs w:val="24"/>
        </w:rPr>
      </w:pPr>
      <w:r>
        <w:rPr>
          <w:noProof/>
        </w:rPr>
        <w:t>(1)</w:t>
      </w:r>
      <w:r>
        <w:rPr>
          <w:noProof/>
        </w:rPr>
        <w:tab/>
        <w:t>Az 549/2013/EU európai parlamenti és tanácsi rendelet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tartalmazza a közös standardok, fogalommeghatározások, osztályozások és sz</w:t>
      </w:r>
      <w:r>
        <w:rPr>
          <w:noProof/>
        </w:rPr>
        <w:t xml:space="preserve">ámviteli szabályok referenciakeretét az Unió statisztikai követelményeire vonatkozó tagállami számlák elkészítéséhez (a továbbiakban: ESA 2010). </w:t>
      </w:r>
    </w:p>
    <w:p w:rsidR="00E86590" w:rsidRDefault="00D755D4">
      <w:pPr>
        <w:rPr>
          <w:noProof/>
          <w:szCs w:val="24"/>
        </w:rPr>
      </w:pPr>
      <w:r>
        <w:rPr>
          <w:noProof/>
        </w:rPr>
        <w:t>(2)</w:t>
      </w:r>
      <w:r>
        <w:rPr>
          <w:noProof/>
        </w:rPr>
        <w:tab/>
        <w:t>A 138/2004/EK európai parlamenti és tanácsi rendelet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létrehozza az uniós mezőgazdasági számlarendszert (E</w:t>
      </w:r>
      <w:r>
        <w:rPr>
          <w:noProof/>
        </w:rPr>
        <w:t>AA) azzal, hogy meghatározza a mezőgazdasági számlák továbbítására vonatkozó módszertant és határidőket. A mezőgazdasági számlarendszer alatt az ESA 2010-ben foglaltak szerint a nemzeti számlák szatellit számlái értendők, amelyek célja, hogy a tagállamok k</w:t>
      </w:r>
      <w:r>
        <w:rPr>
          <w:noProof/>
        </w:rPr>
        <w:t>özött harmonizált és összehasonlítható eredményeket érjenek el az Unió céljaira történő elszámolások elkészítéséhez.</w:t>
      </w:r>
    </w:p>
    <w:p w:rsidR="00E86590" w:rsidRDefault="00D755D4">
      <w:pPr>
        <w:rPr>
          <w:noProof/>
        </w:rPr>
      </w:pPr>
      <w:r>
        <w:rPr>
          <w:noProof/>
        </w:rPr>
        <w:t>(3)</w:t>
      </w:r>
      <w:r>
        <w:rPr>
          <w:noProof/>
        </w:rPr>
        <w:tab/>
        <w:t>A regionális mezőgazdasági számlarendszer az EAA regionális szintre alkalmazott változata. A nemzeti számadatok önmagukban nem tudják m</w:t>
      </w:r>
      <w:r>
        <w:rPr>
          <w:noProof/>
        </w:rPr>
        <w:t>egmutatni a teljes és esetenként bonyolult képet arról, milyen folyamatok zajlanak részletesebb szinten. Ezért a regionális szintű adatok elősegítik a régiók körében tapasztalható sokféleség alaposabb megismerését, egyúttal kiegészítik az Unió, az euróövez</w:t>
      </w:r>
      <w:r>
        <w:rPr>
          <w:noProof/>
        </w:rPr>
        <w:t xml:space="preserve">et és az egyes tagállamok számára szolgáltatott információkat. A regionális mezőgazdasági számlarendszert ezért a módszertan és a megfelelő adatszolgáltatási határidők tekintetében be kell illeszteni a 138/2004/EK rendeletbe. </w:t>
      </w:r>
    </w:p>
    <w:p w:rsidR="00E86590" w:rsidRDefault="00D755D4">
      <w:pPr>
        <w:rPr>
          <w:noProof/>
        </w:rPr>
      </w:pPr>
      <w:r>
        <w:rPr>
          <w:noProof/>
        </w:rPr>
        <w:t>(4)</w:t>
      </w:r>
      <w:r>
        <w:rPr>
          <w:noProof/>
        </w:rPr>
        <w:tab/>
        <w:t>A statisztikák már nem te</w:t>
      </w:r>
      <w:r>
        <w:rPr>
          <w:noProof/>
        </w:rPr>
        <w:t xml:space="preserve">kinthetők csupán a szakpolitikai döntéshozatal célját szolgáló számos információs forrás közül egynek, hanem központi szerepet játszanak a döntéshozatali folyamatban. A tényeken alapuló döntéshozatalhoz olyan statisztikákra van szükség, amelyek az általuk </w:t>
      </w:r>
      <w:r>
        <w:rPr>
          <w:noProof/>
        </w:rPr>
        <w:t>szolgált célokkal összhangban megfelelnek a 223/2009/EK európai parlamenti és tanácsi rendeletben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meghatározott szigorú minőségi követelményeknek.</w:t>
      </w:r>
      <w:r>
        <w:rPr>
          <w:noProof/>
        </w:rPr>
        <w:tab/>
        <w:t xml:space="preserve"> </w:t>
      </w:r>
    </w:p>
    <w:p w:rsidR="00E86590" w:rsidRDefault="00D755D4">
      <w:pPr>
        <w:rPr>
          <w:noProof/>
        </w:rPr>
      </w:pPr>
      <w:r>
        <w:rPr>
          <w:noProof/>
        </w:rPr>
        <w:t>(5)</w:t>
      </w:r>
      <w:r>
        <w:rPr>
          <w:noProof/>
        </w:rPr>
        <w:tab/>
        <w:t>A 223/2009/EK rendelet jogi keretet biztosít az európai statisztikákhoz, és előírja, hogy a tagállamok</w:t>
      </w:r>
      <w:r>
        <w:rPr>
          <w:noProof/>
        </w:rPr>
        <w:t xml:space="preserve"> tartsák be a rendeletben meghatározott statisztikai elveket és minőségi kritériumokat. A minőségjelentések alapvető fontosságúak az európai statisztikák értékelése, javítása és kommunikációja szempontjából. Az Európai Statisztikai Rendszer Bizottsága jóvá</w:t>
      </w:r>
      <w:r>
        <w:rPr>
          <w:noProof/>
        </w:rPr>
        <w:t>hagyta az egységes, integrált metaadat-szerkezetet az ESZR minőségjelentésre vonatkozó szabványként, ezzel elősegítve a 223/2009/EK rendeletben, különösen annak 12. cikke (3) bekezdésében foglalt statisztikai minőségi követelmények teljesítését egységes sz</w:t>
      </w:r>
      <w:r>
        <w:rPr>
          <w:noProof/>
        </w:rPr>
        <w:t>abványok és harmonizált módszerek révén.</w:t>
      </w:r>
    </w:p>
    <w:p w:rsidR="00E86590" w:rsidRDefault="00D755D4">
      <w:pPr>
        <w:rPr>
          <w:noProof/>
        </w:rPr>
      </w:pPr>
      <w:r>
        <w:rPr>
          <w:noProof/>
        </w:rPr>
        <w:t>(6)</w:t>
      </w:r>
      <w:r>
        <w:rPr>
          <w:noProof/>
        </w:rPr>
        <w:tab/>
        <w:t>Annak érdekében, hogy e rendelet végrehajtásához egységes feltételeket biztosíthasson, a Bizottságra végrehajtási hatáskört kell ruházni a minőségjelentésekkel kapcsolatos rendelkezések és azok tartalma tekintet</w:t>
      </w:r>
      <w:r>
        <w:rPr>
          <w:noProof/>
        </w:rPr>
        <w:t>ében. Emellett a regionális mezőgazdasági számlarendszer követelményeitől való esetleges eltérés tekintetében is végrehajtási hatáskört kell ruházni a Bizottságra. Ezeket a végrehajtási hatásköröket a 182/2011/EU európai parlamenti és tanácsi rendeletnek m</w:t>
      </w:r>
      <w:r>
        <w:rPr>
          <w:noProof/>
        </w:rPr>
        <w:t>egfelelően kell gyakorolni.</w:t>
      </w:r>
    </w:p>
    <w:p w:rsidR="00E86590" w:rsidRDefault="00D755D4">
      <w:pPr>
        <w:rPr>
          <w:noProof/>
        </w:rPr>
      </w:pPr>
      <w:r>
        <w:rPr>
          <w:noProof/>
        </w:rPr>
        <w:t>(7)</w:t>
      </w:r>
      <w:r>
        <w:rPr>
          <w:noProof/>
        </w:rPr>
        <w:tab/>
        <w:t>Az EAA évente háromszor fontos éves makrogazdasági adatokkal szolgál az európai szakpolitikai döntéshozók számára. Az első és a második becsléseket követik a végleges adatok. A második becslésekre vonatkozó jelenlegi adatszo</w:t>
      </w:r>
      <w:r>
        <w:rPr>
          <w:noProof/>
        </w:rPr>
        <w:t>lgáltatási határidő a referencia-időszak vége után nem biztosít elegendő időt az első EAA-becslésekhez közölt adatoknál pontosabb adatok gyűjtéséhez. E második becslések minőségének javítása érdekében némileg ki kell tolni az adatszolgáltatási határidőt.</w:t>
      </w:r>
    </w:p>
    <w:p w:rsidR="00E86590" w:rsidRDefault="00D755D4">
      <w:pPr>
        <w:rPr>
          <w:noProof/>
        </w:rPr>
      </w:pPr>
      <w:r>
        <w:rPr>
          <w:noProof/>
        </w:rPr>
        <w:t>(</w:t>
      </w:r>
      <w:r>
        <w:rPr>
          <w:noProof/>
        </w:rPr>
        <w:t>8)</w:t>
      </w:r>
      <w:r>
        <w:rPr>
          <w:noProof/>
        </w:rPr>
        <w:tab/>
        <w:t xml:space="preserve">A 138/2004/EK rendeletet ezért ennek megfelelően módosítani kell. </w:t>
      </w:r>
    </w:p>
    <w:p w:rsidR="00E86590" w:rsidRDefault="00D755D4">
      <w:pPr>
        <w:rPr>
          <w:noProof/>
        </w:rPr>
      </w:pPr>
      <w:r>
        <w:rPr>
          <w:noProof/>
        </w:rPr>
        <w:t>(9)</w:t>
      </w:r>
      <w:r>
        <w:rPr>
          <w:noProof/>
        </w:rPr>
        <w:tab/>
        <w:t>Konzultációra került sor az Európai Statisztikai Rendszer Bizottságával,</w:t>
      </w:r>
    </w:p>
    <w:p w:rsidR="00E86590" w:rsidRDefault="00E86590">
      <w:pPr>
        <w:rPr>
          <w:noProof/>
        </w:rPr>
      </w:pPr>
    </w:p>
    <w:p w:rsidR="00E86590" w:rsidRDefault="00D755D4">
      <w:pPr>
        <w:rPr>
          <w:noProof/>
        </w:rPr>
      </w:pPr>
      <w:r>
        <w:rPr>
          <w:noProof/>
        </w:rPr>
        <w:t>ELFOGADTA EZT A RENDELETET:</w:t>
      </w:r>
    </w:p>
    <w:p w:rsidR="00E86590" w:rsidRDefault="00D755D4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1. cikk</w:t>
      </w:r>
    </w:p>
    <w:p w:rsidR="00E86590" w:rsidRDefault="00D755D4">
      <w:pPr>
        <w:rPr>
          <w:noProof/>
        </w:rPr>
      </w:pPr>
      <w:r>
        <w:rPr>
          <w:noProof/>
        </w:rPr>
        <w:t>A 138/2004/EK rendelet a következőképpen módosul:</w:t>
      </w:r>
    </w:p>
    <w:p w:rsidR="00E86590" w:rsidRDefault="00D755D4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3. cikk (2) </w:t>
      </w:r>
      <w:r>
        <w:rPr>
          <w:noProof/>
        </w:rPr>
        <w:t>bekezdése az alábbi mondattal egészül ki:</w:t>
      </w:r>
    </w:p>
    <w:p w:rsidR="00E86590" w:rsidRDefault="00D755D4">
      <w:pPr>
        <w:rPr>
          <w:noProof/>
        </w:rPr>
      </w:pPr>
      <w:r>
        <w:rPr>
          <w:noProof/>
        </w:rPr>
        <w:t>„(2) A regionális mezőgazdasági számlarendszerhez kapcsolódó adatokat első alkalommal legkésőbb 2022. június 30-ig kell továbbítani.”</w:t>
      </w:r>
    </w:p>
    <w:p w:rsidR="00E86590" w:rsidRDefault="00D755D4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A szöveg a következő cikkekkel egészül ki:</w:t>
      </w:r>
    </w:p>
    <w:p w:rsidR="00E86590" w:rsidRDefault="00D755D4">
      <w:pPr>
        <w:jc w:val="center"/>
        <w:rPr>
          <w:noProof/>
        </w:rPr>
      </w:pPr>
      <w:r>
        <w:rPr>
          <w:noProof/>
        </w:rPr>
        <w:t>„4a. cikk</w:t>
      </w:r>
    </w:p>
    <w:p w:rsidR="00E86590" w:rsidRDefault="00D755D4"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Minőségértékelés</w:t>
      </w:r>
    </w:p>
    <w:p w:rsidR="00E86590" w:rsidRDefault="00D755D4">
      <w:pPr>
        <w:spacing w:before="0" w:after="160" w:line="257" w:lineRule="auto"/>
        <w:rPr>
          <w:rFonts w:eastAsia="Calibri"/>
          <w:noProof/>
          <w:szCs w:val="24"/>
        </w:rPr>
      </w:pPr>
      <w:r>
        <w:rPr>
          <w:noProof/>
        </w:rPr>
        <w:t xml:space="preserve">(1) A </w:t>
      </w:r>
      <w:r>
        <w:rPr>
          <w:noProof/>
        </w:rPr>
        <w:t>tagállamok megteszik a továbbított adatok és metaadatok minőségének biztosításához szükséges intézkedéseket.</w:t>
      </w:r>
    </w:p>
    <w:p w:rsidR="00E86590" w:rsidRDefault="00D755D4"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(2) E rendelet alkalmazásában az e rendelet 3. cikkével összhangban továbbítandó adatokra a 223/2009/EK európai parlamenti és tanácsi rendelet 12. </w:t>
      </w:r>
      <w:r>
        <w:rPr>
          <w:noProof/>
        </w:rPr>
        <w:t>cikkének (1) bekezdésében meghatározott minőségértékelési kritériumok alkalmazandók.</w:t>
      </w:r>
    </w:p>
    <w:p w:rsidR="00E86590" w:rsidRDefault="00D755D4"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(3) A Bizottság (Eurostat) értékeli a továbbított adatok minőségét.</w:t>
      </w:r>
    </w:p>
    <w:p w:rsidR="00E86590" w:rsidRDefault="00D755D4"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>(4) A (2) bekezdésben említett minőségértékelési kritériumoknak az e rendelet hatálya alá tartozó adato</w:t>
      </w:r>
      <w:r>
        <w:rPr>
          <w:noProof/>
        </w:rPr>
        <w:t>kra történő alkalmazásához a Bizottság végrehajtási jogi aktusok útján meghatározza a minőségjelentések módozatait, szerkezetét, gyakoriságát és értékelési mutatóit, valamint megállapítja a jelentések Bizottsághoz (Eurostathoz) való benyújtásának határidej</w:t>
      </w:r>
      <w:r>
        <w:rPr>
          <w:noProof/>
        </w:rPr>
        <w:t xml:space="preserve">ét. E végrehajtási jogi aktusokat a 4c. cikk (2) bekezdésében említett vizsgálóbizottsági eljárással összhangban kell elfogadni. </w:t>
      </w:r>
    </w:p>
    <w:p w:rsidR="00E86590" w:rsidRDefault="00D755D4"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>(5) A tagállamok a lehető leghamarabb értesítik a Bizottságot (az Eurostatot) minden olyan releváns információról vagy az e re</w:t>
      </w:r>
      <w:r>
        <w:rPr>
          <w:noProof/>
        </w:rPr>
        <w:t xml:space="preserve">ndelet végrehajtásával kapcsolatos változásról, amely befolyásolná a továbbított adatok minőségét. </w:t>
      </w:r>
    </w:p>
    <w:p w:rsidR="00E86590" w:rsidRDefault="00D755D4"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>(6) A Bizottság (Eurostat) megfelelően indokolt kérésére a tagállamok a statisztikai információk minőségének értékeléséhez szükséges minden kiegészítő felvi</w:t>
      </w:r>
      <w:r>
        <w:rPr>
          <w:noProof/>
        </w:rPr>
        <w:t>lágosítást megadnak.</w:t>
      </w:r>
    </w:p>
    <w:p w:rsidR="00E86590" w:rsidRDefault="00D755D4">
      <w:pPr>
        <w:spacing w:before="0" w:after="160" w:line="256" w:lineRule="auto"/>
        <w:jc w:val="center"/>
        <w:rPr>
          <w:rFonts w:eastAsia="Calibri"/>
          <w:noProof/>
          <w:szCs w:val="24"/>
        </w:rPr>
      </w:pPr>
      <w:r>
        <w:rPr>
          <w:noProof/>
        </w:rPr>
        <w:t xml:space="preserve"> </w:t>
      </w:r>
      <w:r>
        <w:rPr>
          <w:noProof/>
        </w:rPr>
        <w:br/>
        <w:t>4b. cikk</w:t>
      </w:r>
    </w:p>
    <w:p w:rsidR="00E86590" w:rsidRDefault="00D755D4"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Eltérések</w:t>
      </w:r>
    </w:p>
    <w:p w:rsidR="00E86590" w:rsidRDefault="00D755D4">
      <w:pPr>
        <w:spacing w:before="0" w:after="200" w:line="276" w:lineRule="auto"/>
        <w:rPr>
          <w:noProof/>
        </w:rPr>
      </w:pPr>
      <w:r>
        <w:rPr>
          <w:noProof/>
        </w:rPr>
        <w:t>(1) Ha e rendelet alkalmazása valamely tagállam nemzeti statisztikai rendszerének jelentős átalakítását tenné szükségessé az I. melléklet VII. pontjában (Regionális mezőgazdasági számlarendszer) foglaltaknak és a r</w:t>
      </w:r>
      <w:r>
        <w:rPr>
          <w:noProof/>
        </w:rPr>
        <w:t>egionális mezőgazdasági számlarendszer II. melléklet szerinti adatszolgáltatási programjának végrehajtását illetően, akkor a Bizottság végrehajtási jogi aktusokat fogadhat el, hogy az adott tagállam számára legfeljebb kétéves időtartamra eltérést engedélye</w:t>
      </w:r>
      <w:r>
        <w:rPr>
          <w:noProof/>
        </w:rPr>
        <w:t>zzen.</w:t>
      </w:r>
    </w:p>
    <w:p w:rsidR="00E86590" w:rsidRDefault="00D755D4">
      <w:pPr>
        <w:spacing w:before="0" w:after="200" w:line="276" w:lineRule="auto"/>
        <w:rPr>
          <w:noProof/>
        </w:rPr>
      </w:pPr>
      <w:r>
        <w:rPr>
          <w:noProof/>
        </w:rPr>
        <w:t>(2) Az érintett tagállamnak [a rendelet hatálybalépésének időpontja]-tól/-től számított három hónapon belül megfelelően indokolt kérelmet kell benyújtania ilyen eltérés iránt a Bizottsághoz.</w:t>
      </w:r>
    </w:p>
    <w:p w:rsidR="00E86590" w:rsidRDefault="00D755D4">
      <w:pPr>
        <w:spacing w:before="0" w:after="200" w:line="276" w:lineRule="auto"/>
        <w:rPr>
          <w:noProof/>
          <w:szCs w:val="24"/>
        </w:rPr>
      </w:pPr>
      <w:r>
        <w:rPr>
          <w:noProof/>
        </w:rPr>
        <w:t>(3) E végrehajtási jogi aktusokat a 4c. cikkben említett vi</w:t>
      </w:r>
      <w:r>
        <w:rPr>
          <w:noProof/>
        </w:rPr>
        <w:t>zsgálóbizottsági eljárás keretében kell elfogadni.</w:t>
      </w:r>
    </w:p>
    <w:p w:rsidR="00E86590" w:rsidRDefault="00D755D4">
      <w:pPr>
        <w:spacing w:before="0" w:after="160" w:line="256" w:lineRule="auto"/>
        <w:jc w:val="center"/>
        <w:rPr>
          <w:rFonts w:eastAsia="Calibri"/>
          <w:noProof/>
          <w:szCs w:val="24"/>
        </w:rPr>
      </w:pPr>
      <w:r>
        <w:rPr>
          <w:noProof/>
        </w:rPr>
        <w:t>4c. cikk</w:t>
      </w:r>
    </w:p>
    <w:p w:rsidR="00E86590" w:rsidRDefault="00D755D4"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Bizottsági eljárás</w:t>
      </w:r>
    </w:p>
    <w:p w:rsidR="00E86590" w:rsidRDefault="00D755D4">
      <w:pPr>
        <w:spacing w:before="0" w:after="160" w:line="257" w:lineRule="auto"/>
        <w:rPr>
          <w:rFonts w:eastAsia="Calibri"/>
          <w:noProof/>
          <w:szCs w:val="24"/>
        </w:rPr>
      </w:pPr>
      <w:r>
        <w:rPr>
          <w:noProof/>
        </w:rPr>
        <w:t>(1) A Bizottságot a 223/2009/EK rendelettel létrehozott Európai Statisztikai Rendszer Bizottsága segíti. E bizottság a 182/2011/EU rendelet értelmében vett bizottságnak minősül.</w:t>
      </w:r>
      <w:r>
        <w:rPr>
          <w:noProof/>
        </w:rPr>
        <w:t xml:space="preserve"> </w:t>
      </w:r>
    </w:p>
    <w:p w:rsidR="00E86590" w:rsidRDefault="00D755D4">
      <w:pPr>
        <w:spacing w:before="0" w:after="160" w:line="257" w:lineRule="auto"/>
        <w:rPr>
          <w:rFonts w:eastAsia="Calibri"/>
          <w:noProof/>
          <w:szCs w:val="24"/>
        </w:rPr>
      </w:pPr>
      <w:r>
        <w:rPr>
          <w:noProof/>
        </w:rPr>
        <w:t>(2) Az e bekezdésre történő hivatkozáskor a 182/2011/EU rendelet 5. cikkét kell alkalmazni.”</w:t>
      </w:r>
    </w:p>
    <w:p w:rsidR="00E86590" w:rsidRDefault="00D755D4">
      <w:pPr>
        <w:spacing w:after="200" w:line="276" w:lineRule="auto"/>
        <w:rPr>
          <w:rFonts w:eastAsia="Calibri"/>
          <w:noProof/>
          <w:szCs w:val="24"/>
        </w:rPr>
      </w:pPr>
      <w:r>
        <w:rPr>
          <w:noProof/>
        </w:rPr>
        <w:t>(3) Az I. melléklet e rendelet I. mellékletének megfelelően módosul.</w:t>
      </w:r>
    </w:p>
    <w:p w:rsidR="00E86590" w:rsidRDefault="00D755D4">
      <w:pPr>
        <w:spacing w:after="200" w:line="276" w:lineRule="auto"/>
        <w:rPr>
          <w:rFonts w:eastAsia="Calibri"/>
          <w:noProof/>
          <w:szCs w:val="24"/>
        </w:rPr>
      </w:pPr>
      <w:r>
        <w:rPr>
          <w:noProof/>
        </w:rPr>
        <w:t>(4) A II. melléklet e rendelet II. mellékletének megfelelően módosul.</w:t>
      </w:r>
    </w:p>
    <w:p w:rsidR="00E86590" w:rsidRDefault="00D755D4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2. cikk</w:t>
      </w:r>
    </w:p>
    <w:p w:rsidR="00E86590" w:rsidRDefault="00D755D4">
      <w:pPr>
        <w:rPr>
          <w:noProof/>
        </w:rPr>
      </w:pPr>
      <w:r>
        <w:rPr>
          <w:noProof/>
        </w:rPr>
        <w:t xml:space="preserve">Ez a rendelet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huszadik napon lép hatályba.</w:t>
      </w:r>
    </w:p>
    <w:p w:rsidR="00E86590" w:rsidRDefault="00D755D4">
      <w:pPr>
        <w:spacing w:before="480"/>
        <w:rPr>
          <w:noProof/>
        </w:rPr>
      </w:pPr>
      <w:r>
        <w:rPr>
          <w:noProof/>
        </w:rPr>
        <w:t>Ez a rendelet teljes egészében kötelező és közvetlenül alkalmazandó valamennyi tagállamban.</w:t>
      </w:r>
    </w:p>
    <w:p w:rsidR="00E86590" w:rsidRDefault="00D755D4">
      <w:pPr>
        <w:keepNext/>
        <w:rPr>
          <w:noProof/>
        </w:rPr>
      </w:pPr>
      <w:r>
        <w:rPr>
          <w:noProof/>
        </w:rPr>
        <w:t>Kelt Brüsszelben,</w:t>
      </w:r>
    </w:p>
    <w:p w:rsidR="00E86590" w:rsidRDefault="00D755D4">
      <w:pPr>
        <w:keepNext/>
        <w:tabs>
          <w:tab w:val="left" w:pos="4252"/>
        </w:tabs>
        <w:spacing w:before="720" w:after="0"/>
        <w:rPr>
          <w:i/>
          <w:noProof/>
        </w:rPr>
      </w:pPr>
      <w:r>
        <w:rPr>
          <w:i/>
          <w:noProof/>
        </w:rPr>
        <w:t>az Európai Parlament részéről</w:t>
      </w:r>
      <w:r>
        <w:rPr>
          <w:noProof/>
        </w:rPr>
        <w:tab/>
      </w:r>
      <w:r>
        <w:rPr>
          <w:i/>
          <w:noProof/>
        </w:rPr>
        <w:t>a Tanács rész</w:t>
      </w:r>
      <w:r>
        <w:rPr>
          <w:i/>
          <w:noProof/>
        </w:rPr>
        <w:t>éről</w:t>
      </w:r>
    </w:p>
    <w:p w:rsidR="00E86590" w:rsidRDefault="00D755D4">
      <w:pPr>
        <w:keepNext/>
        <w:tabs>
          <w:tab w:val="left" w:pos="4252"/>
        </w:tabs>
        <w:spacing w:before="0" w:after="0"/>
        <w:jc w:val="left"/>
        <w:rPr>
          <w:i/>
          <w:noProof/>
        </w:rPr>
      </w:pPr>
      <w:r>
        <w:rPr>
          <w:i/>
          <w:noProof/>
        </w:rPr>
        <w:t>az elnök</w:t>
      </w:r>
      <w:r>
        <w:rPr>
          <w:noProof/>
        </w:rPr>
        <w:tab/>
      </w:r>
      <w:r>
        <w:rPr>
          <w:i/>
          <w:noProof/>
        </w:rPr>
        <w:t>az elnök</w:t>
      </w:r>
    </w:p>
    <w:p w:rsidR="00E86590" w:rsidRDefault="00E86590">
      <w:pPr>
        <w:keepNext/>
        <w:tabs>
          <w:tab w:val="left" w:pos="4252"/>
        </w:tabs>
        <w:spacing w:before="0" w:after="0"/>
        <w:jc w:val="left"/>
        <w:rPr>
          <w:rFonts w:eastAsia="Calibri"/>
          <w:noProof/>
        </w:rPr>
      </w:pPr>
    </w:p>
    <w:p w:rsidR="00E86590" w:rsidRDefault="00E86590">
      <w:pPr>
        <w:tabs>
          <w:tab w:val="left" w:pos="4252"/>
        </w:tabs>
        <w:spacing w:before="0" w:after="0"/>
        <w:jc w:val="left"/>
        <w:rPr>
          <w:rFonts w:eastAsia="Calibri"/>
          <w:noProof/>
        </w:rPr>
      </w:pPr>
    </w:p>
    <w:sectPr w:rsidR="00E86590" w:rsidSect="00D755D4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90" w:rsidRDefault="00D755D4">
      <w:pPr>
        <w:spacing w:before="0" w:after="0"/>
      </w:pPr>
      <w:r>
        <w:separator/>
      </w:r>
    </w:p>
  </w:endnote>
  <w:endnote w:type="continuationSeparator" w:id="0">
    <w:p w:rsidR="00E86590" w:rsidRDefault="00D755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D4" w:rsidRPr="00D755D4" w:rsidRDefault="00D755D4" w:rsidP="00D755D4">
    <w:pPr>
      <w:pStyle w:val="Footer"/>
      <w:rPr>
        <w:rFonts w:ascii="Arial" w:hAnsi="Arial" w:cs="Arial"/>
        <w:b/>
        <w:sz w:val="48"/>
      </w:rPr>
    </w:pPr>
    <w:r w:rsidRPr="00D755D4">
      <w:rPr>
        <w:rFonts w:ascii="Arial" w:hAnsi="Arial" w:cs="Arial"/>
        <w:b/>
        <w:sz w:val="48"/>
      </w:rPr>
      <w:t>HU</w:t>
    </w:r>
    <w:r w:rsidRPr="00D755D4">
      <w:rPr>
        <w:rFonts w:ascii="Arial" w:hAnsi="Arial" w:cs="Arial"/>
        <w:b/>
        <w:sz w:val="48"/>
      </w:rPr>
      <w:tab/>
    </w:r>
    <w:r w:rsidRPr="00D755D4">
      <w:rPr>
        <w:rFonts w:ascii="Arial" w:hAnsi="Arial" w:cs="Arial"/>
        <w:b/>
        <w:sz w:val="48"/>
      </w:rPr>
      <w:tab/>
    </w:r>
    <w:r w:rsidRPr="00D755D4">
      <w:tab/>
    </w:r>
    <w:r w:rsidRPr="00D755D4"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D4" w:rsidRPr="00D755D4" w:rsidRDefault="00D755D4" w:rsidP="00D755D4">
    <w:pPr>
      <w:pStyle w:val="Footer"/>
      <w:rPr>
        <w:rFonts w:ascii="Arial" w:hAnsi="Arial" w:cs="Arial"/>
        <w:b/>
        <w:sz w:val="48"/>
      </w:rPr>
    </w:pPr>
    <w:r w:rsidRPr="00D755D4">
      <w:rPr>
        <w:rFonts w:ascii="Arial" w:hAnsi="Arial" w:cs="Arial"/>
        <w:b/>
        <w:sz w:val="48"/>
      </w:rPr>
      <w:t>HU</w:t>
    </w:r>
    <w:r w:rsidRPr="00D755D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 w:rsidRPr="00D755D4">
      <w:tab/>
    </w:r>
    <w:r w:rsidRPr="00D755D4"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D4" w:rsidRPr="00D755D4" w:rsidRDefault="00D755D4" w:rsidP="00D75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90" w:rsidRDefault="00D755D4">
      <w:pPr>
        <w:spacing w:before="0" w:after="0"/>
      </w:pPr>
      <w:r>
        <w:separator/>
      </w:r>
    </w:p>
  </w:footnote>
  <w:footnote w:type="continuationSeparator" w:id="0">
    <w:p w:rsidR="00E86590" w:rsidRDefault="00D755D4">
      <w:pPr>
        <w:spacing w:before="0" w:after="0"/>
      </w:pPr>
      <w:r>
        <w:continuationSeparator/>
      </w:r>
    </w:p>
  </w:footnote>
  <w:footnote w:id="1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 xml:space="preserve">SWD(2017) 96 – Commission staff working document evaluation accompanying the document ‘Strategy for Agricultural Statistics 2020 and beyond’ and subsequent potential legislative scenarios </w:t>
      </w:r>
      <w:r>
        <w:t>(Bizottsági szolgálati munkadokumentum: „A 2020-ig tartó és az azt követő időszakra vonatkozó agrárstatisztikai stratégia és az abból következő jogalkotási forgatókönyvek” című dokumentumot kísérő értékelés; csak angol nyelven hozzáférhető).</w:t>
      </w:r>
    </w:p>
  </w:footnote>
  <w:footnote w:id="2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https://ec.europa.eu/eurostat/documents/749240/749310/Strategy+on+agricultural+statistics+Final+version+for+publication.pdf</w:t>
        </w:r>
      </w:hyperlink>
      <w:r>
        <w:rPr>
          <w:rStyle w:val="Hyperlink"/>
        </w:rPr>
        <w:t xml:space="preserve"> (csa</w:t>
      </w:r>
      <w:r>
        <w:rPr>
          <w:rStyle w:val="Hyperlink"/>
        </w:rPr>
        <w:t>k angol nyelven hozzáférhető).</w:t>
      </w:r>
    </w:p>
    <w:p w:rsidR="00E86590" w:rsidRDefault="00E86590">
      <w:pPr>
        <w:pStyle w:val="FootnoteText"/>
      </w:pPr>
    </w:p>
  </w:footnote>
  <w:footnote w:id="3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A Bizottság közleménye az Európai Parlamentnek, az Európai Tanácsnak, a Tanácsnak, az Európai Gazdasági és Szociális Bizottságnak és a Régiók Bizottságának: Az európai zöld megállapodás (COM(2019) 640 final, 2019.12.11.).</w:t>
      </w:r>
    </w:p>
  </w:footnote>
  <w:footnote w:id="4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138/2004/EK rendelete (2003. december 5.) a közösségi mezőgazdasági számlarendszerről (HL L 33., 2004.2.5., 1. o.).</w:t>
      </w:r>
    </w:p>
  </w:footnote>
  <w:footnote w:id="5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1/2016. sz. különjelentés: A mezőgazdasági termelők jövedelmének támogatása: Megfelelő a bizottsági tel</w:t>
      </w:r>
      <w:r>
        <w:t>jesítménymérési rendszer kialakítása és a rendszer megbízható adatokon alapul?</w:t>
      </w:r>
    </w:p>
  </w:footnote>
  <w:footnote w:id="6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223/2009/EK rendelete (2009. március 11.) az európai statisztikákról és a titoktartási kötelezettség hatálya alá tartozó statisztikai adatokna</w:t>
      </w:r>
      <w:r>
        <w:t>k az Európai Közösségek Statisztikai Hivatala részére történő továbbításáról szóló 1101/2008/EK, Euratom európai parlamenti és tanácsi rendelet, a közösségi statisztikákról szóló 322/97/EK tanácsi rendelet és az Európai Közösségek statisztikai programbizot</w:t>
      </w:r>
      <w:r>
        <w:t>tságának létrehozásáról szóló 89/382/EGK, Euratom tanácsi határozat hatályon kívül helyezéséről (HL L 87., 2009.3.31., 164. o.).</w:t>
      </w:r>
    </w:p>
  </w:footnote>
  <w:footnote w:id="7">
    <w:p w:rsidR="00E86590" w:rsidRDefault="00D755D4">
      <w:pPr>
        <w:autoSpaceDE w:val="0"/>
        <w:autoSpaceDN w:val="0"/>
        <w:adjustRightInd w:val="0"/>
        <w:ind w:left="720" w:hanging="720"/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 xml:space="preserve">Az Európai Parlament és a Tanács (EU) 2017/1951 rendelete (2017. október 25.) az európai statisztikai programról (2013–2017) </w:t>
      </w:r>
      <w:r>
        <w:rPr>
          <w:sz w:val="20"/>
          <w:szCs w:val="20"/>
        </w:rPr>
        <w:t>szóló 99/2013/EU rendeletnek a program 2020-ig való meghosszabbítása tekintetében történő módosításáról (HL L 284., 2017.10.31., 1. o.).</w:t>
      </w:r>
    </w:p>
  </w:footnote>
  <w:footnote w:id="8">
    <w:p w:rsidR="00E86590" w:rsidRDefault="00D755D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ab/>
        <w:t>A jelenlegi program az európai statisztikai programról (2013–2017) szóló, 2013. január 15-i 99/2013/EU európai parlam</w:t>
      </w:r>
      <w:r>
        <w:t xml:space="preserve">enti és tanácsi rendelettel jött létre. </w:t>
      </w:r>
      <w:r>
        <w:rPr>
          <w:lang w:val="fr-FR"/>
        </w:rPr>
        <w:t>A 2017. október 25-i (EU) 2017/1951 európai parlamenti és tanácsi rendelet 2020-ig meghosszabbította.</w:t>
      </w:r>
    </w:p>
  </w:footnote>
  <w:footnote w:id="9">
    <w:p w:rsidR="00E86590" w:rsidRDefault="00D755D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</w:r>
      <w:hyperlink r:id="rId2" w:history="1">
        <w:r>
          <w:rPr>
            <w:rStyle w:val="Hyperlink"/>
            <w:lang w:val="fr-FR"/>
          </w:rPr>
          <w:t>https://ec.europa.eu/info/strategy/pr</w:t>
        </w:r>
        <w:r>
          <w:rPr>
            <w:rStyle w:val="Hyperlink"/>
            <w:lang w:val="fr-FR"/>
          </w:rPr>
          <w:t>iorities-2019-2024_hu</w:t>
        </w:r>
      </w:hyperlink>
    </w:p>
  </w:footnote>
  <w:footnote w:id="10">
    <w:p w:rsidR="00E86590" w:rsidRDefault="00D755D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 xml:space="preserve">COM(2018) 441 final. </w:t>
      </w:r>
    </w:p>
  </w:footnote>
  <w:footnote w:id="11">
    <w:p w:rsidR="00E86590" w:rsidRDefault="00D755D4">
      <w:pPr>
        <w:pStyle w:val="FootnoteText"/>
        <w:jc w:val="lef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 xml:space="preserve">Az Eurostat nyilvános konzultációjának weboldala: </w:t>
      </w:r>
      <w:hyperlink r:id="rId3" w:history="1">
        <w:r>
          <w:rPr>
            <w:rStyle w:val="Hyperlink"/>
            <w:lang w:val="fr-FR"/>
          </w:rPr>
          <w:t>http://ec.europa.eu/eurostat/about/opportunities/consultations/eass</w:t>
        </w:r>
      </w:hyperlink>
      <w:r>
        <w:rPr>
          <w:lang w:val="fr-FR"/>
        </w:rPr>
        <w:t xml:space="preserve"> (csak </w:t>
      </w:r>
      <w:r>
        <w:rPr>
          <w:lang w:val="fr-FR"/>
        </w:rPr>
        <w:t>angol nyelven hozzáférhető).</w:t>
      </w:r>
    </w:p>
    <w:p w:rsidR="00E86590" w:rsidRDefault="00D755D4">
      <w:pPr>
        <w:pStyle w:val="FootnoteText"/>
        <w:jc w:val="left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>A nyilvános konzultációról szóló jelentés:</w:t>
      </w:r>
    </w:p>
    <w:p w:rsidR="00E86590" w:rsidRDefault="00D755D4">
      <w:pPr>
        <w:pStyle w:val="FootnoteText"/>
      </w:pPr>
      <w:r>
        <w:rPr>
          <w:lang w:val="fr-FR"/>
        </w:rPr>
        <w:tab/>
      </w:r>
      <w:hyperlink r:id="rId4" w:history="1">
        <w:r>
          <w:rPr>
            <w:rStyle w:val="Hyperlink"/>
          </w:rPr>
          <w:t>http://ec.europa.eu/eurostat/documents/10186/6937766/Agricultu</w:t>
        </w:r>
        <w:r>
          <w:rPr>
            <w:rStyle w:val="Hyperlink"/>
          </w:rPr>
          <w:t>ral-Statistics-Strategy-2020-Report.docx</w:t>
        </w:r>
      </w:hyperlink>
      <w:r>
        <w:t xml:space="preserve"> (csak angol nyelven hozzáférhető).</w:t>
      </w:r>
    </w:p>
    <w:p w:rsidR="00E86590" w:rsidRDefault="00E86590">
      <w:pPr>
        <w:pStyle w:val="FootnoteText"/>
      </w:pPr>
    </w:p>
  </w:footnote>
  <w:footnote w:id="12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Manual on the Economic Accounts for Agriculture and Forestry EAA/EAF 97 (Rev. 1.1) (Kézikönyv a mezőgazdasági és erdőgazdálkodási számlarendszerről [EAA/EAF 97], 1.1. átdolgozot</w:t>
      </w:r>
      <w:r>
        <w:t xml:space="preserve">t változat), 2000 </w:t>
      </w:r>
      <w:hyperlink r:id="rId5" w:history="1">
        <w:r>
          <w:rPr>
            <w:rStyle w:val="Hyperlink"/>
          </w:rPr>
          <w:t>https://ec.europa.eu/eurostat/fr/web/products-manuals-and-guidelines/-/KS-27-00-782</w:t>
        </w:r>
      </w:hyperlink>
      <w:r>
        <w:t xml:space="preserve"> </w:t>
      </w:r>
      <w:r>
        <w:br/>
        <w:t>(angol, francia és német nyelven hozzáférhető).</w:t>
      </w:r>
    </w:p>
  </w:footnote>
  <w:footnote w:id="13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</w:r>
      <w:hyperlink r:id="rId6" w:history="1">
        <w:r>
          <w:rPr>
            <w:rStyle w:val="Hyperlink"/>
          </w:rPr>
          <w:t>https://ec.europa.eu/smart-regulation/impact/ia_carried_out/docs/ia_2016/sec_2016_0519_en.pdf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(csak angol nyelven hozzáférhető).</w:t>
      </w:r>
    </w:p>
  </w:footnote>
  <w:footnote w:id="14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</w:r>
      <w:hyperlink r:id="rId7" w:history="1">
        <w:r>
          <w:t>SWD(2016) 430</w:t>
        </w:r>
      </w:hyperlink>
      <w:r>
        <w:t xml:space="preserve"> </w:t>
      </w:r>
      <w:r>
        <w:rPr>
          <w:rStyle w:val="Hyperlink"/>
          <w:color w:val="auto"/>
          <w:u w:val="none"/>
        </w:rPr>
        <w:t>(csak angol nyelven hozzáférhető).</w:t>
      </w:r>
    </w:p>
  </w:footnote>
  <w:footnote w:id="15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(EU) 2018/1091 rendelete (2018. július 18.) az integrált mezőgaz</w:t>
      </w:r>
      <w:r>
        <w:t>dasági statisztikákról, valamint az 1166/2008/EK és az 1337/2011/EU rendelet hatályon kívül helyezéséről (HL L 200., 2018.8.7., 1. o.).</w:t>
      </w:r>
    </w:p>
  </w:footnote>
  <w:footnote w:id="16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549/2013/EU rendelete (2013. május 21.) az Európai Unió-beli nemzeti és regionális sz</w:t>
      </w:r>
      <w:r>
        <w:t xml:space="preserve">ámlák európai rendszeréről (HL L 174., 2013.6.26., 1. o.). </w:t>
      </w:r>
    </w:p>
  </w:footnote>
  <w:footnote w:id="17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138/2004/EK rendelete (2003. december 5.) a közösségi mezőgazdasági számlarendszerről (HL L 33., 2004.2.5., 1. o.).</w:t>
      </w:r>
    </w:p>
  </w:footnote>
  <w:footnote w:id="18">
    <w:p w:rsidR="00E86590" w:rsidRDefault="00D755D4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223/2009/E</w:t>
      </w:r>
      <w:r>
        <w:t xml:space="preserve">K rendelete (2009. március 11.) az európai statisztikákról és a titoktartási kötelezettség hatálya alá tartozó statisztikai adatoknak az Európai Közösségek Statisztikai Hivatala részére történő továbbításáról szóló 1101/2008/EK, Euratom európai parlamenti </w:t>
      </w:r>
      <w:r>
        <w:t>és tanácsi rendelet, a közösségi statisztikákról szóló 322/97/EK tanácsi rendelet és az Európai Közösségek statisztikai programbizottságának létrehozásáról szóló 89/382/EGK, Euratom tanácsi határozat hatályon kívül helyezéséről (HL L 87., 2009.3.31., 164. </w:t>
      </w:r>
      <w:r>
        <w:t>o.).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ECEE5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7A2F5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5212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F52DC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6D4A5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43E14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4DA5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55CF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2-24 10:18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0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CORRIGENDUM" w:val="CORRIGENDUM_x000b_This document corrects document COM(2021) 54 final of 12.2.2021._x000b_Concerns all language versions. _x000b_Addition of the interinstitutional reference. _x000b_The text shall read as follows:"/>
    <w:docVar w:name="LW_COVERPAGE_EXISTS" w:val="True"/>
    <w:docVar w:name="LW_COVERPAGE_GUID" w:val="87ECFC52-DEA2-4CEE-9567-F3AA9DBDF697"/>
    <w:docVar w:name="LW_COVERPAGE_TYPE" w:val="1"/>
    <w:docVar w:name="LW_CROSSREFERENCE" w:val="&lt;UNUSED&gt;"/>
    <w:docVar w:name="LW_DocType" w:val="COM"/>
    <w:docVar w:name="LW_EMISSION" w:val="2021.2.26."/>
    <w:docVar w:name="LW_EMISSION_ISODATE" w:val="2021-02-26"/>
    <w:docVar w:name="LW_EMISSION_LOCATION" w:val="BRX"/>
    <w:docVar w:name="LW_EMISSION_PREFIX" w:val="Brüssze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" w:val="(EGT-vonatkozású szöveg)"/>
    <w:docVar w:name="LW_INTERETEEE.CP" w:val="(EGT-vonatkozású szöveg)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31"/>
    <w:docVar w:name="LW_REF.II.NEW.CP_YEAR" w:val="2021"/>
    <w:docVar w:name="LW_REF.INST.NEW" w:val="COM"/>
    <w:docVar w:name="LW_REF.INST.NEW_ADOPTED" w:val="final/2"/>
    <w:docVar w:name="LW_REF.INST.NEW_TEXT" w:val="(2021) 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" w:val="Javaslat"/>
    <w:docVar w:name="LW_STATUT.CP" w:val="Javaslat"/>
    <w:docVar w:name="LW_SUPERTITRE" w:val="&lt;UNUSED&gt;"/>
    <w:docVar w:name="LW_TITRE.OBJ" w:val="a 138/2004/EK európai parlamenti és tanácsi rendeletnek a regionális mez\u337?gazdasági számlarendszer tekintetében történ\u337? módosításár\u337?l_x000d__x000d__x000d__x000d_"/>
    <w:docVar w:name="LW_TITRE.OBJ.CP" w:val="a 138/2004/EK európai parlamenti és tanácsi rendeletnek a regionális mez\u337?gazdasági számlarendszer tekintetében történ\u337? módosításár\u337?l_x000d__x000d__x000d__x000d_"/>
    <w:docVar w:name="LW_TYPE.DOC" w:val="AZ EURÓPAI PARLAMENT ÉS A TANÁCS RENDELETE"/>
    <w:docVar w:name="LW_TYPE.DOC.CP" w:val="AZ EURÓPAI PARLAMENT ÉS A TANÁCS RENDELETE"/>
  </w:docVars>
  <w:rsids>
    <w:rsidRoot w:val="00E86590"/>
    <w:rsid w:val="00D755D4"/>
    <w:rsid w:val="00E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3556DEF"/>
  <w15:docId w15:val="{48E124E8-3C33-45B3-A202-CCEDEDD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0" w:after="160" w:line="259" w:lineRule="auto"/>
      <w:jc w:val="left"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5D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755D4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D755D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755D4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755D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D755D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D755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D755D4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D755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about/opportunities/consultations/eass" TargetMode="External"/><Relationship Id="rId7" Type="http://schemas.openxmlformats.org/officeDocument/2006/relationships/hyperlink" Target="https://ec.europa.eu/transparency/regdoc/rep/10102/2016/EN/SWD-2016-430-F1-EN-MAIN-PART-1.PDF" TargetMode="External"/><Relationship Id="rId2" Type="http://schemas.openxmlformats.org/officeDocument/2006/relationships/hyperlink" Target="https://ec.europa.eu/info/strategy/priorities-2019-2024_hu" TargetMode="External"/><Relationship Id="rId1" Type="http://schemas.openxmlformats.org/officeDocument/2006/relationships/hyperlink" Target="https://ec.europa.eu/eurostat/documents/749240/749310/Strategy+on+agricultural+statistics+Final+version+for+publication.pdf" TargetMode="External"/><Relationship Id="rId6" Type="http://schemas.openxmlformats.org/officeDocument/2006/relationships/hyperlink" Target="https://ec.europa.eu/smart-regulation/impact/ia_carried_out/docs/ia_2016/sec_2016_0519_en.pdf" TargetMode="External"/><Relationship Id="rId5" Type="http://schemas.openxmlformats.org/officeDocument/2006/relationships/hyperlink" Target="https://ec.europa.eu/eurostat/fr/web/products-manuals-and-guidelines/-/KS-27-00-782" TargetMode="External"/><Relationship Id="rId4" Type="http://schemas.openxmlformats.org/officeDocument/2006/relationships/hyperlink" Target="http://ec.europa.eu/eurostat/documents/10186/6937766/Agricultural-Statistics-Strategy-2020-Repor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8157-75C0-4A72-896E-E25924D3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9</TotalTime>
  <Pages>16</Pages>
  <Words>4451</Words>
  <Characters>33166</Characters>
  <Application>Microsoft Office Word</Application>
  <DocSecurity>0</DocSecurity>
  <Lines>518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WADHWANIA Nadia (SG)</cp:lastModifiedBy>
  <cp:revision>32</cp:revision>
  <dcterms:created xsi:type="dcterms:W3CDTF">2021-02-03T15:34:00Z</dcterms:created>
  <dcterms:modified xsi:type="dcterms:W3CDTF">2021-02-25T11:11:00Z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