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F603354-C535-4535-BF6E-4F6B63BC50EB" style="width:450.4pt;height:422.8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bookmarkStart w:id="1" w:name="_GoBack"/>
            <w:bookmarkEnd w:id="1"/>
            <w:r>
              <w:rPr>
                <w:rFonts w:ascii="Times New Roman" w:hAnsi="Times New Roman"/>
                <w:b/>
                <w:noProof/>
                <w:sz w:val="24"/>
                <w:szCs w:val="20"/>
              </w:rPr>
              <w:lastRenderedPageBreak/>
              <w:t xml:space="preserve">Streszczenie oceny skutków </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spacing w:after="240" w:line="240" w:lineRule="auto"/>
              <w:jc w:val="both"/>
              <w:rPr>
                <w:rFonts w:ascii="Times New Roman" w:eastAsia="Times New Roman" w:hAnsi="Times New Roman" w:cs="Times New Roman"/>
                <w:noProof/>
                <w:sz w:val="24"/>
                <w:szCs w:val="20"/>
              </w:rPr>
            </w:pPr>
            <w:r>
              <w:rPr>
                <w:rFonts w:ascii="Times New Roman" w:hAnsi="Times New Roman"/>
                <w:noProof/>
                <w:sz w:val="24"/>
                <w:szCs w:val="20"/>
              </w:rPr>
              <w:t xml:space="preserve">Ocena skutków przeglądu i przedłużenia terminu obowiązywania rozporządzenia w sprawie roamingu (wersja przekształcona)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A. Zasadność działań</w:t>
            </w:r>
          </w:p>
        </w:tc>
      </w:tr>
      <w:tr>
        <w:tc>
          <w:tcPr>
            <w:tcW w:w="10490" w:type="dxa"/>
            <w:tcBorders>
              <w:bottom w:val="single" w:sz="4" w:space="0" w:color="auto"/>
            </w:tcBorders>
            <w:shd w:val="clear" w:color="auto" w:fill="E0E0E0"/>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Na czym polega problem i dlaczego jest to problem na szczeblu UE? </w:t>
            </w:r>
          </w:p>
        </w:tc>
      </w:tr>
      <w:tr>
        <w:tc>
          <w:tcPr>
            <w:tcW w:w="10490" w:type="dxa"/>
            <w:tcBorders>
              <w:bottom w:val="single" w:sz="4" w:space="0" w:color="auto"/>
            </w:tcBorders>
            <w:shd w:val="clear" w:color="auto" w:fill="auto"/>
          </w:tcPr>
          <w:p>
            <w:pPr>
              <w:pStyle w:val="Default"/>
              <w:spacing w:after="120"/>
              <w:jc w:val="both"/>
              <w:rPr>
                <w:rFonts w:ascii="Times New Roman" w:hAnsi="Times New Roman" w:cs="Times New Roman"/>
                <w:b/>
                <w:noProof/>
                <w:sz w:val="22"/>
                <w:szCs w:val="22"/>
              </w:rPr>
            </w:pPr>
            <w:r>
              <w:rPr>
                <w:rFonts w:ascii="Times New Roman" w:hAnsi="Times New Roman"/>
                <w:noProof/>
                <w:sz w:val="22"/>
                <w:szCs w:val="22"/>
              </w:rPr>
              <w:t>Rozporządzenie (UE) nr 531/2012 traci moc z dniem 30 czerwca 2022 r.</w:t>
            </w:r>
            <w:r>
              <w:rPr>
                <w:rFonts w:ascii="Times New Roman" w:hAnsi="Times New Roman"/>
                <w:b/>
                <w:noProof/>
                <w:sz w:val="22"/>
                <w:szCs w:val="22"/>
              </w:rPr>
              <w:t xml:space="preserve"> Bez przedłużenia terminu obowiązywania przepisów dotyczących roamingu konsumenci i przedsiębiorstwa </w:t>
            </w:r>
            <w:r>
              <w:rPr>
                <w:rFonts w:ascii="Times New Roman" w:hAnsi="Times New Roman"/>
                <w:noProof/>
                <w:sz w:val="22"/>
                <w:szCs w:val="22"/>
              </w:rPr>
              <w:t xml:space="preserve">mogą utracić korzyści wynikające z zasady korzystania z telefonu za granicą tak jak w kraju (RLAH – ang. </w:t>
            </w:r>
            <w:r>
              <w:rPr>
                <w:rFonts w:ascii="Times New Roman" w:hAnsi="Times New Roman"/>
                <w:i/>
                <w:iCs/>
                <w:noProof/>
                <w:sz w:val="22"/>
                <w:szCs w:val="22"/>
              </w:rPr>
              <w:t>roam like at home</w:t>
            </w:r>
            <w:r>
              <w:rPr>
                <w:rFonts w:ascii="Times New Roman" w:hAnsi="Times New Roman"/>
                <w:noProof/>
                <w:sz w:val="22"/>
                <w:szCs w:val="22"/>
              </w:rPr>
              <w:t>), a dodatkowe bariery mogłyby ograniczyć niezakłócone korzystanie z usług łączności ruchomej i innowacyjnych aplikacji podczas podróży w obrębie</w:t>
            </w:r>
            <w:r>
              <w:rPr>
                <w:rFonts w:ascii="Times New Roman" w:hAnsi="Times New Roman"/>
                <w:b/>
                <w:noProof/>
                <w:sz w:val="22"/>
                <w:szCs w:val="22"/>
              </w:rPr>
              <w:t xml:space="preserve"> jednolitego rynku UE/EOG</w:t>
            </w:r>
            <w:r>
              <w:rPr>
                <w:rFonts w:ascii="Times New Roman" w:hAnsi="Times New Roman"/>
                <w:noProof/>
                <w:sz w:val="22"/>
                <w:szCs w:val="22"/>
              </w:rPr>
              <w:t>.</w:t>
            </w:r>
            <w:r>
              <w:rPr>
                <w:rFonts w:ascii="Times New Roman" w:hAnsi="Times New Roman"/>
                <w:b/>
                <w:noProof/>
                <w:sz w:val="22"/>
                <w:szCs w:val="22"/>
              </w:rPr>
              <w:t xml:space="preserve"> </w:t>
            </w:r>
            <w:r>
              <w:rPr>
                <w:rFonts w:ascii="Times New Roman" w:hAnsi="Times New Roman"/>
                <w:noProof/>
                <w:sz w:val="22"/>
                <w:szCs w:val="22"/>
              </w:rPr>
              <w:t xml:space="preserve">Prawie </w:t>
            </w:r>
            <w:r>
              <w:rPr>
                <w:rFonts w:ascii="Times New Roman" w:hAnsi="Times New Roman"/>
                <w:b/>
                <w:noProof/>
                <w:sz w:val="22"/>
                <w:szCs w:val="22"/>
              </w:rPr>
              <w:t xml:space="preserve">170 mln europejskich klientów korzystających z roamingu czerpie </w:t>
            </w:r>
            <w:r>
              <w:rPr>
                <w:rFonts w:ascii="Times New Roman" w:hAnsi="Times New Roman"/>
                <w:b/>
                <w:bCs/>
                <w:noProof/>
                <w:sz w:val="22"/>
                <w:szCs w:val="22"/>
              </w:rPr>
              <w:t xml:space="preserve">obecnie, podczas podróży po UE/EOG, </w:t>
            </w:r>
            <w:r>
              <w:rPr>
                <w:rFonts w:ascii="Times New Roman" w:hAnsi="Times New Roman"/>
                <w:b/>
                <w:noProof/>
                <w:sz w:val="22"/>
                <w:szCs w:val="22"/>
              </w:rPr>
              <w:t>korzyści z RLAH</w:t>
            </w:r>
            <w:r>
              <w:rPr>
                <w:rFonts w:ascii="Times New Roman" w:hAnsi="Times New Roman"/>
                <w:noProof/>
                <w:sz w:val="22"/>
                <w:szCs w:val="22"/>
              </w:rPr>
              <w:t xml:space="preserve"> i z połączeń na warunkach krajowych</w:t>
            </w:r>
            <w:r>
              <w:rPr>
                <w:rFonts w:ascii="Times New Roman" w:hAnsi="Times New Roman"/>
                <w:b/>
                <w:noProof/>
                <w:sz w:val="22"/>
                <w:szCs w:val="22"/>
              </w:rPr>
              <w:t xml:space="preserve">. </w:t>
            </w:r>
          </w:p>
          <w:p>
            <w:pPr>
              <w:pStyle w:val="Default"/>
              <w:spacing w:after="120"/>
              <w:jc w:val="both"/>
              <w:rPr>
                <w:rFonts w:ascii="Times New Roman" w:hAnsi="Times New Roman" w:cs="Times New Roman"/>
                <w:noProof/>
                <w:sz w:val="22"/>
                <w:szCs w:val="22"/>
              </w:rPr>
            </w:pPr>
            <w:r>
              <w:rPr>
                <w:rFonts w:ascii="Times New Roman" w:hAnsi="Times New Roman"/>
                <w:noProof/>
                <w:sz w:val="22"/>
                <w:szCs w:val="22"/>
              </w:rPr>
              <w:t>W sprawozdaniu Komisji z przeglądu z 2019 r. wskazano problemy, którym ma zaradzić ta inicjatywa. Niniejsza analiza opiera się na szerokim spektrum danych i informacji zwrotnych od zainteresowanych stron wykorzystanych do oceny tego, w jakim stopniu rozporządzenie spełniło swoją rolę oraz jak funkcjonuje rynek usług roamingu w oparciu o obowiązujące przepisy UE dotyczące roamingu. Poniżej przedstawiono zestawienie najważniejszych problemów.</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b/>
                <w:bCs/>
                <w:noProof/>
                <w:sz w:val="22"/>
                <w:szCs w:val="22"/>
              </w:rPr>
              <w:t xml:space="preserve">RLAH nie da się utrzymać </w:t>
            </w:r>
            <w:r>
              <w:rPr>
                <w:rFonts w:ascii="Times New Roman" w:hAnsi="Times New Roman"/>
                <w:noProof/>
                <w:sz w:val="22"/>
                <w:szCs w:val="22"/>
              </w:rPr>
              <w:t xml:space="preserve">bez regulacji opłat hurtowych lub regulacji detalicznych usług roamingu ze względu na niewystarczającą dynamikę konkurencji (niedoskonałość rynku). </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Konsumenci nie zawsze wiedzą, jakiego poziomu usług należy się spodziewać (jakość usług) lub jakie opłaty są pobierane w roamingu za połączenia z usługami o wartości dodanej (wyższe opłaty). Jakość oferowanych usług jest czasami niższa niż w kraju, nawet wtedy gdy równoważna jakość jest dostępna. Nie zawsze zapewnia się bezpłatny dostęp do służb ratunkowych za pomocą alternatywnych środków oraz informacji o lokalizacji osoby wykonującej połączenie – zwłaszcza w przypadku użytkowników końcowych z niepełnosprawnościami.</w:t>
            </w:r>
          </w:p>
          <w:p>
            <w:pPr>
              <w:pStyle w:val="Default"/>
              <w:numPr>
                <w:ilvl w:val="0"/>
                <w:numId w:val="9"/>
              </w:numPr>
              <w:spacing w:after="120"/>
              <w:jc w:val="both"/>
              <w:rPr>
                <w:rFonts w:ascii="Times New Roman" w:hAnsi="Times New Roman" w:cs="Times New Roman"/>
                <w:noProof/>
                <w:sz w:val="22"/>
                <w:szCs w:val="22"/>
              </w:rPr>
            </w:pPr>
            <w:r>
              <w:rPr>
                <w:rFonts w:ascii="Times New Roman" w:hAnsi="Times New Roman"/>
                <w:noProof/>
                <w:sz w:val="22"/>
                <w:szCs w:val="22"/>
              </w:rPr>
              <w:t>Dostawcy usług roamingu mają czasem problemy z uzyskaniem hurtowego dostępu do usług roamingu poprzez wybrane przez siebie sieci. Ponadto, ze względu na brak przejrzystości w odniesieniu do połączeń z usługami o wartości dodanej, dostawcy usług roamingu nie są w stanie ustalić odpowiadających tym usługom zakresów numeracyjnych, w związku z czym mogą ponieść nieoczekiwane koszty. Obecne przepisy UE dotyczące roamingu mogą nie być wystarczająco odpowiednie, aby stworzyć warunki dla innowacji i uwzględnić technologiczne i biznesowe zmiany.</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rPr>
            </w:pPr>
            <w:r>
              <w:rPr>
                <w:rFonts w:ascii="Times New Roman" w:hAnsi="Times New Roman"/>
                <w:b/>
                <w:noProof/>
              </w:rPr>
              <w:t>Co należy osiągnąć?</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Niniejsza inicjatywa ma następujące cele:</w:t>
            </w:r>
          </w:p>
          <w:p>
            <w:pPr>
              <w:spacing w:after="120" w:line="240" w:lineRule="auto"/>
              <w:jc w:val="both"/>
              <w:rPr>
                <w:rFonts w:ascii="Times New Roman" w:hAnsi="Times New Roman" w:cs="Times New Roman"/>
                <w:noProof/>
              </w:rPr>
            </w:pPr>
            <w:r>
              <w:rPr>
                <w:rFonts w:ascii="Times New Roman" w:hAnsi="Times New Roman"/>
                <w:noProof/>
              </w:rPr>
              <w:t xml:space="preserve">A) </w:t>
            </w:r>
            <w:r>
              <w:rPr>
                <w:rFonts w:ascii="Times New Roman" w:hAnsi="Times New Roman"/>
                <w:b/>
                <w:noProof/>
              </w:rPr>
              <w:t>Zapewnienie, aby RLAH miał zrównoważony charakter w odniesieniu do operatorów i aby mogli oni odzyskać koszty świadczenia usług roamingu na poziomie hurtowym</w:t>
            </w:r>
            <w:r>
              <w:rPr>
                <w:rFonts w:ascii="Times New Roman" w:hAnsi="Times New Roman"/>
                <w:noProof/>
              </w:rPr>
              <w:t xml:space="preserve">, przy zachowaniu zachęt do inwestowania w sieci odwiedzane i uniknięciu zakłócenia konkurencji krajowej na rynkach odwiedzanych. </w:t>
            </w:r>
          </w:p>
          <w:p>
            <w:pPr>
              <w:spacing w:after="120" w:line="240" w:lineRule="auto"/>
              <w:jc w:val="both"/>
              <w:rPr>
                <w:rFonts w:ascii="Times New Roman" w:eastAsia="Times New Roman" w:hAnsi="Times New Roman" w:cs="Times New Roman"/>
                <w:noProof/>
              </w:rPr>
            </w:pPr>
            <w:r>
              <w:rPr>
                <w:rFonts w:ascii="Times New Roman" w:hAnsi="Times New Roman"/>
                <w:noProof/>
              </w:rPr>
              <w:t>B) Osiągnięcie</w:t>
            </w:r>
            <w:r>
              <w:rPr>
                <w:rFonts w:ascii="Times New Roman" w:hAnsi="Times New Roman"/>
                <w:b/>
                <w:noProof/>
              </w:rPr>
              <w:t xml:space="preserve"> pełnej satysfakcji z RLAH po stronie klientów korzystających z roamingu</w:t>
            </w:r>
            <w:r>
              <w:rPr>
                <w:rFonts w:ascii="Times New Roman" w:hAnsi="Times New Roman"/>
                <w:noProof/>
              </w:rPr>
              <w:t xml:space="preserve"> oraz przekonanie użytkowników końcowych, by korzystali z usług łączności podczas podróży po terytorium UE. Konsumentom i biznesowym użytkownikom końcowym powinna przysługiwać taka sama jakość usług w roamingu, jak w kraju, powinni oni mieć możliwość korzystania z innowacyjnych usług i ze zwiększonej przejrzystości, aby uniknąć szokująco wysokich rachunków za połączenia z usługami o wartości dodanej. Należy także zapewnić równoważny dostęp do służb ratunkowych dla wszystkich, bez względu na to, czy w kraju czy zagranicą.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C) </w:t>
            </w:r>
            <w:r>
              <w:rPr>
                <w:rFonts w:ascii="Times New Roman" w:hAnsi="Times New Roman"/>
                <w:b/>
                <w:noProof/>
              </w:rPr>
              <w:t>Ułatwienie innowacji</w:t>
            </w:r>
            <w:r>
              <w:rPr>
                <w:rFonts w:ascii="Times New Roman" w:hAnsi="Times New Roman"/>
                <w:noProof/>
              </w:rPr>
              <w:t>, zapewnienie hurtowego dostępu do usług roamingu poprzez wybrane technologie sieciowe oraz pomoc operatorom w uniknięciu strat związanych z usługami o wartości dodanej. Celem omawianej inicjatywy jest również wprowadzenie uproszczeń i zmniejszenie obciążeń po stronie operatorów i innych zainteresowanych stron.</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lastRenderedPageBreak/>
              <w:t>Na czym polega wartość dodana podjęcia działań na poziomie UE (pomocniczość)?</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Na rynku usług roamingu międzynarodowego konieczne jest podjęcie działań na szczeblu UE w celu poprawy jednolitego rynku łączności elektronicznej. Jak zauważono w przełomowym wyroku Trybunału Sprawiedliwości w sprawie roamingu (C-58/08 Vodafone), sam fakt, że </w:t>
            </w:r>
            <w:r>
              <w:rPr>
                <w:rFonts w:ascii="Times New Roman" w:hAnsi="Times New Roman"/>
                <w:b/>
                <w:noProof/>
              </w:rPr>
              <w:t>roaming międzynarodowy ma charakter transgraniczny</w:t>
            </w:r>
            <w:r>
              <w:rPr>
                <w:rFonts w:ascii="Times New Roman" w:hAnsi="Times New Roman"/>
                <w:noProof/>
              </w:rPr>
              <w:t>, uzasadnia podjęcie działań na szczeblu UE, ponieważ samodzielne działania państw członkowskich w tej kwestii nie mogą być skuteczne. Ponadto krajowe organy regulacyjne nie dysponują narzędziami do samodzielnego rozwiązywania problemów.</w:t>
            </w:r>
          </w:p>
          <w:p>
            <w:pPr>
              <w:spacing w:after="0" w:line="240" w:lineRule="auto"/>
              <w:jc w:val="both"/>
              <w:rPr>
                <w:rFonts w:ascii="Times New Roman" w:eastAsia="Times New Roman" w:hAnsi="Times New Roman" w:cs="Times New Roman"/>
                <w:noProof/>
              </w:rPr>
            </w:pPr>
            <w:r>
              <w:rPr>
                <w:rFonts w:ascii="Times New Roman" w:hAnsi="Times New Roman"/>
                <w:noProof/>
              </w:rPr>
              <w:t xml:space="preserve">Ustalenia zawarte w sprawozdaniu Komisji w sprawie przeglądu rynku usług roamingu z 2019 r. oraz ustalenia Organu Europejskich Regulatorów Łączności Elektronicznej (BEREC) potwierdzają, że zniesienie detalicznych opłat roamingowych w EOG znacznie przyczyniło się do urzeczywistnienia jednolitego rynku. Użytkownicy końcowi mogą również korzystać z RLAH, którego skala znacznie wzrosła od czerwca 2017 r. W sprawozdaniu stwierdza się, że pomimo oznak pewnej dynamiki konkurencyjnej zarówno na rynku detalicznych usług roamingu, jak i na rynku hurtowych usług roamingu podstawowe warunki konkurencji nie uległy zmianie i prawdopodobnie nie ulegną zmianie w najbliższej przyszłości na tyle, żeby możliwa była rezygnacja z regulacji detalicznego lub hurtowego rynku usług roamingu. Wartość dodana umożliwia użytkownikom końcowym trwałe i pełne korzystanie z RLAH dzięki ogólnounijnym pułapom hurtowym, które może zapewnić wyłącznie instrument UE.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B. Rozwiązania</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Jakie są różne warianty działań służących osiągnięciu celów?</w:t>
            </w:r>
            <w:r>
              <w:rPr>
                <w:rFonts w:ascii="Times New Roman" w:hAnsi="Times New Roman"/>
                <w:noProof/>
                <w:sz w:val="24"/>
                <w:szCs w:val="20"/>
              </w:rPr>
              <w:t xml:space="preserve"> </w:t>
            </w:r>
            <w:r>
              <w:rPr>
                <w:rFonts w:ascii="Times New Roman" w:hAnsi="Times New Roman"/>
                <w:b/>
                <w:noProof/>
                <w:sz w:val="24"/>
                <w:szCs w:val="20"/>
              </w:rPr>
              <w:t>Czy wskazano preferowany wariant? Jeżeli nie, dlaczego?</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Komisja proponuje i ocenia cztery różne warianty: </w:t>
            </w:r>
          </w:p>
          <w:p>
            <w:pPr>
              <w:spacing w:after="120" w:line="240" w:lineRule="auto"/>
              <w:jc w:val="both"/>
              <w:rPr>
                <w:rFonts w:ascii="Times New Roman" w:eastAsia="Times New Roman" w:hAnsi="Times New Roman" w:cs="Times New Roman"/>
                <w:noProof/>
              </w:rPr>
            </w:pPr>
            <w:r>
              <w:rPr>
                <w:rFonts w:ascii="Times New Roman" w:hAnsi="Times New Roman"/>
                <w:b/>
                <w:noProof/>
              </w:rPr>
              <w:t>Wariant 1</w:t>
            </w:r>
            <w:r>
              <w:rPr>
                <w:rFonts w:ascii="Times New Roman" w:hAnsi="Times New Roman"/>
                <w:noProof/>
              </w:rPr>
              <w:t xml:space="preserve"> (</w:t>
            </w:r>
            <w:r>
              <w:rPr>
                <w:rFonts w:ascii="Times New Roman" w:hAnsi="Times New Roman"/>
                <w:b/>
                <w:noProof/>
              </w:rPr>
              <w:t>scenariusz podstawowy) —</w:t>
            </w:r>
            <w:r>
              <w:rPr>
                <w:rFonts w:ascii="Times New Roman" w:hAnsi="Times New Roman"/>
                <w:noProof/>
              </w:rPr>
              <w:t xml:space="preserve"> </w:t>
            </w:r>
            <w:r>
              <w:rPr>
                <w:rFonts w:ascii="Times New Roman" w:hAnsi="Times New Roman"/>
                <w:b/>
                <w:noProof/>
              </w:rPr>
              <w:t>przedłużenie terminu obowiązywania przepisów, utrzymanie obecnych przepisów rozporządzenia w sprawie roamingu zarówno na poziomie detalicznym, jak i hurtowym.</w:t>
            </w:r>
            <w:r>
              <w:rPr>
                <w:rFonts w:ascii="Times New Roman" w:hAnsi="Times New Roman"/>
                <w:noProof/>
              </w:rPr>
              <w:t xml:space="preserve"> </w:t>
            </w:r>
          </w:p>
          <w:p>
            <w:pPr>
              <w:spacing w:after="120" w:line="240" w:lineRule="auto"/>
              <w:jc w:val="both"/>
              <w:rPr>
                <w:rFonts w:ascii="Times New Roman" w:eastAsia="Times New Roman" w:hAnsi="Times New Roman" w:cs="Times New Roman"/>
                <w:b/>
                <w:noProof/>
              </w:rPr>
            </w:pPr>
            <w:r>
              <w:rPr>
                <w:rFonts w:ascii="Times New Roman" w:hAnsi="Times New Roman"/>
                <w:b/>
                <w:noProof/>
              </w:rPr>
              <w:t>Wariant 2</w:t>
            </w:r>
            <w:r>
              <w:rPr>
                <w:rFonts w:ascii="Times New Roman" w:hAnsi="Times New Roman"/>
                <w:noProof/>
              </w:rPr>
              <w:t xml:space="preserve"> — </w:t>
            </w:r>
            <w:r>
              <w:rPr>
                <w:rFonts w:ascii="Times New Roman" w:hAnsi="Times New Roman"/>
                <w:b/>
                <w:noProof/>
              </w:rPr>
              <w:t>ciągłość rozporządzenia w sprawie roamingu z wyjaśnieniami</w:t>
            </w:r>
            <w:r>
              <w:rPr>
                <w:rFonts w:ascii="Times New Roman" w:hAnsi="Times New Roman"/>
                <w:noProof/>
              </w:rPr>
              <w:t>,</w:t>
            </w:r>
            <w:r>
              <w:rPr>
                <w:rFonts w:ascii="Times New Roman" w:hAnsi="Times New Roman"/>
                <w:b/>
                <w:noProof/>
              </w:rPr>
              <w:t xml:space="preserve"> większą przejrzystością</w:t>
            </w:r>
            <w:r>
              <w:rPr>
                <w:rFonts w:ascii="Times New Roman" w:hAnsi="Times New Roman"/>
                <w:noProof/>
              </w:rPr>
              <w:t xml:space="preserve"> </w:t>
            </w:r>
            <w:r>
              <w:rPr>
                <w:rFonts w:ascii="Times New Roman" w:hAnsi="Times New Roman"/>
                <w:b/>
                <w:noProof/>
              </w:rPr>
              <w:t xml:space="preserve">i środkami na rzecz wzmocnienia konkurencji. </w:t>
            </w:r>
          </w:p>
          <w:p>
            <w:pPr>
              <w:spacing w:after="120" w:line="240" w:lineRule="auto"/>
              <w:jc w:val="both"/>
              <w:rPr>
                <w:rFonts w:ascii="Times New Roman" w:eastAsia="Times New Roman" w:hAnsi="Times New Roman" w:cs="Times New Roman"/>
                <w:b/>
                <w:noProof/>
              </w:rPr>
            </w:pPr>
            <w:r>
              <w:rPr>
                <w:rFonts w:ascii="Times New Roman" w:hAnsi="Times New Roman"/>
                <w:b/>
                <w:noProof/>
              </w:rPr>
              <w:t xml:space="preserve">Wariant 3 — trwały i pełny RLAH (wariant preferowany). </w:t>
            </w:r>
          </w:p>
          <w:p>
            <w:pPr>
              <w:spacing w:after="120" w:line="240" w:lineRule="auto"/>
              <w:jc w:val="both"/>
              <w:rPr>
                <w:rFonts w:ascii="Times New Roman" w:eastAsia="Times New Roman" w:hAnsi="Times New Roman" w:cs="Times New Roman"/>
                <w:noProof/>
              </w:rPr>
            </w:pPr>
            <w:r>
              <w:rPr>
                <w:rFonts w:ascii="Times New Roman" w:hAnsi="Times New Roman"/>
                <w:b/>
                <w:noProof/>
              </w:rPr>
              <w:t>Wariant 4 — rozszerzone obowiązki na poziomie hurtowym i detalicznym w celu zwiększenia zadowolenia z RLAH.</w:t>
            </w:r>
            <w:r>
              <w:rPr>
                <w:rFonts w:ascii="Times New Roman" w:hAnsi="Times New Roman"/>
                <w:noProof/>
              </w:rPr>
              <w:t xml:space="preserve"> </w:t>
            </w:r>
          </w:p>
          <w:p>
            <w:pPr>
              <w:pStyle w:val="CommentText"/>
              <w:spacing w:after="120"/>
              <w:jc w:val="both"/>
              <w:rPr>
                <w:noProof/>
              </w:rPr>
            </w:pPr>
            <w:r>
              <w:rPr>
                <w:rFonts w:ascii="Times New Roman" w:hAnsi="Times New Roman"/>
                <w:noProof/>
                <w:sz w:val="22"/>
                <w:szCs w:val="22"/>
              </w:rPr>
              <w:t>Preferowanym wariantem jest wariant 3, który zapewniłby najwyższą skuteczność i efektywność w osiąganiu celów przeglądu i przedłużenie terminu obowiązywania rozporządzenia w sprawie roamingu (w wersji przekształconej). Wariant ten obejmuje środki mające na celu zapewnienie świadczenia RLAH w sposób gwarantujący zrównoważony charakter modelu opłat operatorów i proponuje stopniowe obniżanie pułapów na poziomie hurtowym. Wprowadza on lepszy sposób reagowania na zmiany technologiczne i biznesowe oraz zapewnia użytkownikom końcowym pełną satysfakcję z RLAH, jeśli chodzi o jakość usług, usługi o wartości dodanej i zgłoszenia alarmowe. Wariant ten obejmuje horyzontalne uproszczenie oraz środki mające na celu zmniejszenie obciążenia administracyjnego.</w:t>
            </w:r>
            <w:r>
              <w:rPr>
                <w:noProof/>
                <w:sz w:val="22"/>
                <w:szCs w:val="22"/>
              </w:rPr>
              <w:t xml:space="preserve"> </w:t>
            </w:r>
          </w:p>
        </w:tc>
      </w:tr>
      <w:tr>
        <w:tc>
          <w:tcPr>
            <w:tcW w:w="10490" w:type="dxa"/>
            <w:shd w:val="clear" w:color="auto" w:fill="CCCCCC"/>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Jakie są opinie poszczególnych zainteresowanych stron? Jak kształtuje się poparcie dla poszczególnych wariantów? </w:t>
            </w:r>
          </w:p>
        </w:tc>
      </w:tr>
      <w:tr>
        <w:tc>
          <w:tcPr>
            <w:tcW w:w="10490" w:type="dxa"/>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Zainteresowane strony mają różne poglądy na temat poziomu pułapów cenowych, wymogów dotyczących jakości usług oraz dostępu do służb ratunkowych. Duzi przyjmujący operatorzy sieci (w szczególności paneuropejskie konsorcja) zazwyczaj opowiadają się za utrzymaniem pułapów hurtowych na obecnym poziomie. Z drugiej strony mali oddający operatorzy sieci (posiadający „bazę klientów, która korzysta z usług łączności ruchomej za granicą </w:t>
            </w:r>
            <w:r>
              <w:rPr>
                <w:rFonts w:ascii="Times New Roman" w:hAnsi="Times New Roman"/>
                <w:noProof/>
              </w:rPr>
              <w:cr/>
            </w:r>
            <w:r>
              <w:rPr>
                <w:rFonts w:ascii="Times New Roman" w:hAnsi="Times New Roman"/>
                <w:noProof/>
              </w:rPr>
              <w:br/>
              <w:t xml:space="preserve">(...) w większym stopniu w porównaniu z usługami, </w:t>
            </w:r>
            <w:r>
              <w:rPr>
                <w:rFonts w:ascii="Times New Roman" w:hAnsi="Times New Roman"/>
                <w:noProof/>
              </w:rPr>
              <w:cr/>
            </w:r>
            <w:r>
              <w:rPr>
                <w:rFonts w:ascii="Times New Roman" w:hAnsi="Times New Roman"/>
                <w:noProof/>
              </w:rPr>
              <w:br/>
              <w:t xml:space="preserve">z których korzysta baza klientów operatorów partnerskich w jego własnej sieci”) oraz operatorzy wirtualni wydają się popierać znaczne obniżenie pułapów hurtowych. </w:t>
            </w:r>
          </w:p>
        </w:tc>
      </w:tr>
      <w:tr>
        <w:tc>
          <w:tcPr>
            <w:tcW w:w="10490" w:type="dxa"/>
            <w:tcBorders>
              <w:bottom w:val="single" w:sz="4" w:space="0" w:color="auto"/>
            </w:tcBorders>
            <w:shd w:val="clear" w:color="auto" w:fill="CCCCCC"/>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C. Skutki wdrożenia preferowanego wariantu</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Jakie korzyści przyniesie</w:t>
            </w:r>
            <w:r>
              <w:rPr>
                <w:rFonts w:ascii="Times New Roman" w:hAnsi="Times New Roman"/>
                <w:noProof/>
                <w:sz w:val="24"/>
                <w:szCs w:val="20"/>
              </w:rPr>
              <w:t xml:space="preserve"> </w:t>
            </w:r>
            <w:r>
              <w:rPr>
                <w:rFonts w:ascii="Times New Roman" w:hAnsi="Times New Roman"/>
                <w:b/>
                <w:noProof/>
                <w:sz w:val="24"/>
                <w:szCs w:val="20"/>
              </w:rPr>
              <w:t>wdrożenie preferowanego wariantu lub – jeśli go nie wskazano – głównych wariantów?</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 xml:space="preserve">Preferowany wariant równoważy interesy operatorów, gdyż zapewnia świadczenie RLAH w sposób gwarantujący zrównoważony charakter modelu opłat operatorów bez uszczerbku dla zwrotu kosztów świadczenia hurtowych usług roamingu. Niższe pułapy hurtowe oznaczają prawdopodobieństwo obniżenia hurtowych kosztów roamingu w przypadku operatorów oddających. W analizie stabilności Komisji szacuje się, że doprowadzi to do zmniejszenia odsetka operatorów o niezrównoważonym charakterze modelu opłat (ujemna marża roamingowa przekraczająca 3 % ich marży krajowej) i związanego z tym zmniejszenia całkowitej ujemnej marży roamingowej w porównaniu ze scenariuszem bazowym przewidującym 42 % w 2023 r. i 52 % w 2025 r. </w:t>
            </w:r>
          </w:p>
          <w:p>
            <w:pPr>
              <w:spacing w:after="120" w:line="240" w:lineRule="auto"/>
              <w:jc w:val="both"/>
              <w:rPr>
                <w:rFonts w:ascii="Times New Roman" w:eastAsia="Times New Roman" w:hAnsi="Times New Roman" w:cs="Times New Roman"/>
                <w:noProof/>
              </w:rPr>
            </w:pPr>
            <w:r>
              <w:rPr>
                <w:rFonts w:ascii="Times New Roman" w:hAnsi="Times New Roman"/>
                <w:noProof/>
              </w:rPr>
              <w:t xml:space="preserve">Ważne są również </w:t>
            </w:r>
            <w:r>
              <w:rPr>
                <w:rFonts w:ascii="Times New Roman" w:hAnsi="Times New Roman"/>
                <w:b/>
                <w:noProof/>
              </w:rPr>
              <w:t>korzyści dla konsumentów</w:t>
            </w:r>
            <w:r>
              <w:rPr>
                <w:rFonts w:ascii="Times New Roman" w:hAnsi="Times New Roman"/>
                <w:noProof/>
              </w:rPr>
              <w:t xml:space="preserve">; odsetek użytkowników końcowych narażonych na ryzyko dodatkowych opłat, w przypadku gdy operatorowi przyznano odstępstwo w celu zachowania zrównoważonego charakteru roamingu, zostałby zmniejszony o ponad 40 %, a ponadto dalszemu zmniejszeniu uległaby wysokość dodatkowych opłat uiszczanych w wyjątkowych sytuacjach. Wariant ten zwiększy zadowolenie użytkowników końcowych korzystających z roamingu, gdyż przyczyni się do poprawy jakości usług i podniesienia świadomość konsumentów na temat jakości usług, jakiej powinni oczekiwać korzystając z roamingu, oraz pomoże osobom korzystającym z roamingu uniknąć szokująco wysokich rachunków z tytułu połączeń z usługami o wartości dodanej. Z obu wymienionych powyżej względów prawdopodobnie zwiększy się satysfakcja klientów oraz zmniejszy się liczba skarg. </w:t>
            </w:r>
          </w:p>
          <w:p>
            <w:pPr>
              <w:spacing w:after="120" w:line="240" w:lineRule="auto"/>
              <w:jc w:val="both"/>
              <w:rPr>
                <w:rFonts w:ascii="Times New Roman" w:eastAsia="Times New Roman" w:hAnsi="Times New Roman" w:cs="Times New Roman"/>
                <w:noProof/>
              </w:rPr>
            </w:pPr>
            <w:r>
              <w:rPr>
                <w:rFonts w:ascii="Times New Roman" w:hAnsi="Times New Roman"/>
                <w:noProof/>
              </w:rPr>
              <w:t>Omawiany wariant wyposaża również operatorów w narzędzia niezbędne do wdrożenia bezpłatnego dostępu do służb ratunkowych oraz zapewnienia informacji o lokalizacji osoby wykonującej połączenie w przypadku wszystkich użytkowników końcowych korzystających z roamingu, w tym użytkowników końcowych z niepełnosprawnościami. Pomoże to chronić zdrowie, życie lub mienie tych użytkowników końcowych.</w:t>
            </w:r>
          </w:p>
          <w:p>
            <w:pPr>
              <w:spacing w:after="120" w:line="240" w:lineRule="auto"/>
              <w:jc w:val="both"/>
              <w:rPr>
                <w:rFonts w:ascii="Times New Roman" w:eastAsia="Times New Roman" w:hAnsi="Times New Roman" w:cs="Times New Roman"/>
                <w:noProof/>
              </w:rPr>
            </w:pPr>
            <w:r>
              <w:rPr>
                <w:rFonts w:ascii="Times New Roman" w:hAnsi="Times New Roman"/>
                <w:noProof/>
              </w:rPr>
              <w:t>Ponadto preferowany wariant zmierza do tego, aby konsumenci i użytkownicy biznesowi będący w podróży mogli czerpać korzyści z rozwoju technologicznego i innowacji opartych na technologii 5G.</w:t>
            </w:r>
          </w:p>
          <w:p>
            <w:pPr>
              <w:spacing w:after="120" w:line="240" w:lineRule="auto"/>
              <w:jc w:val="both"/>
              <w:rPr>
                <w:rFonts w:ascii="Times New Roman" w:hAnsi="Times New Roman" w:cs="Times New Roman"/>
                <w:noProof/>
              </w:rPr>
            </w:pPr>
            <w:r>
              <w:rPr>
                <w:rFonts w:ascii="Times New Roman" w:hAnsi="Times New Roman"/>
                <w:noProof/>
              </w:rPr>
              <w:t>Oczekuje się również pewnych (niewielkich) korzyści dla środowiska dzięki zapewnieniu osobom korzystającym z roamingu łatwiejszego dostępu do przyjaznych dla środowiska usług i aplikacji mobilnych (np. nowych usług łączności ruchomej opartych na technologii 5G oraz na internecie rzeczy służących połączeniu z internetem pojazdów i infrastruktury drogowej, co mogłoby ograniczyć liczbę ofiar w ludziach oraz zmniejszyć koszty paliwa i zanieczyszczenie powietrza).</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Jakie są koszty wdrożenia preferowanego wariantu lub – jeśli go nie wskazano – głównych wariantów?</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 xml:space="preserve">Obniżenie pułapów hurtowych wiąże się z prawdopodobnym zmniejszeniem przychodów z hurtowych usług roamingu po stronie operatorów przyjmujących, przy jednoczesnym utrzymaniu pełnego zwrotu kosztów. W przypadku operatorów ewentualne zmniejszenie przychodów z detalicznych usług roamingu wynika z niższych dodatkowych opłat, którymi konsumenci zostaną obciążeni w wyjątkowych sytuacjach – jeśli opłaty dodatkowe zostaną dozwolone (polityka uczciwego korzystania i odstępstwo w celu zachowania zrównoważonego charakteru roamingu), przy czym wspomniane opłaty nie mogą przekraczać pułapów hurtowych. Dodatkowe koszty przestrzegania przepisów po stronie operatorów i organów administracji są niewielkie (szacuje się, że wynoszą one średnio mniej niż 6 osobodni rocznie dla każdego podmiotu). </w:t>
            </w:r>
          </w:p>
          <w:p>
            <w:pPr>
              <w:spacing w:after="120" w:line="240" w:lineRule="auto"/>
              <w:jc w:val="both"/>
              <w:rPr>
                <w:rFonts w:ascii="Times New Roman" w:eastAsia="Times New Roman" w:hAnsi="Times New Roman" w:cs="Times New Roman"/>
                <w:noProof/>
              </w:rPr>
            </w:pPr>
            <w:r>
              <w:rPr>
                <w:rFonts w:ascii="Times New Roman" w:hAnsi="Times New Roman"/>
                <w:noProof/>
              </w:rPr>
              <w:t>Proponowany środek dotyczący dostępu do służb ratunkowych wiąże się z kosztami wdrożenia. Koszty te wynikają jednak głównie z wdrażania praw i obowiązków już określonych w innych przepisach UE (w Europejskim kodeksie łączności elektronicznej). Ponadto stworzenie i prowadzenie bazy danych zawierającej zakresy numeracyjne usług o wartości dodanej z całego EOG pociągnie za sobą koszty po stronie BEREC (odpowiedzialnego za oba zadania) oraz niewielkie koszty po stronie krajowych organów regulacyjnych (odpowiedzialnych za aktualizację zawartości bazy danych).</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Jakie skutki przewiduje się dla małych i średnich przedsiębiorstw (MŚP)? </w:t>
            </w:r>
          </w:p>
        </w:tc>
      </w:tr>
      <w:tr>
        <w:tc>
          <w:tcPr>
            <w:tcW w:w="10490" w:type="dxa"/>
            <w:tcBorders>
              <w:bottom w:val="single" w:sz="4" w:space="0" w:color="auto"/>
            </w:tcBorders>
            <w:shd w:val="clear" w:color="auto" w:fill="auto"/>
          </w:tcPr>
          <w:p>
            <w:pPr>
              <w:spacing w:after="120" w:line="240" w:lineRule="auto"/>
              <w:jc w:val="both"/>
              <w:rPr>
                <w:rFonts w:ascii="Times New Roman" w:hAnsi="Times New Roman" w:cs="Times New Roman"/>
                <w:noProof/>
              </w:rPr>
            </w:pPr>
            <w:r>
              <w:rPr>
                <w:rFonts w:ascii="Times New Roman" w:hAnsi="Times New Roman"/>
                <w:noProof/>
              </w:rPr>
              <w:t>MŚP będą mogły czerpać pełne korzyści z RLAH ze względu na poprawę jakości usług i mniejsze ryzyko zastosowania odstępstw w celu zachowania zrównoważonego charakteru roamingu. MŚP i twórcy aplikacji będą czerpać dodatkowe korzyści z używania aplikacji przez konsumentów przekraczających granice, którzy skorzystają z lepszej i znanej jakości usług. Nowe aplikacje i usługi, które wymagają wysokiej jakości usług lub technologii 5G, mogą odnieść pośrednie korzyści: niezakłócone korzystanie z nich w obrębie rynku wewnętrznego może ułatwić ich upowszechnienie.</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b/>
                <w:i/>
                <w:noProof/>
                <w:sz w:val="24"/>
                <w:szCs w:val="20"/>
              </w:rPr>
            </w:pPr>
            <w:r>
              <w:rPr>
                <w:rFonts w:ascii="Times New Roman" w:hAnsi="Times New Roman"/>
                <w:b/>
                <w:noProof/>
                <w:sz w:val="24"/>
                <w:szCs w:val="20"/>
              </w:rPr>
              <w:t>Czy przewiduje się znaczące skutki</w:t>
            </w:r>
            <w:r>
              <w:rPr>
                <w:rFonts w:ascii="Times New Roman" w:hAnsi="Times New Roman"/>
                <w:noProof/>
                <w:sz w:val="24"/>
                <w:szCs w:val="20"/>
              </w:rPr>
              <w:t xml:space="preserve"> </w:t>
            </w:r>
            <w:r>
              <w:rPr>
                <w:rFonts w:ascii="Times New Roman" w:hAnsi="Times New Roman"/>
                <w:b/>
                <w:noProof/>
                <w:sz w:val="24"/>
                <w:szCs w:val="20"/>
              </w:rPr>
              <w:t>dla budżetów i administracji krajowych?</w:t>
            </w:r>
            <w:r>
              <w:rPr>
                <w:rFonts w:ascii="Times New Roman" w:hAnsi="Times New Roman"/>
                <w:noProof/>
                <w:sz w:val="24"/>
                <w:szCs w:val="20"/>
              </w:rPr>
              <w:t xml:space="preserve"> </w:t>
            </w:r>
          </w:p>
        </w:tc>
      </w:tr>
      <w:tr>
        <w:tc>
          <w:tcPr>
            <w:tcW w:w="10490" w:type="dxa"/>
            <w:shd w:val="clear" w:color="auto" w:fill="auto"/>
          </w:tcPr>
          <w:p>
            <w:pPr>
              <w:spacing w:after="240" w:line="240" w:lineRule="auto"/>
              <w:jc w:val="both"/>
              <w:rPr>
                <w:rFonts w:ascii="Times New Roman" w:eastAsia="Times New Roman" w:hAnsi="Times New Roman" w:cs="Times New Roman"/>
                <w:i/>
                <w:noProof/>
                <w:sz w:val="24"/>
                <w:szCs w:val="20"/>
              </w:rPr>
            </w:pPr>
            <w:r>
              <w:rPr>
                <w:rFonts w:ascii="Times New Roman" w:hAnsi="Times New Roman"/>
                <w:noProof/>
              </w:rPr>
              <w:t>Nie przewiduje się znaczących skutków dla budżetów i administracji krajowych.</w:t>
            </w:r>
            <w:r>
              <w:rPr>
                <w:rFonts w:ascii="Times New Roman" w:hAnsi="Times New Roman"/>
                <w:noProof/>
                <w:sz w:val="24"/>
                <w:szCs w:val="20"/>
              </w:rPr>
              <w:t xml:space="preserve"> </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Czy wystąpią inne znaczące skutki?</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rPr>
                <w:rFonts w:ascii="Times New Roman" w:hAnsi="Times New Roman" w:cs="Times New Roman"/>
                <w:noProof/>
                <w:sz w:val="24"/>
                <w:szCs w:val="24"/>
              </w:rPr>
            </w:pPr>
            <w:r>
              <w:rPr>
                <w:rFonts w:ascii="Times New Roman" w:hAnsi="Times New Roman"/>
                <w:noProof/>
              </w:rPr>
              <w:t>Zmniejszenie obciążenia administracyjnego jest możliwe dzięki wnioskowi dotyczącemu zmiany, w razie potrzeby, pułapów hurtowych w drodze aktu delegowanego, co upraszcza proces legislacyjny (po 2025 r.). Dalsze oszczędności wiążą się ze sprawnym systemem monitorowania, uproszczonymi wymogami wobec operatorów spoza strefy euro oraz uchyleniem nieaktualnych przepisów.</w:t>
            </w:r>
          </w:p>
        </w:tc>
      </w:tr>
      <w:tr>
        <w:tc>
          <w:tcPr>
            <w:tcW w:w="10490" w:type="dxa"/>
            <w:tcBorders>
              <w:bottom w:val="single" w:sz="4" w:space="0" w:color="auto"/>
            </w:tcBorders>
            <w:shd w:val="clear" w:color="auto" w:fill="D9D9D9"/>
          </w:tcPr>
          <w:p>
            <w:pPr>
              <w:spacing w:after="240" w:line="240" w:lineRule="auto"/>
              <w:jc w:val="both"/>
              <w:rPr>
                <w:rFonts w:ascii="Times New Roman" w:eastAsia="Times New Roman" w:hAnsi="Times New Roman" w:cs="Times New Roman"/>
                <w:i/>
                <w:noProof/>
                <w:sz w:val="24"/>
                <w:szCs w:val="20"/>
              </w:rPr>
            </w:pPr>
            <w:r>
              <w:rPr>
                <w:rFonts w:ascii="Times New Roman" w:hAnsi="Times New Roman"/>
                <w:b/>
                <w:noProof/>
                <w:sz w:val="24"/>
                <w:szCs w:val="20"/>
              </w:rPr>
              <w:t>Proporcjonalność?</w:t>
            </w:r>
            <w:r>
              <w:rPr>
                <w:rFonts w:ascii="Times New Roman" w:hAnsi="Times New Roman"/>
                <w:noProof/>
                <w:sz w:val="24"/>
                <w:szCs w:val="20"/>
              </w:rPr>
              <w:t xml:space="preserve">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Preferowany wariant zawiera zestaw środków, które nie są ani inwazyjne, ani nieproporcjonalne. Środki te ograniczają się do aspektów, które zostały zaobserwowane, a nie zostały w wystarczającym stopniu uwzględnione w obecnym rozporządzeniu, przy czym nie można im skutecznie zaradzić na poziomie krajowym. Ograniczony do 10 lat okres obowiązywania jest dodatkowym zabezpieczeniem proporcjonalność.</w:t>
            </w:r>
          </w:p>
        </w:tc>
      </w:tr>
      <w:tr>
        <w:tc>
          <w:tcPr>
            <w:tcW w:w="10490" w:type="dxa"/>
            <w:tcBorders>
              <w:bottom w:val="single" w:sz="4" w:space="0" w:color="auto"/>
            </w:tcBorders>
            <w:shd w:val="clear" w:color="auto" w:fill="C0C0C0"/>
          </w:tcPr>
          <w:p>
            <w:pPr>
              <w:spacing w:after="240" w:line="240" w:lineRule="auto"/>
              <w:jc w:val="both"/>
              <w:rPr>
                <w:rFonts w:ascii="Times New Roman" w:eastAsia="Times New Roman" w:hAnsi="Times New Roman" w:cs="Times New Roman"/>
                <w:b/>
                <w:noProof/>
                <w:sz w:val="24"/>
                <w:szCs w:val="20"/>
              </w:rPr>
            </w:pPr>
            <w:r>
              <w:rPr>
                <w:rFonts w:ascii="Times New Roman" w:hAnsi="Times New Roman"/>
                <w:b/>
                <w:noProof/>
                <w:sz w:val="24"/>
                <w:szCs w:val="20"/>
              </w:rPr>
              <w:t>D. Działania następcze</w:t>
            </w:r>
          </w:p>
        </w:tc>
      </w:tr>
      <w:tr>
        <w:tc>
          <w:tcPr>
            <w:tcW w:w="10490" w:type="dxa"/>
            <w:tcBorders>
              <w:bottom w:val="single" w:sz="4" w:space="0" w:color="auto"/>
            </w:tcBorders>
            <w:shd w:val="clear" w:color="auto" w:fill="E6E6E6"/>
          </w:tcPr>
          <w:p>
            <w:pPr>
              <w:spacing w:after="240" w:line="240" w:lineRule="auto"/>
              <w:jc w:val="both"/>
              <w:rPr>
                <w:rFonts w:ascii="Times New Roman" w:eastAsia="Times New Roman" w:hAnsi="Times New Roman" w:cs="Times New Roman"/>
                <w:noProof/>
                <w:sz w:val="24"/>
                <w:szCs w:val="20"/>
              </w:rPr>
            </w:pPr>
            <w:r>
              <w:rPr>
                <w:rFonts w:ascii="Times New Roman" w:hAnsi="Times New Roman"/>
                <w:b/>
                <w:noProof/>
                <w:sz w:val="24"/>
                <w:szCs w:val="20"/>
              </w:rPr>
              <w:t xml:space="preserve">Kiedy nastąpi przegląd przyjętej polityki? </w:t>
            </w:r>
          </w:p>
        </w:tc>
      </w:tr>
      <w:tr>
        <w:tc>
          <w:tcPr>
            <w:tcW w:w="10490" w:type="dxa"/>
            <w:tcBorders>
              <w:bottom w:val="single" w:sz="4" w:space="0" w:color="auto"/>
            </w:tcBorders>
            <w:shd w:val="clear" w:color="auto" w:fill="auto"/>
          </w:tcPr>
          <w:p>
            <w:pPr>
              <w:spacing w:after="120" w:line="240" w:lineRule="auto"/>
              <w:jc w:val="both"/>
              <w:rPr>
                <w:rFonts w:ascii="Times New Roman" w:eastAsia="Times New Roman" w:hAnsi="Times New Roman" w:cs="Times New Roman"/>
                <w:noProof/>
              </w:rPr>
            </w:pPr>
            <w:r>
              <w:rPr>
                <w:rFonts w:ascii="Times New Roman" w:hAnsi="Times New Roman"/>
                <w:noProof/>
              </w:rPr>
              <w:t>Komisja proponuje, aby nowe rozporządzenie obowiązywało przez 10 lat, co zagwarantuje pewność na rynku i zminimalizuje obciążenia regulacyjne. Oczekuje się, że stan konkurencji na rynku nie zmieni się znacząco w tym okresie. Pierwsze sprawozdanie z przeglądu planowane jest na 2025 r., kiedy to Komisja oceni funkcjonowanie rynku roamingu i to, czy istnieje potrzeba dokonania przeglądu polityki w celu sprostania pojawiającym się wyzwaniom.</w:t>
            </w:r>
          </w:p>
        </w:tc>
      </w:tr>
    </w:tbl>
    <w:p>
      <w:pPr>
        <w:spacing w:after="120"/>
        <w:rPr>
          <w:rFonts w:ascii="Times New Roman" w:hAnsi="Times New Roman" w:cs="Times New Roman"/>
          <w:noProof/>
          <w:sz w:val="2"/>
          <w:szCs w:val="2"/>
        </w:rPr>
      </w:pPr>
    </w:p>
    <w:p>
      <w:pPr>
        <w:spacing w:after="120"/>
        <w:rPr>
          <w:rFonts w:ascii="Times New Roman" w:hAnsi="Times New Roman" w:cs="Times New Roman"/>
          <w:noProof/>
          <w:sz w:val="2"/>
          <w:szCs w:val="2"/>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p/>
  </w:endnote>
  <w:endnote w:type="continuationSeparator" w:id="0">
    <w:p>
      <w:pPr>
        <w:spacing w:after="0" w:line="240" w:lineRule="auto"/>
      </w:pPr>
      <w:r>
        <w:continuationSeparator/>
      </w:r>
    </w:p>
    <w:p/>
  </w:endnote>
  <w:endnote w:type="continuationNotice" w:id="1">
    <w:p>
      <w:pPr>
        <w:spacing w:after="0" w:line="240" w:lineRule="auto"/>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828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AB1"/>
    <w:multiLevelType w:val="hybridMultilevel"/>
    <w:tmpl w:val="11ECD4BA"/>
    <w:lvl w:ilvl="0" w:tplc="F90E407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A64DB"/>
    <w:multiLevelType w:val="hybridMultilevel"/>
    <w:tmpl w:val="B03A4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2F170F"/>
    <w:multiLevelType w:val="hybridMultilevel"/>
    <w:tmpl w:val="8AFA0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2847"/>
        </w:tabs>
        <w:ind w:left="2847" w:hanging="720"/>
      </w:pPr>
    </w:lvl>
    <w:lvl w:ilvl="3">
      <w:start w:val="1"/>
      <w:numFmt w:val="decimal"/>
      <w:lvlText w:val="%1.%2.%3.%4."/>
      <w:lvlJc w:val="left"/>
      <w:pPr>
        <w:tabs>
          <w:tab w:val="num" w:pos="2706"/>
        </w:tabs>
        <w:ind w:left="2706"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4977C3"/>
    <w:multiLevelType w:val="hybridMultilevel"/>
    <w:tmpl w:val="773E22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78A7293"/>
    <w:multiLevelType w:val="hybridMultilevel"/>
    <w:tmpl w:val="76B8E91A"/>
    <w:lvl w:ilvl="0" w:tplc="105AB996">
      <w:start w:val="1"/>
      <w:numFmt w:val="lowerRoman"/>
      <w:lvlText w:val="(%1)"/>
      <w:lvlJc w:val="left"/>
      <w:pPr>
        <w:ind w:left="720" w:hanging="720"/>
      </w:pPr>
      <w:rPr>
        <w:rFonts w:ascii="Georgia" w:eastAsia="Georgia" w:hAnsi="Georgia" w:cs="Georg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1F37FE"/>
    <w:multiLevelType w:val="hybridMultilevel"/>
    <w:tmpl w:val="765C4548"/>
    <w:lvl w:ilvl="0" w:tplc="F90E4074">
      <w:start w:val="5"/>
      <w:numFmt w:val="bullet"/>
      <w:lvlText w:val="-"/>
      <w:lvlJc w:val="left"/>
      <w:pPr>
        <w:ind w:left="720" w:hanging="720"/>
      </w:pPr>
      <w:rPr>
        <w:rFonts w:ascii="Times New Roman" w:eastAsiaTheme="minorHAnsi"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9907A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B805A3"/>
    <w:multiLevelType w:val="hybridMultilevel"/>
    <w:tmpl w:val="755E199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1415B"/>
    <w:multiLevelType w:val="hybridMultilevel"/>
    <w:tmpl w:val="E5688A62"/>
    <w:lvl w:ilvl="0" w:tplc="61AA256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warzysz\u261?cy dokumentowi:"/>
    <w:docVar w:name="LW_CORRIGENDUM" w:val="&lt;UNUSED&gt;"/>
    <w:docVar w:name="LW_COVERPAGE_EXISTS" w:val="True"/>
    <w:docVar w:name="LW_COVERPAGE_GUID" w:val="BF603354-C535-4535-BF6E-4F6B63BC50EB"/>
    <w:docVar w:name="LW_COVERPAGE_TYPE" w:val="1"/>
    <w:docVar w:name="LW_CROSSREFERENCE" w:val="{COM(2021) 85 final} - {SEC(2021) 90 final} - {SWD(2021) 28 final} - {SWD(2021) 29 final}"/>
    <w:docVar w:name="LW_DocType" w:val="NORMAL"/>
    <w:docVar w:name="LW_EMISSION" w:val="24.2.2021"/>
    <w:docVar w:name="LW_EMISSION_ISODATE" w:val="2021-02-24"/>
    <w:docVar w:name="LW_EMISSION_LOCATION" w:val="BRX"/>
    <w:docVar w:name="LW_EMISSION_PREFIX" w:val="Bruksela, dnia "/>
    <w:docVar w:name="LW_EMISSION_SUFFIX" w:val=" r."/>
    <w:docVar w:name="LW_ID_DOCTYPE_NONLW" w:val="CP-027"/>
    <w:docVar w:name="LW_LANGUE" w:val="PL"/>
    <w:docVar w:name="LW_LEVEL_OF_SENSITIVITY" w:val="Standard treatment"/>
    <w:docVar w:name="LW_NOM.INST" w:val="KOMISJA EUROPEJSKA"/>
    <w:docVar w:name="LW_NOM.INST_JOINTDOC" w:val="&lt;EMPTY&gt;"/>
    <w:docVar w:name="LW_OBJETACTEPRINCIPAL.CP" w:val="&lt;FMT:Font=Calibri CE&gt;w sprawie roamingu w publicznych sieciach \u322?\u261?czno\u347?ci ruchomej wewn\u261?trz Unii&lt;/FMT&gt;_x000d__x000d__x000b_&lt;FMT:Font=Calibri CE&gt;(wersja przekszta\u322?cona)&lt;/FMT&gt;_x000d__x000d__x000d__x000b_"/>
    <w:docVar w:name="LW_PART_NBR" w:val="1"/>
    <w:docVar w:name="LW_PART_NBR_TOTAL" w:val="1"/>
    <w:docVar w:name="LW_REF.INST.NEW" w:val="SWD"/>
    <w:docVar w:name="LW_REF.INST.NEW_ADOPTED" w:val="final"/>
    <w:docVar w:name="LW_REF.INST.NEW_TEXT" w:val="(2021)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DOKUMENT ROBOCZY S\u321?U\u379?B KOMISJI_x000b__x000b_SPRAWOZDANIE ZE STRESZCZENIA OCENY SKUTKÓW_x000b_"/>
    <w:docVar w:name="LW_TYPEACTEPRINCIPAL.CP" w:val="wniosek dotycz\u261?cy rozporz\u261?dzeni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pl-PL"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pl-PL"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pl-PL"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pl-PL"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pl-PL"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pl-PL"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pl-PL"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pl-PL"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pl-PL"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l-PL"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pl-PL"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Normal"/>
    <w:link w:val="Heading2Char"/>
    <w:autoRedefine/>
    <w:qFormat/>
    <w:pPr>
      <w:keepNext/>
      <w:numPr>
        <w:ilvl w:val="1"/>
        <w:numId w:val="4"/>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qFormat/>
    <w:pPr>
      <w:keepNext/>
      <w:numPr>
        <w:ilvl w:val="2"/>
        <w:numId w:val="4"/>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Normal"/>
    <w:link w:val="Heading4Char"/>
    <w:qFormat/>
    <w:pPr>
      <w:keepNext/>
      <w:numPr>
        <w:ilvl w:val="3"/>
        <w:numId w:val="4"/>
      </w:numPr>
      <w:spacing w:after="240" w:line="240" w:lineRule="auto"/>
      <w:jc w:val="both"/>
      <w:outlineLvl w:val="3"/>
    </w:pPr>
    <w:rPr>
      <w:rFonts w:ascii="Times New Roman" w:eastAsiaTheme="minorEastAsia" w:hAnsi="Times New Roman" w:cs="Times New Roman"/>
      <w:i/>
      <w:sz w:val="24"/>
      <w:szCs w:val="20"/>
      <w:lang w:eastAsia="en-GB"/>
    </w:rPr>
  </w:style>
  <w:style w:type="paragraph" w:styleId="Heading5">
    <w:name w:val="heading 5"/>
    <w:basedOn w:val="Normal"/>
    <w:next w:val="Normal"/>
    <w:link w:val="Heading5Char"/>
    <w:uiPriority w:val="9"/>
    <w:semiHidden/>
    <w:unhideWhenUsed/>
    <w:qFormat/>
    <w:pPr>
      <w:keepNext/>
      <w:keepLines/>
      <w:numPr>
        <w:ilvl w:val="4"/>
        <w:numId w:val="4"/>
      </w:numPr>
      <w:spacing w:before="40" w:after="0" w:line="240" w:lineRule="auto"/>
      <w:jc w:val="both"/>
      <w:outlineLvl w:val="4"/>
    </w:pPr>
    <w:rPr>
      <w:rFonts w:asciiTheme="majorHAnsi" w:eastAsiaTheme="majorEastAsia" w:hAnsiTheme="majorHAnsi" w:cstheme="majorBidi"/>
      <w:color w:val="365F91" w:themeColor="accent1" w:themeShade="BF"/>
      <w:sz w:val="24"/>
      <w:lang w:eastAsia="en-GB"/>
    </w:rPr>
  </w:style>
  <w:style w:type="paragraph" w:styleId="Heading6">
    <w:name w:val="heading 6"/>
    <w:basedOn w:val="Normal"/>
    <w:next w:val="Normal"/>
    <w:link w:val="Heading6Char"/>
    <w:uiPriority w:val="9"/>
    <w:semiHidden/>
    <w:unhideWhenUsed/>
    <w:qFormat/>
    <w:pPr>
      <w:keepNext/>
      <w:keepLines/>
      <w:numPr>
        <w:ilvl w:val="5"/>
        <w:numId w:val="4"/>
      </w:numPr>
      <w:spacing w:before="40" w:after="0" w:line="240" w:lineRule="auto"/>
      <w:jc w:val="both"/>
      <w:outlineLvl w:val="5"/>
    </w:pPr>
    <w:rPr>
      <w:rFonts w:asciiTheme="majorHAnsi" w:eastAsiaTheme="majorEastAsia" w:hAnsiTheme="majorHAnsi" w:cstheme="majorBidi"/>
      <w:color w:val="243F60" w:themeColor="accent1" w:themeShade="7F"/>
      <w:sz w:val="24"/>
      <w:lang w:eastAsia="en-GB"/>
    </w:rPr>
  </w:style>
  <w:style w:type="paragraph" w:styleId="Heading7">
    <w:name w:val="heading 7"/>
    <w:basedOn w:val="Normal"/>
    <w:next w:val="Normal"/>
    <w:link w:val="Heading7Char"/>
    <w:uiPriority w:val="9"/>
    <w:semiHidden/>
    <w:unhideWhenUsed/>
    <w:qFormat/>
    <w:pPr>
      <w:keepNext/>
      <w:keepLines/>
      <w:numPr>
        <w:ilvl w:val="6"/>
        <w:numId w:val="4"/>
      </w:numPr>
      <w:spacing w:before="40" w:after="0" w:line="240" w:lineRule="auto"/>
      <w:jc w:val="both"/>
      <w:outlineLvl w:val="6"/>
    </w:pPr>
    <w:rPr>
      <w:rFonts w:asciiTheme="majorHAnsi" w:eastAsiaTheme="majorEastAsia" w:hAnsiTheme="majorHAnsi" w:cstheme="majorBidi"/>
      <w:i/>
      <w:iCs/>
      <w:color w:val="243F60" w:themeColor="accent1" w:themeShade="7F"/>
      <w:sz w:val="24"/>
      <w:lang w:eastAsia="en-GB"/>
    </w:rPr>
  </w:style>
  <w:style w:type="paragraph" w:styleId="Heading8">
    <w:name w:val="heading 8"/>
    <w:basedOn w:val="Normal"/>
    <w:next w:val="Normal"/>
    <w:link w:val="Heading8Char"/>
    <w:uiPriority w:val="9"/>
    <w:semiHidden/>
    <w:unhideWhenUsed/>
    <w:qFormat/>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link w:val="FootnotesymbolCarZchn"/>
    <w:uiPriority w:val="99"/>
    <w:qFormat/>
    <w:rPr>
      <w:vertAlign w:val="superscript"/>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lang w:eastAsia="en-GB"/>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numPr>
        <w:numId w:val="3"/>
      </w:numPr>
      <w:spacing w:after="120" w:line="240" w:lineRule="auto"/>
      <w:contextualSpacing/>
      <w:jc w:val="both"/>
    </w:pPr>
    <w:rPr>
      <w:rFonts w:ascii="Times New Roman" w:eastAsia="Times New Roman" w:hAnsi="Times New Roman" w:cs="Times New Roman"/>
      <w:sz w:val="24"/>
      <w:szCs w:val="27"/>
      <w:lang w:eastAsia="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eastAsia="Times New Roman" w:hAnsi="Times New Roman" w:cs="Times New Roman"/>
      <w:sz w:val="24"/>
      <w:szCs w:val="27"/>
      <w:lang w:val="pl-PL" w:eastAsia="en-GB"/>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pl-PL" w:eastAsia="en-GB"/>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pl-PL" w:eastAsia="en-GB"/>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val="pl-PL" w:eastAsia="en-GB"/>
    </w:rPr>
  </w:style>
  <w:style w:type="character" w:customStyle="1" w:styleId="Heading4Char">
    <w:name w:val="Heading 4 Char"/>
    <w:basedOn w:val="DefaultParagraphFont"/>
    <w:link w:val="Heading4"/>
    <w:rPr>
      <w:rFonts w:ascii="Times New Roman" w:eastAsiaTheme="minorEastAsia" w:hAnsi="Times New Roman" w:cs="Times New Roman"/>
      <w:i/>
      <w:sz w:val="24"/>
      <w:szCs w:val="20"/>
      <w:lang w:val="pl-PL"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4"/>
      <w:lang w:val="pl-PL"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4"/>
      <w:lang w:val="pl-PL"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4"/>
      <w:lang w:val="pl-PL"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pl-PL"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pl-PL" w:eastAsia="en-GB"/>
    </w:rPr>
  </w:style>
  <w:style w:type="character" w:styleId="Hyperlink">
    <w:name w:val="Hyperlink"/>
    <w:basedOn w:val="DefaultParagraphFont"/>
    <w:uiPriority w:val="99"/>
    <w:unhideWhenUsed/>
    <w:rPr>
      <w:color w:val="0000FF" w:themeColor="hyperlink"/>
      <w:u w:val="single"/>
    </w:rPr>
  </w:style>
  <w:style w:type="paragraph" w:customStyle="1" w:styleId="Footnote">
    <w:name w:val="Footnote"/>
    <w:basedOn w:val="FootnoteText"/>
    <w:link w:val="FootnoteChar"/>
    <w:qFormat/>
    <w:pPr>
      <w:spacing w:after="0"/>
      <w:ind w:left="0" w:firstLine="0"/>
    </w:pPr>
  </w:style>
  <w:style w:type="character" w:customStyle="1" w:styleId="FootnoteChar">
    <w:name w:val="Footnote Char"/>
    <w:basedOn w:val="DefaultParagraphFont"/>
    <w:link w:val="Footnot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1"/>
    <w:qFormat/>
    <w:pPr>
      <w:widowControl w:val="0"/>
      <w:autoSpaceDE w:val="0"/>
      <w:autoSpaceDN w:val="0"/>
      <w:spacing w:after="0" w:line="240" w:lineRule="auto"/>
      <w:jc w:val="both"/>
    </w:pPr>
    <w:rPr>
      <w:rFonts w:ascii="Georgia" w:eastAsia="Georgia" w:hAnsi="Georgia" w:cs="Georgia"/>
      <w:sz w:val="24"/>
      <w:szCs w:val="24"/>
      <w:lang w:eastAsia="en-GB"/>
    </w:rPr>
  </w:style>
  <w:style w:type="character" w:customStyle="1" w:styleId="BodyTextChar">
    <w:name w:val="Body Text Char"/>
    <w:basedOn w:val="DefaultParagraphFont"/>
    <w:link w:val="BodyText"/>
    <w:uiPriority w:val="1"/>
    <w:rPr>
      <w:rFonts w:ascii="Georgia" w:eastAsia="Georgia" w:hAnsi="Georgia" w:cs="Georgia"/>
      <w:sz w:val="24"/>
      <w:szCs w:val="24"/>
      <w:lang w:val="pl-PL"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320">
      <w:bodyDiv w:val="1"/>
      <w:marLeft w:val="0"/>
      <w:marRight w:val="0"/>
      <w:marTop w:val="0"/>
      <w:marBottom w:val="0"/>
      <w:divBdr>
        <w:top w:val="none" w:sz="0" w:space="0" w:color="auto"/>
        <w:left w:val="none" w:sz="0" w:space="0" w:color="auto"/>
        <w:bottom w:val="none" w:sz="0" w:space="0" w:color="auto"/>
        <w:right w:val="none" w:sz="0" w:space="0" w:color="auto"/>
      </w:divBdr>
    </w:div>
    <w:div w:id="1862819706">
      <w:bodyDiv w:val="1"/>
      <w:marLeft w:val="0"/>
      <w:marRight w:val="0"/>
      <w:marTop w:val="0"/>
      <w:marBottom w:val="0"/>
      <w:divBdr>
        <w:top w:val="none" w:sz="0" w:space="0" w:color="auto"/>
        <w:left w:val="none" w:sz="0" w:space="0" w:color="auto"/>
        <w:bottom w:val="none" w:sz="0" w:space="0" w:color="auto"/>
        <w:right w:val="none" w:sz="0" w:space="0" w:color="auto"/>
      </w:divBdr>
    </w:div>
    <w:div w:id="1967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94F1-1E80-49AD-A187-943EFF63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12152</Characters>
  <Application>Microsoft Office Word</Application>
  <DocSecurity>0</DocSecurity>
  <Lines>166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2021-02-10T06:31:00Z</dcterms:created>
  <dcterms:modified xsi:type="dcterms:W3CDTF">2021-03-02T10:30:00Z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CP-027</vt:lpwstr>
  </property>
</Properties>
</file>