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7ADF0B44-17F9-417A-A453-95580BFB1A28" style="width:450.8pt;height:365.65pt">
            <v:imagedata r:id="rId8" o:title=""/>
          </v:shape>
        </w:pict>
      </w:r>
    </w:p>
    <w:p>
      <w:pPr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Odůvodnění a cíle návrhu</w:t>
      </w:r>
    </w:p>
    <w:p>
      <w:pPr>
        <w:rPr>
          <w:rFonts w:eastAsia="Calibri"/>
          <w:noProof/>
        </w:rPr>
      </w:pPr>
      <w:r>
        <w:rPr>
          <w:noProof/>
        </w:rPr>
        <w:t>Rada na základě doporučení Evropské komise</w:t>
      </w:r>
      <w:r>
        <w:rPr>
          <w:rStyle w:val="FootnoteReference"/>
          <w:rFonts w:eastAsia="Calibri"/>
          <w:noProof/>
          <w:lang w:eastAsia="en-GB"/>
        </w:rPr>
        <w:footnoteReference w:id="1"/>
      </w:r>
      <w:r>
        <w:rPr>
          <w:noProof/>
        </w:rPr>
        <w:t xml:space="preserve"> zmocnila Evropskou komisi, aby jménem Evropské unie sjednala novou dohodu mezi Evropskou unií na jedné straně a vládou Grónska a vládou Dánska na straně druhé a protokol, kterým se stanoví rybolovná práva a finanční příspěvek. Dohodu a protokol vyjednavači parafovali v závěru těchto jednání dne 11. ledna 2021. Nová dohoda zrušuje a nahrazuje stávající dohodu, která vstoupila v platnost dne 28. června 2007;</w:t>
      </w:r>
      <w:r>
        <w:rPr>
          <w:rStyle w:val="FootnoteReference"/>
          <w:noProof/>
        </w:rPr>
        <w:t xml:space="preserve"> 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vztahuje se na období šesti let (2021–2026) ode dne počátku jejího prozatímního provádění a její platnost se automaticky prodlužuje. Nový protokol se vztahuje na období čtyř let (2021–2024) ode dne počátku prozatímního provádění stanoveného v článku 15, jímž je den, kdy byl podepsán oběma stranami, a jeho platnost lze prodloužit o dva roky, pokud se strany tak dohodnou.  </w:t>
      </w:r>
    </w:p>
    <w:p>
      <w:pPr>
        <w:rPr>
          <w:noProof/>
          <w:szCs w:val="24"/>
        </w:rPr>
      </w:pPr>
      <w:r>
        <w:rPr>
          <w:noProof/>
        </w:rPr>
        <w:t>Účelem tohoto návrhu je, aby Rada schválila podpis a prozatímní provádění dohody o partnerství v oblasti udržitelného rybolovu a prováděcího protokolu k této dohodě.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Soulad s platnými předpisy v této oblasti politiky</w:t>
      </w:r>
    </w:p>
    <w:p>
      <w:pPr>
        <w:rPr>
          <w:noProof/>
        </w:rPr>
      </w:pPr>
      <w:r>
        <w:rPr>
          <w:noProof/>
        </w:rPr>
        <w:t>Stávající dohoda o partnerství v odvětví rybolovu mezi Evropskou unií a vládami Dánska a Grónska</w:t>
      </w:r>
      <w:r>
        <w:rPr>
          <w:rStyle w:val="FootnoteReference"/>
          <w:rFonts w:eastAsia="Arial Unicode MS"/>
          <w:noProof/>
        </w:rPr>
        <w:footnoteReference w:id="3"/>
      </w:r>
      <w:r>
        <w:rPr>
          <w:noProof/>
        </w:rPr>
        <w:t xml:space="preserve"> byla podepsána dne 28. června 2007 a vstoupila v platnost dne 2. listopadu 2007 na dobu šesti let. Dohoda se automaticky prodlužuje každých šest let, přičemž k poslednímu prodloužení došlo dne 1. ledna 2019, a proto je stále v platnosti. Na tomto základě vstoupil stávající pětiletý protokol</w:t>
      </w:r>
      <w:r>
        <w:rPr>
          <w:rStyle w:val="FootnoteReference"/>
          <w:rFonts w:eastAsia="Arial Unicode MS"/>
          <w:noProof/>
        </w:rPr>
        <w:footnoteReference w:id="4"/>
      </w:r>
      <w:r>
        <w:rPr>
          <w:noProof/>
        </w:rPr>
        <w:t xml:space="preserve"> k dohodě o partnerství v odvětví rybolovu v platnost dne 1. ledna 2016</w:t>
      </w:r>
      <w:r>
        <w:rPr>
          <w:rStyle w:val="FootnoteReference"/>
          <w:rFonts w:eastAsia="Arial Unicode MS"/>
          <w:noProof/>
        </w:rPr>
        <w:footnoteReference w:id="5"/>
      </w:r>
      <w:r>
        <w:rPr>
          <w:noProof/>
        </w:rPr>
        <w:t xml:space="preserve"> (platnosti pozbyl dne 31. prosince 2020) a stanoví rybolovná práva pro loďstvo Unie a odpovídající finanční příspěvek, který má Unie a majitelé plavidel z EU platit.</w:t>
      </w:r>
    </w:p>
    <w:p>
      <w:pPr>
        <w:rPr>
          <w:noProof/>
          <w:szCs w:val="24"/>
        </w:rPr>
      </w:pPr>
      <w:r>
        <w:rPr>
          <w:noProof/>
        </w:rPr>
        <w:t>Nová dohoda o partnerství v oblasti udržitelného rybolovu a její prováděcí protokol usilují o dosažení priorit reformované společné rybářské politiky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a jejího vnějšího rozměru</w:t>
      </w:r>
      <w:r>
        <w:rPr>
          <w:rStyle w:val="FootnoteReference"/>
          <w:rFonts w:eastAsia="Calibri"/>
          <w:noProof/>
          <w:lang w:eastAsia="en-GB"/>
        </w:rPr>
        <w:footnoteReference w:id="7"/>
      </w:r>
      <w:r>
        <w:rPr>
          <w:noProof/>
        </w:rPr>
        <w:t>, se záměrem pokračovat ve strategickém partnerství mezi Evropskou unií a vládami Grónska a Dánska v odvětví rybolovu a posílit jej.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Cílem protokolu je zajistit rybolovná práva pro plavidla Unie v grónských vodách na základě nejlepších dostupných vědeckých doporučení a v souladu s doporučeními Mezinárodní rady pro průzkum moří (ICES), Organizace pro rybolov v severozápadním Atlantiku (NAFO) a Komise pro rybolov v severovýchodním Atlantiku (NEAFC). Komise formulovala svůj postoj zčásti na základě výsledků hodnocení předchozí dohody, protokolu a do budoucnosti zaměřeného posouzení toho, zda by měla být uzavřena nová dohoda a nový protokol. Protokol Evropské unii i Grónsku umožní v zájmu obou stran úžeji spolupracovat při podpoře odpovědného využívání rybolovných zdrojů ve vodách Grónska a při podpoře úsilí vlády Grónska o rozvoj odvětví rybolovu. </w:t>
      </w:r>
    </w:p>
    <w:p>
      <w:pPr>
        <w:rPr>
          <w:noProof/>
          <w:szCs w:val="24"/>
        </w:rPr>
      </w:pPr>
      <w:r>
        <w:rPr>
          <w:noProof/>
        </w:rPr>
        <w:lastRenderedPageBreak/>
        <w:t xml:space="preserve">Druhy, na které se vztahuje nový protokol, jsou treska obecná, pelagický okouník rodu Sebastes, druhy okouníka žijící při dně, platýs černý, kreveta severní, hlavoun severní, huňáček severní a makrela obecná. Nový protokol stanoví rybolovná práva pro dvanáct plavidel. Přímý rybolovný zájem v souladu s novým protokolem má šest členských států EU, jmenovitě Dánsko, Francie, Německo, Polsko, Litva a Švédsko a v menší míře Španělsko a Portugalsko. </w:t>
      </w:r>
    </w:p>
    <w:p>
      <w:pPr>
        <w:rPr>
          <w:noProof/>
          <w:szCs w:val="24"/>
        </w:rPr>
      </w:pPr>
      <w:r>
        <w:rPr>
          <w:noProof/>
        </w:rPr>
        <w:t>Na oplátku se poskytne z rozpočtu EU Grónsku roční finanční vyrovnání ve výši 16 521 754 EUR, z nichž je 2 931 000 EUR vyčleněno na podporu rybářské politiky Grónska.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Soulad s ostatními politikami Unie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Jednání o nové dohodě o partnerství v oblasti udržitelného rybolovu a jejím prováděcím protokolu je součástí vnější činnosti EU týkající se zámořských zemí a území (ZZÚ).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PRÁVNÍ ZÁKLAD, SUBSIDIARITA A 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Právní základ</w:t>
      </w:r>
    </w:p>
    <w:p>
      <w:pPr>
        <w:rPr>
          <w:rFonts w:eastAsia="Arial Unicode MS"/>
          <w:noProof/>
          <w:u w:color="000000"/>
          <w:bdr w:val="nil"/>
        </w:rPr>
      </w:pPr>
      <w:r>
        <w:rPr>
          <w:noProof/>
        </w:rPr>
        <w:t>Právním základem je čl. 43 odst. 2 Smlouvy o fungování Evropské unie, jenž upravuje společnou rybářskou politiku, a čl. 218 odst. 5 zmíněné smlouvy, jenž umožňuje podpis a prozatímní provádění dohod mezi EU a třetími zeměmi.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Subsidiarita (v případě nevýlučné pravomoci)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Návrh spadá do výlučné pravomoci Evropské unie.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Návrh je přiměřený cíli vytvořit rámec správy v právní, environmentální, hospodářské a sociální oblasti pro rybolovné činnosti prováděné plavidly Unie ve vodách třetích zemí, jak je stanoveno v článku 31 nařízení, kterým se zřizuje společná rybářská politika. Návrh je v souladu s uvedenými ustanoveními a rovněž s ustanoveními o finanční pomoci třetím zemím, která jsou uvedena v článku 32 téhož nařízení.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HODNOCENÍ </w:t>
      </w:r>
      <w:r>
        <w:rPr>
          <w:i/>
          <w:iCs/>
          <w:noProof/>
        </w:rPr>
        <w:t>EX POST</w:t>
      </w:r>
      <w:r>
        <w:rPr>
          <w:noProof/>
        </w:rPr>
        <w:t>, KONZULTACÍ SE ZÚČASTNĚNÝMI STRANAMI A POSOUZENÍ DOPADŮ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Hodnocení </w:t>
      </w:r>
      <w:r>
        <w:rPr>
          <w:i/>
          <w:iCs/>
          <w:noProof/>
          <w:u w:color="000000"/>
          <w:bdr w:val="nil"/>
        </w:rPr>
        <w:t>ex post</w:t>
      </w:r>
      <w:r>
        <w:rPr>
          <w:noProof/>
          <w:u w:color="000000"/>
          <w:bdr w:val="nil"/>
        </w:rPr>
        <w:t xml:space="preserve"> / kontroly účelnosti platných právních předpisů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Hodnocení </w:t>
      </w:r>
      <w:r>
        <w:rPr>
          <w:i/>
          <w:iCs/>
          <w:noProof/>
        </w:rPr>
        <w:t>ex post</w:t>
      </w:r>
      <w:r>
        <w:rPr>
          <w:noProof/>
        </w:rPr>
        <w:t xml:space="preserve"> bylo provedeno v období od dubna do srpna 2019. Konzultace se zúčastněnými subjekty proběhly v rámci </w:t>
      </w:r>
      <w:r>
        <w:rPr>
          <w:i/>
          <w:iCs/>
          <w:noProof/>
        </w:rPr>
        <w:t>ex post</w:t>
      </w:r>
      <w:r>
        <w:rPr>
          <w:noProof/>
        </w:rPr>
        <w:t xml:space="preserve"> hodnocení protokolu za období 2016–2020. Odborníci z členských států byli rovněž konzultováni na technických zasedáních. Z uvedených konzultací vyplývá zájem protokol o rybolovu s vládami Grónska a Dánska obnovit.  Hlavní důvody, proč se mělo za to, že je přínosné protokol obnovit, jsou na jedné straně skutečnost, že dohoda o partnerství v odvětví rybolovu a její protokol jsou velmi důležité pro potřeby EU, pokud jde o poskytování přístupu loďstvu EU a podporu vědecké spolupráce a udržitelného využívání, a na druhé straně skutečnost, že dohoda je důležitá pro grónskou vládu, pokud jde o spolupráci s EU.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Konzultace se zúčastněnými stranami</w:t>
      </w:r>
    </w:p>
    <w:p>
      <w:pPr>
        <w:rPr>
          <w:noProof/>
        </w:rPr>
      </w:pPr>
      <w:r>
        <w:rPr>
          <w:noProof/>
        </w:rPr>
        <w:t>V rámci hodnocení byly konzultovány členské státy, zástupci odvětví, mezinárodní organizace občanské společnosti, jakož i správa rybolovu a občanská společnost Grónska. Konzultace se konaly také v rámci poradního sboru pro dálkový rybolov.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lastRenderedPageBreak/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Sběr a využití výsledků odborných konzultací</w:t>
      </w:r>
    </w:p>
    <w:p>
      <w:pPr>
        <w:spacing w:before="0" w:after="240"/>
        <w:rPr>
          <w:rFonts w:eastAsia="Arial Unicode MS"/>
          <w:noProof/>
          <w:u w:color="000000"/>
          <w:bdr w:val="nil"/>
        </w:rPr>
      </w:pPr>
      <w:r>
        <w:rPr>
          <w:noProof/>
        </w:rPr>
        <w:t xml:space="preserve">Komise zadala v souladu s ustanoveními čl. 31 odst. 10 nařízení, kterým se zřizuje společná rybářská politika, vypracování hodnocení </w:t>
      </w:r>
      <w:r>
        <w:rPr>
          <w:i/>
          <w:iCs/>
          <w:noProof/>
        </w:rPr>
        <w:t>ex post</w:t>
      </w:r>
      <w:r>
        <w:rPr>
          <w:noProof/>
        </w:rPr>
        <w:t xml:space="preserve"> a </w:t>
      </w:r>
      <w:r>
        <w:rPr>
          <w:i/>
          <w:iCs/>
          <w:noProof/>
        </w:rPr>
        <w:t>ex ante</w:t>
      </w:r>
      <w:r>
        <w:rPr>
          <w:noProof/>
        </w:rPr>
        <w:t xml:space="preserve"> nezávislému konzultantovi. 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ROZPOČTOVÉ DŮSLEDKY</w:t>
      </w:r>
    </w:p>
    <w:p>
      <w:pPr>
        <w:rPr>
          <w:noProof/>
        </w:rPr>
      </w:pPr>
      <w:r>
        <w:rPr>
          <w:noProof/>
        </w:rPr>
        <w:t>Roční finanční příspěvek Evropské unie činí 16 521 754 EUR na základě:</w:t>
      </w:r>
    </w:p>
    <w:p>
      <w:pPr>
        <w:pStyle w:val="Point0"/>
        <w:rPr>
          <w:noProof/>
        </w:rPr>
      </w:pPr>
      <w:r>
        <w:rPr>
          <w:noProof/>
        </w:rPr>
        <w:t>a)</w:t>
      </w:r>
      <w:r>
        <w:rPr>
          <w:noProof/>
        </w:rPr>
        <w:tab/>
        <w:t>roční částky za přístup k rybolovným zdrojům pro kategorie uvedené v protokolu, stanovené na 13 590 754 EUR po dobu platnosti protokolu;</w:t>
      </w:r>
    </w:p>
    <w:p>
      <w:pPr>
        <w:pStyle w:val="Point0"/>
        <w:rPr>
          <w:noProof/>
        </w:rPr>
      </w:pPr>
      <w:r>
        <w:rPr>
          <w:noProof/>
        </w:rPr>
        <w:t>b)</w:t>
      </w:r>
      <w:r>
        <w:rPr>
          <w:noProof/>
        </w:rPr>
        <w:tab/>
        <w:t>podpory rozvoje odvětvové politiky rybolovu Grónska ve výši 2 931 000 EUR po dobu platnosti protokolu. Tato podpora po celou dobu platnosti protokolu přispívá k dosažení cílů vnitrostátní politiky v oblasti udržitelného řízení rybolovných zdrojů v mořských lovištích Grónska.</w:t>
      </w:r>
    </w:p>
    <w:p>
      <w:pPr>
        <w:rPr>
          <w:noProof/>
        </w:rPr>
      </w:pPr>
      <w:r>
        <w:rPr>
          <w:noProof/>
        </w:rPr>
        <w:t>Roční částka na prostředky pro závazky a platby se stanoví v rámci ročního rozpočtového procesu, včetně položky rezervy pro protokoly, které na začátku roku ještě nebyly v platnosti</w:t>
      </w:r>
      <w:r>
        <w:rPr>
          <w:rStyle w:val="FootnoteReference"/>
          <w:noProof/>
        </w:rPr>
        <w:footnoteReference w:id="8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OSTATNÍ PRVKY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Plány provádění a způsoby monitorování, hodnocení a podávání zpráv</w:t>
      </w:r>
    </w:p>
    <w:p>
      <w:pPr>
        <w:spacing w:before="0" w:after="240"/>
        <w:rPr>
          <w:rFonts w:eastAsia="Arial Unicode MS"/>
          <w:noProof/>
        </w:rPr>
      </w:pPr>
      <w:r>
        <w:rPr>
          <w:noProof/>
        </w:rPr>
        <w:t>Ujednání o monitorování jsou stanovena v protokolu, kterým se provádí nová dohoda o partnerství.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2021/0038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ROZHODNUTÍ RADY</w:t>
      </w:r>
    </w:p>
    <w:p>
      <w:pPr>
        <w:pStyle w:val="Titreobjet"/>
        <w:rPr>
          <w:noProof/>
        </w:rPr>
      </w:pPr>
      <w:r>
        <w:rPr>
          <w:noProof/>
        </w:rPr>
        <w:t>o podpisu jménem Evropské unie a prozatímním provádění Dohody mezi Evropskou unií na jedné straně a vládou Grónska a vládou Dánska na straně druhé o partnerství v oblasti udržitelného rybolovu a prováděcího protokolu k této dohodě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rFonts w:eastAsia="Calibri"/>
          <w:noProof/>
        </w:rPr>
      </w:pPr>
      <w:r>
        <w:rPr>
          <w:noProof/>
        </w:rPr>
        <w:t>s ohledem na Smlouvu o fungování Evropské unie, a zejména na čl. 43 odst. 2 ve spojení s čl. 218 odst. 5 této smlouvy,</w:t>
      </w:r>
    </w:p>
    <w:p>
      <w:pPr>
        <w:rPr>
          <w:rFonts w:eastAsia="Calibri"/>
          <w:noProof/>
          <w:szCs w:val="24"/>
        </w:rPr>
      </w:pPr>
      <w:r>
        <w:rPr>
          <w:noProof/>
          <w:color w:val="444444"/>
          <w:szCs w:val="24"/>
        </w:rPr>
        <w:t>s ohledem na návrh Evropské komise,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Komise sjednala jménem Evropské unie novou Dohodu o partnerství v oblasti udržitelného rybolovu mezi Evropskou unií na jedné straně a vládou Grónska a vládou Dánska na straně druhé (dále jen „dohoda o partnerství“), jakož i nový prováděcí protokol k dohodě o partnerství.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Dohoda o partnerství a prováděcí protokol byly parafovány na konci těchto jednání dne 11. ledna 2021.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Dohodou o partnerství se zrušuje předchozí dohoda, jež byla uzavřena mezi Evropským společenstvím na jedné straně a vládou Dánska a místní vládou Grónska na straně druhé a která vstoupila v platnost dne 28. června 2007.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Cílem protokolu je umožnit Evropské unii, vládě Dánska a vládě Grónska intenzivněji spolupracovat na další podpoře rozvoje politiky udržitelného rybolovu a odpovědného využívání rybolovných zdrojů v grónských vodách.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Článek 15 dohody o partnerství a článek 12 prováděcího protokolu stanoví jejich prozatímní provádění ode dne jejich podpisu.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Podpis dohody o partnerství a prováděcího protokolu k této dohodě se tedy schvaluje.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S cílem zajistit rychlé zahájení rybolovných činností plavidel Unie by se dohoda o partnerství a prováděcí protokol měly začít prozatímně provádět od jejich podpisu do dne jejich vstupu v platnost, </w:t>
      </w:r>
    </w:p>
    <w:p>
      <w:pPr>
        <w:pStyle w:val="Formuledadoption"/>
        <w:rPr>
          <w:noProof/>
        </w:rPr>
      </w:pPr>
      <w:r>
        <w:rPr>
          <w:noProof/>
        </w:rPr>
        <w:t xml:space="preserve">PŘIJALA TOTO ROZHODNUTÍ: 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keepNext/>
        <w:rPr>
          <w:noProof/>
        </w:rPr>
      </w:pPr>
      <w:r>
        <w:rPr>
          <w:noProof/>
        </w:rPr>
        <w:t xml:space="preserve">Podpis Dohody mezi Evropskou unií na jedné straně a vládou Grónska a vládou Dánska na straně druhé o partnerství v oblasti udržitelného rybolovu (dále jen „dohoda o partnerství“) a prováděcího protokolu k této dohodě se jménem Unie schvalují s výhradou uzavření těchto aktů. </w:t>
      </w:r>
    </w:p>
    <w:p>
      <w:pPr>
        <w:rPr>
          <w:noProof/>
        </w:rPr>
      </w:pPr>
      <w:r>
        <w:rPr>
          <w:noProof/>
        </w:rPr>
        <w:t>Znění dohody a prováděcího protokolu se připojují k tomuto rozhodnutí.</w:t>
      </w:r>
    </w:p>
    <w:p>
      <w:pPr>
        <w:pStyle w:val="Titrearticle"/>
        <w:keepNext w:val="0"/>
        <w:rPr>
          <w:noProof/>
        </w:rPr>
      </w:pPr>
      <w:r>
        <w:rPr>
          <w:noProof/>
        </w:rPr>
        <w:lastRenderedPageBreak/>
        <w:t>Článek 2</w:t>
      </w:r>
    </w:p>
    <w:p>
      <w:pPr>
        <w:rPr>
          <w:noProof/>
        </w:rPr>
      </w:pPr>
      <w:r>
        <w:rPr>
          <w:noProof/>
        </w:rPr>
        <w:t>Generální sekretariát Rady zřídí nástroj udělující plnou moc k podepsání dohody o rybolovu a prováděcího protokolu, s výhradou jejich uzavření, osobě nebo osobám určeným vyjednavačem uvedené dohody o partnerství.</w:t>
      </w:r>
    </w:p>
    <w:p>
      <w:pPr>
        <w:pStyle w:val="Titrearticle"/>
        <w:rPr>
          <w:noProof/>
        </w:rPr>
      </w:pPr>
      <w:r>
        <w:rPr>
          <w:noProof/>
        </w:rPr>
        <w:t>Článek 3</w:t>
      </w:r>
    </w:p>
    <w:p>
      <w:pPr>
        <w:keepNext/>
        <w:rPr>
          <w:noProof/>
        </w:rPr>
      </w:pPr>
      <w:r>
        <w:rPr>
          <w:noProof/>
        </w:rPr>
        <w:t>Dohoda o partnerství je v souladu s článkem 15 dohody prováděna prozatímně ode dne jejího podpisu do okamžiku jejího vstupu v platnost.</w:t>
      </w:r>
    </w:p>
    <w:p>
      <w:pPr>
        <w:pStyle w:val="Titrearticle"/>
        <w:rPr>
          <w:noProof/>
        </w:rPr>
      </w:pPr>
      <w:r>
        <w:rPr>
          <w:noProof/>
        </w:rPr>
        <w:t>Článek 4</w:t>
      </w:r>
    </w:p>
    <w:p>
      <w:pPr>
        <w:keepNext/>
        <w:rPr>
          <w:noProof/>
        </w:rPr>
      </w:pPr>
      <w:r>
        <w:rPr>
          <w:noProof/>
        </w:rPr>
        <w:t>Prováděcí protokol je v souladu s článkem 12 protokolu prováděn prozatímně ode dne jeho podpisu do okamžiku jeho vstupu v platnost.</w:t>
      </w:r>
    </w:p>
    <w:p>
      <w:pPr>
        <w:pStyle w:val="Titrearticle"/>
        <w:rPr>
          <w:noProof/>
        </w:rPr>
      </w:pPr>
      <w:r>
        <w:rPr>
          <w:noProof/>
        </w:rPr>
        <w:t>Článek 5</w:t>
      </w:r>
    </w:p>
    <w:p>
      <w:pPr>
        <w:keepNext/>
        <w:rPr>
          <w:noProof/>
        </w:rPr>
      </w:pPr>
      <w:r>
        <w:rPr>
          <w:noProof/>
        </w:rPr>
        <w:t xml:space="preserve">Toto rozhodnutí vstupuje v platnost prvním dnem po zveřejnění v </w:t>
      </w:r>
      <w:r>
        <w:rPr>
          <w:i/>
          <w:noProof/>
        </w:rPr>
        <w:t>Úředním věstníku Evropské unie</w:t>
      </w:r>
      <w:r>
        <w:rPr>
          <w:noProof/>
        </w:rPr>
        <w:t>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Fichefinanciretitre"/>
        <w:rPr>
          <w:noProof/>
        </w:rPr>
      </w:pPr>
      <w:r>
        <w:rPr>
          <w:noProof/>
        </w:rPr>
        <w:lastRenderedPageBreak/>
        <w:t>LEGISLATIVNÍ FINANČNÍ VÝKAZ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 xml:space="preserve">RÁMEC NÁVRHU/PODNĚTU </w:t>
      </w:r>
    </w:p>
    <w:p>
      <w:pPr>
        <w:pStyle w:val="ManualHeading2"/>
        <w:rPr>
          <w:noProof/>
        </w:rPr>
      </w:pPr>
      <w:r>
        <w:t>1.1.</w:t>
      </w:r>
      <w:r>
        <w:tab/>
      </w:r>
      <w:r>
        <w:rPr>
          <w:noProof/>
        </w:rPr>
        <w:t xml:space="preserve">Název návrhu/podnětu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Cs w:val="24"/>
        </w:rPr>
      </w:pPr>
      <w:r>
        <w:rPr>
          <w:noProof/>
          <w:color w:val="000000"/>
          <w:szCs w:val="24"/>
        </w:rPr>
        <w:t>Návrh rozhodnutí Rady o podpisu jménem Unie a prozatímním provádění Dohody o partnerství v oblasti udržitelného rybolovu mezi Evropskou unií na jedné straně a vládou Grónska a vládou Dánska na straně druhé a jejího prováděcího protokolu.</w:t>
      </w:r>
    </w:p>
    <w:p>
      <w:pPr>
        <w:pStyle w:val="ManualHeading2"/>
        <w:rPr>
          <w:noProof/>
          <w:szCs w:val="24"/>
        </w:rPr>
      </w:pPr>
      <w:r>
        <w:t>1.2.</w:t>
      </w:r>
      <w:r>
        <w:tab/>
      </w:r>
      <w:r>
        <w:rPr>
          <w:noProof/>
        </w:rPr>
        <w:t>Příslušné oblasti politik podle členění ABM/ABB</w:t>
      </w:r>
      <w:r>
        <w:rPr>
          <w:rStyle w:val="FootnoteReference"/>
          <w:noProof/>
        </w:rPr>
        <w:footnoteReference w:id="9"/>
      </w:r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11 – Námořní záležitosti a rybolov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11.03 – Povinné příspěvky regionálním organizacím pro řízení rybolovu a jiným mezinárodním organizacím a na dohody o udržitelném rybolovu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11.03.01 – Stanovení rámce správy pro rybolovné činnosti prováděné rybářskými plavidly Unie ve vodách třetích zemí</w:t>
      </w:r>
    </w:p>
    <w:p>
      <w:pPr>
        <w:pStyle w:val="ManualHeading2"/>
        <w:rPr>
          <w:bCs/>
          <w:noProof/>
          <w:szCs w:val="24"/>
        </w:rPr>
      </w:pPr>
      <w:r>
        <w:t>1.3.</w:t>
      </w:r>
      <w:r>
        <w:tab/>
      </w:r>
      <w:r>
        <w:rPr>
          <w:noProof/>
        </w:rPr>
        <w:t xml:space="preserve">Povaha návrhu/podnětu </w:t>
      </w:r>
    </w:p>
    <w:p>
      <w:pPr>
        <w:pStyle w:val="Text1"/>
        <w:rPr>
          <w:b/>
          <w:noProof/>
          <w:sz w:val="22"/>
        </w:rPr>
      </w:pPr>
      <w:r>
        <w:rPr>
          <w:noProof/>
          <w:sz w:val="22"/>
        </w:rPr>
        <w:t>X</w:t>
      </w:r>
      <w:r>
        <w:rPr>
          <w:b/>
          <w:i/>
          <w:noProof/>
          <w:sz w:val="22"/>
        </w:rPr>
        <w:t xml:space="preserve"> </w:t>
      </w:r>
      <w:r>
        <w:rPr>
          <w:noProof/>
        </w:rPr>
        <w:t xml:space="preserve">Návrh/podnět se týká </w:t>
      </w:r>
      <w:r>
        <w:rPr>
          <w:b/>
          <w:noProof/>
        </w:rPr>
        <w:t>nové akce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Návrh/podnět se týká </w:t>
      </w:r>
      <w:r>
        <w:rPr>
          <w:b/>
          <w:noProof/>
        </w:rPr>
        <w:t>nové akce následující po pilotním projektu / přípravné akci</w:t>
      </w:r>
      <w:r>
        <w:rPr>
          <w:rStyle w:val="FootnoteReference"/>
          <w:b/>
          <w:noProof/>
        </w:rPr>
        <w:footnoteReference w:id="10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Návrh/podnět se týká </w:t>
      </w:r>
      <w:r>
        <w:rPr>
          <w:b/>
          <w:noProof/>
        </w:rPr>
        <w:t>prodloužení stávající akce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Návrh/podnět se týká </w:t>
      </w:r>
      <w:r>
        <w:rPr>
          <w:b/>
          <w:noProof/>
        </w:rPr>
        <w:t>akce přesměrované na novou akci</w:t>
      </w:r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r>
        <w:t>1.4.</w:t>
      </w:r>
      <w:r>
        <w:tab/>
      </w:r>
      <w:r>
        <w:rPr>
          <w:noProof/>
        </w:rPr>
        <w:t>Cíle</w:t>
      </w:r>
    </w:p>
    <w:p>
      <w:pPr>
        <w:pStyle w:val="ManualHeading3"/>
        <w:rPr>
          <w:noProof/>
        </w:rPr>
      </w:pPr>
      <w:r>
        <w:t>1.4.1.</w:t>
      </w:r>
      <w:r>
        <w:tab/>
      </w:r>
      <w:r>
        <w:rPr>
          <w:noProof/>
        </w:rPr>
        <w:t xml:space="preserve">Víceleté strategické cíle Komise sledované návrhem/podnětem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Sjednávání a uzavírání dohod o partnerství v odvětví udržitelného rybolovu se třetími zeměmi splňuje obecný cíl poskytnout rybářským plavidlům EU přístup k rybolovným oblastem ve třetích zemích a rozvíjet s těmito zeměmi partnerství v zájmu udržitelného využívání rybolovných zdrojů mimo vody EU.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Uvedené dohody rovněž zajišťují soudržnost mezi zásadami, jimiž se řídí společná rybářská politika, a závazky přijatými v rámci jiných evropských politik (udržitelné využívání zdrojů třetích zemí, boj proti nezákonnému, nehlášenému a neregulovanému rybolovu, integrace partnerských zemí do globální ekonomiky a lepší politické a finanční řízení rybolovu).</w:t>
      </w:r>
    </w:p>
    <w:p>
      <w:pPr>
        <w:pStyle w:val="ManualHeading3"/>
        <w:rPr>
          <w:bCs/>
          <w:noProof/>
          <w:szCs w:val="24"/>
        </w:rPr>
      </w:pPr>
      <w:r>
        <w:t>1.4.2.</w:t>
      </w:r>
      <w:r>
        <w:tab/>
      </w:r>
      <w:r>
        <w:rPr>
          <w:noProof/>
        </w:rPr>
        <w:t xml:space="preserve">Specifické cíle a příslušné aktivity ABM/ABB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Specifický cíl č. 1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Přispívat k udržitelnému rybolovu ve vodách mimo EU, udržovat evropskou přítomnost v zámořských lovištích a chránit zájmy evropského rybářského odvětví a spotřebitelů sjednáváním a uzavíráním dohod o partnerství v odvětví udržitelného rybolovu s pobřežními státy v souladu s ostatními evropskými politikami.</w:t>
      </w:r>
    </w:p>
    <w:p>
      <w:pPr>
        <w:pStyle w:val="ManualHeading3"/>
        <w:rPr>
          <w:bCs/>
          <w:noProof/>
          <w:szCs w:val="24"/>
        </w:rPr>
      </w:pPr>
      <w:r>
        <w:t>1.4.3.</w:t>
      </w:r>
      <w:r>
        <w:tab/>
      </w:r>
      <w:r>
        <w:rPr>
          <w:noProof/>
        </w:rPr>
        <w:t>Očekávané výsledky a dopady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Upřesněte účinky, které by návrh/podnět měl mít na příjemce / cílové skupiny.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Uzavření dohody a jejího prováděcího protokolu umožňuje pokračovat ve strategickém partnerství v oblasti rybolovu mezi Evropskou unií a Grónskem a posilovat jej. Uzavření protokolu povede ke vzniku rybolovných práv pro plavidla Unie v grónské rybolovné oblasti.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Dohoda a protokol rovněž přispějí k lepšímu řízení a uchovávání rybolovných zdrojů prostřednictvím finanční (odvětvové) podpory pro provádění programů přijatých na vnitrostátní úrovni partnerskou zemí, zejména k posílení monitorování, kontroly a dohledu.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Dohoda a protokol rovněž přispějí k udržitelnému využívání mořských zdrojů a rybářskému hospodářství Grónska, a to podporou růstu v souvislosti s hospodářskou činností související s rybolovem.</w:t>
      </w:r>
    </w:p>
    <w:p>
      <w:pPr>
        <w:pStyle w:val="ManualHeading3"/>
        <w:rPr>
          <w:bCs/>
          <w:noProof/>
          <w:szCs w:val="24"/>
        </w:rPr>
      </w:pPr>
      <w:r>
        <w:t>1.4.4.</w:t>
      </w:r>
      <w:r>
        <w:tab/>
      </w:r>
      <w:r>
        <w:rPr>
          <w:noProof/>
        </w:rPr>
        <w:t xml:space="preserve">Ukazatele výsledků a dopadů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Upřesněte ukazatele, podle kterých je možno uskutečňování návrhu/podnětu sledovat.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Míra využití rybolovných práv (procentní podíl využitých oprávnění k rybolovu za rok vzhledem k objemu dostupnému na základě protokolu).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Data o úlovcích (shromažďování a analýza) a obchodní hodnota dohody.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Příspěvek k zaměstnanosti a přidané hodnotě v Unii a ke stabilizaci trhu Unie (souhrnně s ostatními dohodami o partnerství v odvětví udržitelného rybolovu).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Příspěvek ke zdokonalení výzkumu, monitorování a kontroly rybolovných činností v partnerské zemi a rozvoje odvětví rybolovu.</w:t>
      </w:r>
    </w:p>
    <w:p>
      <w:pPr>
        <w:pStyle w:val="ManualHeading2"/>
        <w:rPr>
          <w:bCs/>
          <w:noProof/>
          <w:szCs w:val="24"/>
        </w:rPr>
      </w:pPr>
      <w:r>
        <w:t>1.5.</w:t>
      </w:r>
      <w:r>
        <w:tab/>
      </w:r>
      <w:r>
        <w:rPr>
          <w:noProof/>
        </w:rPr>
        <w:t xml:space="preserve">Odůvodnění návrhu/podnětu </w:t>
      </w:r>
    </w:p>
    <w:p>
      <w:pPr>
        <w:pStyle w:val="ManualHeading3"/>
        <w:rPr>
          <w:noProof/>
        </w:rPr>
      </w:pPr>
      <w:r>
        <w:t>1.5.1.</w:t>
      </w:r>
      <w:r>
        <w:tab/>
      </w:r>
      <w:r>
        <w:rPr>
          <w:noProof/>
        </w:rPr>
        <w:t xml:space="preserve">Potřeby, které mají být uspokojeny v krátkodobém nebo dlouhodobém horizontu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Aby se omezilo přerušení stávajících rybolovných činností probíhajících podle stávajícího protokolu, má se nová dohoda a prováděcí protokol prozatímně provádět od data jejich podpisu.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Nová dohoda a protokol vytvoří rámec pro rybolovné činnosti loďstva Unie v grónské rybolovné oblasti a umožní majitelům plavidel EU žádat o oprávnění k rybolovu pro uvedenou oblast. Tato nová dohoda a protokol navíc posílí spolupráci mezi EU a Grónskem za účelem podpory rozvoje udržitelné rybářské politiky. Počítá zejména se sledováním plavidel pomocí systému VMS a se sdělováním údajů o úlovcích elektronickou cestou. Odvětvová podpora dostupná na základě protokolu pomůže Grónsku plnit jeho vnitrostátní strategii v oblasti rybolovu. </w:t>
      </w:r>
    </w:p>
    <w:p>
      <w:pPr>
        <w:pStyle w:val="ManualHeading3"/>
        <w:rPr>
          <w:bCs/>
          <w:noProof/>
          <w:szCs w:val="24"/>
        </w:rPr>
      </w:pPr>
      <w:r>
        <w:t>1.5.2.</w:t>
      </w:r>
      <w:r>
        <w:tab/>
      </w:r>
      <w:r>
        <w:rPr>
          <w:noProof/>
        </w:rPr>
        <w:t>Přidaná hodnota ze zapojení EU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Pokud by Unie novou dohodu a protokol neuzavřela, byl by plavidlům Unie znemožněn rybolov, jelikož stávající dohoda obsahuje ustanovení, které vylučuje rybolovné činnosti, jež neprobíhají v rámci definovaném protokolem k dohodě. Přidaná hodnota pro zámořské loďstvo EU je tedy jednoznačná. Protokol poskytuje rovněž rámec pro posílenou spolupráci mezi Unií a Grónskem.</w:t>
      </w:r>
    </w:p>
    <w:p>
      <w:pPr>
        <w:pStyle w:val="ManualHeading3"/>
        <w:rPr>
          <w:bCs/>
          <w:noProof/>
          <w:szCs w:val="24"/>
        </w:rPr>
      </w:pPr>
      <w:r>
        <w:t>1.5.3.</w:t>
      </w:r>
      <w:r>
        <w:tab/>
      </w:r>
      <w:r>
        <w:rPr>
          <w:noProof/>
        </w:rPr>
        <w:t>Závěry vyvozené z podobných zkušeností v minulosti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Finanční prostředky poskytnuté jakožto finanční příspěvek za přístup k rybolovu na základě dohody o partnerství v odvětví udržitelného rybolovu představují ve vnitrostátním rozpočtu Grónska zastupitelné příjmy. Tyto prostředky určené na odvětvovou podporu jsou nicméně přiděleny (obvykle jako součást každoročního zákona o rozpočtu) ministerstvu odpovědnému za rybolov, což je podmínkou uzavření a provádění dohody o partnerství v odvětví udržitelného rybolovu. Tyto finanční zdroje jsou kompatibilní s jinými zdroji financování od jiných poskytovatelů mezinárodních financí na provádění projektů a/nebo programů na vnitrostátní úrovni v odvětví rybolovu.</w:t>
      </w:r>
    </w:p>
    <w:p>
      <w:pPr>
        <w:pStyle w:val="ManualHeading3"/>
        <w:rPr>
          <w:bCs/>
          <w:noProof/>
          <w:szCs w:val="24"/>
        </w:rPr>
      </w:pPr>
      <w:r>
        <w:t>1.5.4.</w:t>
      </w:r>
      <w:r>
        <w:tab/>
      </w:r>
      <w:r>
        <w:rPr>
          <w:noProof/>
        </w:rPr>
        <w:t>Slučitelnost a možná synergie s dalšími vhodnými nástroji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Nevztahuje se na tento návrh.</w:t>
      </w:r>
    </w:p>
    <w:p>
      <w:pPr>
        <w:pStyle w:val="ManualHeading2"/>
        <w:rPr>
          <w:bCs/>
          <w:noProof/>
          <w:szCs w:val="24"/>
        </w:rPr>
      </w:pPr>
      <w:r>
        <w:t>1.6.</w:t>
      </w:r>
      <w:r>
        <w:tab/>
      </w:r>
      <w:r>
        <w:rPr>
          <w:noProof/>
        </w:rPr>
        <w:t xml:space="preserve">Doba trvání a finanční dopad </w:t>
      </w:r>
    </w:p>
    <w:p>
      <w:pPr>
        <w:pStyle w:val="Text1"/>
        <w:rPr>
          <w:noProof/>
        </w:rPr>
      </w:pPr>
      <w:r>
        <w:rPr>
          <w:b/>
          <w:noProof/>
        </w:rPr>
        <w:t>Časově omezený</w:t>
      </w:r>
      <w:r>
        <w:rPr>
          <w:noProof/>
        </w:rPr>
        <w:t xml:space="preserve"> návrh</w:t>
      </w:r>
      <w:r>
        <w:rPr>
          <w:b/>
          <w:noProof/>
        </w:rPr>
        <w:t xml:space="preserve"> </w:t>
      </w:r>
    </w:p>
    <w:p>
      <w:pPr>
        <w:pStyle w:val="ListDash2"/>
        <w:rPr>
          <w:noProof/>
        </w:rPr>
      </w:pPr>
      <w:r>
        <w:rPr>
          <w:noProof/>
        </w:rPr>
        <w:t>X</w:t>
      </w:r>
      <w:r>
        <w:rPr>
          <w:noProof/>
        </w:rPr>
        <w:tab/>
        <w:t xml:space="preserve">Návrh/podnět s platností od roku 2021 do roku 2026 </w:t>
      </w:r>
    </w:p>
    <w:p>
      <w:pPr>
        <w:pStyle w:val="ListDash2"/>
        <w:rPr>
          <w:noProof/>
        </w:rPr>
      </w:pPr>
      <w:r>
        <w:rPr>
          <w:noProof/>
        </w:rPr>
        <w:t>X</w:t>
      </w:r>
      <w:r>
        <w:rPr>
          <w:noProof/>
        </w:rPr>
        <w:tab/>
        <w:t xml:space="preserve">Finanční dopad od roku 2021 do roku 2025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Časově neomezený</w:t>
      </w:r>
      <w:r>
        <w:rPr>
          <w:noProof/>
        </w:rPr>
        <w:t xml:space="preserve"> návrh/podnět</w:t>
      </w:r>
    </w:p>
    <w:p>
      <w:pPr>
        <w:pStyle w:val="ListDash1"/>
        <w:rPr>
          <w:noProof/>
        </w:rPr>
      </w:pPr>
      <w:r>
        <w:rPr>
          <w:noProof/>
        </w:rPr>
        <w:t>Provádění s obdobím rozběhu od RRRR do RRRR,</w:t>
      </w:r>
    </w:p>
    <w:p>
      <w:pPr>
        <w:pStyle w:val="ListDash1"/>
        <w:rPr>
          <w:noProof/>
        </w:rPr>
      </w:pPr>
      <w:r>
        <w:rPr>
          <w:noProof/>
        </w:rPr>
        <w:t>poté plné fungování.</w:t>
      </w:r>
    </w:p>
    <w:p>
      <w:pPr>
        <w:pStyle w:val="ManualHeading2"/>
        <w:rPr>
          <w:bCs/>
          <w:noProof/>
          <w:szCs w:val="24"/>
        </w:rPr>
      </w:pPr>
      <w:r>
        <w:t>1.7.</w:t>
      </w:r>
      <w:r>
        <w:tab/>
      </w:r>
      <w:r>
        <w:rPr>
          <w:noProof/>
        </w:rPr>
        <w:t>Předpokládaný způsob řízení</w:t>
      </w:r>
      <w:r>
        <w:rPr>
          <w:rStyle w:val="FootnoteReference"/>
          <w:noProof/>
        </w:rPr>
        <w:footnoteReference w:id="11"/>
      </w:r>
      <w:r>
        <w:rPr>
          <w:rStyle w:val="FootnoteReference"/>
          <w:noProof/>
        </w:rPr>
        <w:t xml:space="preserve">  </w:t>
      </w:r>
    </w:p>
    <w:p>
      <w:pPr>
        <w:pStyle w:val="Text1"/>
        <w:rPr>
          <w:noProof/>
        </w:rPr>
      </w:pPr>
      <w:r>
        <w:rPr>
          <w:noProof/>
        </w:rPr>
        <w:t>X</w:t>
      </w:r>
      <w:r>
        <w:rPr>
          <w:i/>
          <w:noProof/>
        </w:rPr>
        <w:t xml:space="preserve"> </w:t>
      </w:r>
      <w:r>
        <w:rPr>
          <w:b/>
          <w:noProof/>
        </w:rPr>
        <w:t>Přímé řízení</w:t>
      </w:r>
      <w:r>
        <w:rPr>
          <w:noProof/>
        </w:rPr>
        <w:t xml:space="preserve"> Komisí 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t>X</w:t>
      </w:r>
      <w:r>
        <w:rPr>
          <w:i/>
          <w:noProof/>
        </w:rPr>
        <w:t xml:space="preserve"> </w:t>
      </w:r>
      <w:r>
        <w:rPr>
          <w:noProof/>
        </w:rPr>
        <w:t xml:space="preserve">prostřednictvím jejích útvarů, včetně jejích zaměstnanců v delegacích Unie,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prostřednictvím výkonných agentur. 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Sdílené řízení</w:t>
      </w:r>
      <w:r>
        <w:rPr>
          <w:noProof/>
        </w:rPr>
        <w:t xml:space="preserve"> s členskými státy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Nepřímé řízení</w:t>
      </w:r>
      <w:r>
        <w:rPr>
          <w:noProof/>
        </w:rPr>
        <w:t>, při kterém jsou úkoly souvisejícími s plněním rozpočtu pověřeny: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třetí země nebo subjekty určené těmito zeměmi,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mezinárodní organizace a jejich agentury (upřesněte),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EIB a Evropský investiční fond,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subjekty uvedené v článcích 208 a 209 finančního nařízení,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veřejnoprávní subjekty,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soukromoprávní subjekty pověřené výkonem veřejné služby v rozsahu, v jakém poskytují dostatečné finanční záruky,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soukromoprávní subjekty členského státu pověřené uskutečňováním partnerství soukromého a veřejného sektoru a poskytující dostatečné finanční záruky,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osoby pověřené prováděním specifických akcí v rámci společné zahraniční a bezpečnostní politiky podle hlavy V Smlouvy o EU a určené v příslušném základním právním aktu.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Pokud vyberete více způsobů řízení, upřesněte je v části „Poznámky“.</w:t>
      </w:r>
    </w:p>
    <w:p>
      <w:pPr>
        <w:rPr>
          <w:noProof/>
        </w:rPr>
      </w:pPr>
      <w:r>
        <w:rPr>
          <w:noProof/>
        </w:rPr>
        <w:t xml:space="preserve">Poznámky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t xml:space="preserve"> </w:t>
      </w:r>
    </w:p>
    <w:p>
      <w:pPr>
        <w:pStyle w:val="ManualHeading1"/>
        <w:rPr>
          <w:bCs/>
          <w:noProof/>
          <w:szCs w:val="24"/>
        </w:rPr>
      </w:pPr>
      <w:r>
        <w:t>2.</w:t>
      </w:r>
      <w:r>
        <w:tab/>
      </w:r>
      <w:r>
        <w:rPr>
          <w:noProof/>
        </w:rPr>
        <w:t xml:space="preserve">SPRÁVNÍ OPATŘENÍ 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Pravidla pro sledování a podávání zpráv </w:t>
      </w:r>
    </w:p>
    <w:p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Upřesněte četnost a podmínky.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Komise (GŘ MARE) bude zajišťovat pravidelné sledování provádění protokolu, pokud jde o využívání rybolovných práv ze strany provozovatelů, údaje o úlovcích a dodržování podmínek odvětvové podpory.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0"/>
        <w:rPr>
          <w:noProof/>
        </w:rPr>
      </w:pPr>
      <w:r>
        <w:rPr>
          <w:noProof/>
        </w:rPr>
        <w:t>Dohoda o partnerství v oblasti udržitelného rybolovu stanoví, že se musí každý rok uskutečnit nejméně jedno zasedání smíšeného výboru, na němž Komise a Grónsko přezkoumají provádění dohody a jejího protokolu a v případě potřeby upraví plánování a popřípadě i finanční příspěvek.</w:t>
      </w:r>
    </w:p>
    <w:p>
      <w:pPr>
        <w:pStyle w:val="ManualHeading2"/>
        <w:rPr>
          <w:bCs/>
          <w:noProof/>
          <w:szCs w:val="24"/>
        </w:rPr>
      </w:pPr>
      <w:r>
        <w:t>2.2.</w:t>
      </w:r>
      <w:r>
        <w:tab/>
      </w:r>
      <w:r>
        <w:rPr>
          <w:noProof/>
        </w:rPr>
        <w:t xml:space="preserve">Systém řízení a kontroly </w:t>
      </w:r>
    </w:p>
    <w:p>
      <w:pPr>
        <w:pStyle w:val="ManualHeading3"/>
        <w:rPr>
          <w:noProof/>
        </w:rPr>
      </w:pPr>
      <w:r>
        <w:t>2.2.1.</w:t>
      </w:r>
      <w:r>
        <w:tab/>
      </w:r>
      <w:r>
        <w:rPr>
          <w:noProof/>
        </w:rPr>
        <w:t xml:space="preserve">Zjištěná rizika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Platby příspěvku na přístup a příspěvku na podporu odvětví se provádějí odděleně.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Platby týkající se přístupu se provádějí jednou ročně k datu výročí uzavření protokolu s výjimkou prvního roku, kdy se tato platba provede do 3 měsíců od zahájení jeho prozatímního provádění. Přístup plavidel je kontrolován vydáváním oprávnění k rybolovu.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Výplata podpory se poprvé uskuteční tři měsíce od zahájení prozatímního provádění, jestliže bylo dosaženo dohody o ročním a víceletém prováděcím programu, a následně pak bude prováděna na základě dosažených výsledků. Dosažené výsledky a míra provádění se sledují v souladu s Pokyny pro provádění odvětvové podpory grónské rybářské politiky, na nichž se strany dohodnou, a to na základě zpráv nebo písemných dokladů poskytnutých partnerskou zemí.</w:t>
      </w:r>
    </w:p>
    <w:p>
      <w:pPr>
        <w:pStyle w:val="ManualHeading3"/>
        <w:rPr>
          <w:bCs/>
          <w:noProof/>
          <w:szCs w:val="24"/>
        </w:rPr>
      </w:pPr>
      <w:r>
        <w:t>2.2.2.</w:t>
      </w:r>
      <w:r>
        <w:tab/>
      </w:r>
      <w:r>
        <w:rPr>
          <w:noProof/>
        </w:rPr>
        <w:t>Informace o zavedeném systému vnitřní kontroly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Zjištěným rizikem je nevyužití rybolovných práv udělených rybářským plavidlům EU a nedostatečné využití nebo zpoždění při využití finančních prostředků určených na financování odvětvové rybářské politiky Grónska. Počítá se s trvalým dialogem o plánování a provádění odvětvové politiky stanovené v dohodě a protokolu. Součástí těchto kontrolních metod je rovněž společná analýza výsledků uvedená v článku 4 protokolu. Kromě toho dohoda a protokol obsahují specifická ustanovení umožňující za určitých podmínek a okolností jejich pozastavení.</w:t>
      </w:r>
    </w:p>
    <w:p>
      <w:pPr>
        <w:pStyle w:val="ManualHeading3"/>
        <w:rPr>
          <w:noProof/>
        </w:rPr>
      </w:pPr>
      <w:r>
        <w:t>2.2.3.</w:t>
      </w:r>
      <w:r>
        <w:tab/>
      </w:r>
      <w:r>
        <w:rPr>
          <w:noProof/>
        </w:rPr>
        <w:t xml:space="preserve">Odhad nákladů a přínosů kontrol a posouzení očekávané míry rizika výskytu chyb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Na platby nákladů na přístup k dohodám o partnerství v oblasti udržitelného rybolovu se vztahují kontroly, jejichž cílem je zajistit jejich soulad s ustanoveními mezinárodních dohod. Cílem kontrol týkajících se odvětvové podpory je kontrolovat provádění této podpory. Toto sledování provádějí zaměstnanci Komise při delegacích EU a na zasedání smíšených výborů. K hodnocení pokroku se používá víceletá programová matrice. Pokud je pokrok nedostatečný, je úhrada další splátky pozastavena nebo případně snížena. Celkové náklady na kontroly všech dohod o partnerství v oblasti udržitelného rybolovu se odhadují na 1,8 % (na úrovni příspěvků za rok 2018). Kontrolní postupy dohod o partnerství v oblasti udržitelného rybolovu vycházejí převážně z nevyhnutelných právních požadavků. Pokud nejsou zjištěny nedostatky, které by mohly mít významný dopad na legalitu a správnost finančních transakcí, jsou kontroly považovány za účinné. Průměrná míra chyb se odhaduje na 0,0 %.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ManualHeading2"/>
        <w:rPr>
          <w:bCs/>
          <w:noProof/>
          <w:szCs w:val="24"/>
        </w:rPr>
      </w:pPr>
      <w:r>
        <w:t>2.3.</w:t>
      </w:r>
      <w:r>
        <w:tab/>
      </w:r>
      <w:r>
        <w:rPr>
          <w:noProof/>
        </w:rPr>
        <w:t xml:space="preserve">Opatření k zamezení podvodů a nesrovnalostí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Upřesněte stávající či předpokládaná preventivní a ochranná opatření.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Komise se zavazuje, že s Grónskem naváže politický dialog a pravidelnou koordinaci s cílem zlepšit správu dohody a protokolu a posílit příspěvek EU k udržitelnému řízení zdrojů. Na veškeré platby, které Komise v rámci dohod o partnerství v odvětví udržitelného rybolovu provádí, se vztahují standardní pravidla a rozpočtové a finanční postupy Komise. Zejména je provedena plná identifikace bankovního účtu třetích zemí, na nějž se finanční příspěvek vyplácí. Ustanovení čl. 3 odst. 6 protokolu stanoví, že finanční příspěvek na přístup a rozvoj odvětví musí být zaplacen na účet státní pokladny.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t>3.</w:t>
      </w:r>
      <w:r>
        <w:tab/>
      </w:r>
      <w:r>
        <w:rPr>
          <w:noProof/>
        </w:rPr>
        <w:t xml:space="preserve">ODHADOVANÝ FINANČNÍ DOPAD NÁVRHU/PODNĚTU </w:t>
      </w:r>
    </w:p>
    <w:p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 xml:space="preserve">Okruhy víceletého finančního rámce a dotčené výdajové rozpočtové položky </w:t>
      </w:r>
    </w:p>
    <w:p>
      <w:pPr>
        <w:pStyle w:val="ListBullet1"/>
        <w:rPr>
          <w:noProof/>
        </w:rPr>
      </w:pPr>
      <w:r>
        <w:rPr>
          <w:noProof/>
        </w:rPr>
        <w:t xml:space="preserve">Stávající rozpočtové položky </w:t>
      </w:r>
    </w:p>
    <w:p>
      <w:pPr>
        <w:pStyle w:val="Text1"/>
        <w:rPr>
          <w:noProof/>
        </w:rPr>
      </w:pPr>
      <w:r>
        <w:rPr>
          <w:noProof/>
          <w:u w:val="single"/>
        </w:rPr>
        <w:t>V pořadí</w:t>
      </w:r>
      <w:r>
        <w:rPr>
          <w:noProof/>
        </w:rPr>
        <w:t xml:space="preserve"> okruhů víceletého finančního rámce a rozpočtových položek.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Okruh víceletého finančního rámce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Rozpočtová položka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 xml:space="preserve">Druh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výdajů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 xml:space="preserve">Příspěvek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 xml:space="preserve">Počet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RP/NRP</w:t>
            </w:r>
            <w:r>
              <w:rPr>
                <w:rStyle w:val="FootnoteReference"/>
                <w:noProof/>
                <w:sz w:val="18"/>
              </w:rPr>
              <w:footnoteReference w:id="12"/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zemí ESVO</w:t>
            </w:r>
            <w:r>
              <w:rPr>
                <w:rStyle w:val="FootnoteReference"/>
                <w:noProof/>
                <w:sz w:val="18"/>
              </w:rPr>
              <w:footnoteReference w:id="13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kandidátských zemí</w:t>
            </w:r>
            <w:r>
              <w:rPr>
                <w:rStyle w:val="FootnoteReference"/>
                <w:noProof/>
                <w:sz w:val="18"/>
              </w:rPr>
              <w:footnoteReference w:id="14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třetích zemí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6"/>
              </w:rPr>
              <w:t xml:space="preserve">ve smyslu čl. 21 odst. 2 písm. b) finančního nařízení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22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11.03.01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Vytvoření rámce pro řízení rybolovných činností prováděných rybářskými plavidly Evropské unie ve vodách třetích zemí (dohody o udržitelném rybolovu)</w:t>
            </w:r>
          </w:p>
          <w:p>
            <w:pPr>
              <w:spacing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22"/>
              </w:rPr>
            </w:pPr>
            <w:r>
              <w:rPr>
                <w:noProof/>
                <w:sz w:val="22"/>
              </w:rPr>
              <w:t>Rozl.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</w:t>
            </w:r>
          </w:p>
        </w:tc>
      </w:tr>
    </w:tbl>
    <w:p>
      <w:pPr>
        <w:pStyle w:val="ListBullet1"/>
        <w:rPr>
          <w:noProof/>
        </w:rPr>
      </w:pPr>
      <w:r>
        <w:rPr>
          <w:noProof/>
        </w:rPr>
        <w:t xml:space="preserve">Nové rozpočtové položky, jejichž vytvoření se požaduje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u w:val="single"/>
        </w:rPr>
        <w:t>V pořadí</w:t>
      </w:r>
      <w:r>
        <w:rPr>
          <w:i/>
          <w:noProof/>
        </w:rPr>
        <w:t xml:space="preserve"> okruhů víceletého finančního rámce a rozpočtových položek.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>
        <w:tc>
          <w:tcPr>
            <w:tcW w:w="1080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Okruh víceletého finančního rámce</w:t>
            </w:r>
          </w:p>
        </w:tc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Rozpočtová položka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Druh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18"/>
              </w:rPr>
              <w:t>výdajů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 xml:space="preserve">Příspěvek </w:t>
            </w:r>
          </w:p>
        </w:tc>
      </w:tr>
      <w:tr>
        <w:tc>
          <w:tcPr>
            <w:tcW w:w="1080" w:type="dxa"/>
            <w:vMerge/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3960" w:type="dxa"/>
            <w:vAlign w:val="center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 xml:space="preserve">Počet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RP/NRP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zemí ESVO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kandidátských zemí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třetích zemí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6"/>
              </w:rPr>
              <w:t xml:space="preserve">ve smyslu čl. 21 odst. 2 písm. b) finančního nařízení </w:t>
            </w:r>
          </w:p>
        </w:tc>
      </w:tr>
      <w:tr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22"/>
              </w:rPr>
            </w:pPr>
          </w:p>
        </w:tc>
        <w:tc>
          <w:tcPr>
            <w:tcW w:w="3960" w:type="dxa"/>
            <w:vAlign w:val="center"/>
          </w:tcPr>
          <w:p>
            <w:pPr>
              <w:spacing w:before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[XX.YY.YY.YY]</w:t>
            </w:r>
          </w:p>
          <w:p>
            <w:pPr>
              <w:spacing w:after="60"/>
              <w:rPr>
                <w:noProof/>
                <w:color w:val="0000FF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2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ANO/NE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  <w:sz w:val="22"/>
              </w:rPr>
              <w:t>ANO/NE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  <w:sz w:val="22"/>
              </w:rPr>
              <w:t>ANO/NE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ANO/NE</w:t>
            </w:r>
          </w:p>
        </w:tc>
      </w:tr>
    </w:tbl>
    <w:p>
      <w:pPr>
        <w:rPr>
          <w:noProof/>
        </w:rPr>
        <w:sectPr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2"/>
        <w:rPr>
          <w:bCs/>
          <w:noProof/>
          <w:szCs w:val="24"/>
        </w:rPr>
      </w:pPr>
      <w:r>
        <w:t>3.2.</w:t>
      </w:r>
      <w:r>
        <w:tab/>
      </w:r>
      <w:r>
        <w:rPr>
          <w:noProof/>
        </w:rPr>
        <w:t xml:space="preserve">Odhadovaný dopad na výdaje </w:t>
      </w:r>
    </w:p>
    <w:p>
      <w:pPr>
        <w:pStyle w:val="ManualHeading3"/>
        <w:rPr>
          <w:noProof/>
          <w:u w:val="single"/>
        </w:rPr>
      </w:pPr>
      <w:r>
        <w:t>3.2.1.</w:t>
      </w:r>
      <w:r>
        <w:tab/>
      </w:r>
      <w:r>
        <w:rPr>
          <w:noProof/>
        </w:rPr>
        <w:t xml:space="preserve">Odhadovaný souhrnný dopad na výdaje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v milionech EUR (zaokrouhleno na tři desetinná místa)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Okruh víceletého finančního rámce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Č. 2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</w:rPr>
              <w:t>Udržitelný růst: přírodní zdroje</w:t>
            </w:r>
          </w:p>
        </w:tc>
      </w:tr>
    </w:tbl>
    <w:p>
      <w:pPr>
        <w:rPr>
          <w:noProof/>
          <w:sz w:val="16"/>
        </w:rPr>
      </w:pPr>
    </w:p>
    <w:p>
      <w:pPr>
        <w:rPr>
          <w:noProof/>
          <w:sz w:val="16"/>
        </w:rPr>
      </w:pPr>
    </w:p>
    <w:tbl>
      <w:tblPr>
        <w:tblW w:w="12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120"/>
        <w:gridCol w:w="534"/>
        <w:gridCol w:w="868"/>
        <w:gridCol w:w="868"/>
        <w:gridCol w:w="868"/>
        <w:gridCol w:w="868"/>
        <w:gridCol w:w="914"/>
        <w:gridCol w:w="992"/>
        <w:gridCol w:w="992"/>
      </w:tblGrid>
      <w:t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  <w:sz w:val="22"/>
              </w:rPr>
              <w:t>GŘ: MARE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CELKEM</w:t>
            </w:r>
          </w:p>
        </w:tc>
      </w:tr>
      <w:tr>
        <w:trPr>
          <w:trHeight w:val="213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Operační prostředky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noProof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b/>
                <w:noProof/>
                <w:sz w:val="20"/>
              </w:rPr>
            </w:pPr>
          </w:p>
        </w:tc>
      </w:tr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line="276" w:lineRule="auto"/>
              <w:rPr>
                <w:noProof/>
              </w:rPr>
            </w:pPr>
            <w:r>
              <w:rPr>
                <w:noProof/>
                <w:sz w:val="20"/>
              </w:rPr>
              <w:t>Rozpočtová položka</w:t>
            </w:r>
            <w:r>
              <w:rPr>
                <w:rStyle w:val="FootnoteReference"/>
                <w:noProof/>
                <w:sz w:val="20"/>
              </w:rPr>
              <w:footnoteReference w:id="15"/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</w:rPr>
              <w:t>11.03.01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99,130524</w:t>
            </w:r>
          </w:p>
        </w:tc>
      </w:tr>
      <w:t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 w:line="276" w:lineRule="auto"/>
              <w:jc w:val="left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(2a)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99,130524</w:t>
            </w:r>
          </w:p>
        </w:tc>
      </w:tr>
      <w:t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 xml:space="preserve">Rozpočtová položka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(1b)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 w:line="276" w:lineRule="auto"/>
              <w:jc w:val="left"/>
              <w:rPr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(2b)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231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rPr>
                <w:noProof/>
              </w:rPr>
            </w:pPr>
            <w:r>
              <w:rPr>
                <w:noProof/>
                <w:sz w:val="21"/>
              </w:rPr>
              <w:t>Prostředky správní povahy financované z rámce na zvláštní programy</w:t>
            </w:r>
            <w:r>
              <w:rPr>
                <w:rStyle w:val="FootnoteReference"/>
                <w:noProof/>
                <w:sz w:val="21"/>
              </w:rPr>
              <w:footnoteReference w:id="16"/>
            </w:r>
            <w:r>
              <w:rPr>
                <w:noProof/>
                <w:sz w:val="21"/>
              </w:rPr>
              <w:t xml:space="preserve"> </w:t>
            </w:r>
          </w:p>
          <w:p>
            <w:pPr>
              <w:spacing w:before="0" w:after="0" w:line="276" w:lineRule="auto"/>
              <w:rPr>
                <w:noProof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b/>
                <w:noProof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b/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b/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b/>
                <w:noProof/>
                <w:sz w:val="20"/>
              </w:rPr>
            </w:pPr>
          </w:p>
        </w:tc>
      </w:tr>
      <w:tr>
        <w:trPr>
          <w:trHeight w:val="31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 w:line="276" w:lineRule="auto"/>
              <w:rPr>
                <w:noProof/>
              </w:rPr>
            </w:pPr>
            <w:r>
              <w:rPr>
                <w:noProof/>
                <w:sz w:val="20"/>
              </w:rPr>
              <w:t>Rozpočtová položka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noProof/>
                <w:sz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40" w:after="40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 w:line="276" w:lineRule="auto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after="40" w:line="276" w:lineRule="auto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</w:rPr>
              <w:t>CELKEM prostředky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pro GŘ</w:t>
            </w:r>
            <w:r>
              <w:rPr>
                <w:noProof/>
                <w:sz w:val="22"/>
              </w:rPr>
              <w:t xml:space="preserve">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=1a+1b +3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99,130524</w:t>
            </w:r>
          </w:p>
        </w:tc>
      </w:tr>
      <w:t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after="0" w:line="276" w:lineRule="auto"/>
              <w:jc w:val="left"/>
              <w:rPr>
                <w:b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=2a+2b</w:t>
            </w:r>
          </w:p>
          <w:p>
            <w:pPr>
              <w:spacing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99,130524</w:t>
            </w:r>
          </w:p>
        </w:tc>
      </w:tr>
      <w:t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after="0" w:line="276" w:lineRule="auto"/>
              <w:jc w:val="left"/>
              <w:rPr>
                <w:b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  <w:p>
            <w:pPr>
              <w:spacing w:line="276" w:lineRule="auto"/>
              <w:jc w:val="center"/>
              <w:rPr>
                <w:noProof/>
                <w:sz w:val="1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99,130524</w:t>
            </w:r>
          </w:p>
        </w:tc>
      </w:tr>
      <w:t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after="0" w:line="276" w:lineRule="auto"/>
              <w:jc w:val="left"/>
              <w:rPr>
                <w:b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 w:line="276" w:lineRule="auto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  <w:p>
            <w:pPr>
              <w:spacing w:line="276" w:lineRule="auto"/>
              <w:jc w:val="center"/>
              <w:rPr>
                <w:noProof/>
                <w:sz w:val="1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99,130524</w:t>
            </w:r>
          </w:p>
        </w:tc>
      </w:tr>
    </w:tbl>
    <w:p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br/>
        <w:t xml:space="preserve"> </w:t>
      </w:r>
      <w:r>
        <w:rPr>
          <w:noProof/>
        </w:rPr>
        <w:br/>
      </w:r>
    </w:p>
    <w:tbl>
      <w:tblPr>
        <w:tblW w:w="121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868"/>
        <w:gridCol w:w="868"/>
      </w:tblGrid>
      <w:tr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  <w:sz w:val="22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Prostředky správní povahy financované z rámce na zvláštní programy CELKEM 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Celkem prostředky z OKRUHU 2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víceletého finančního rámce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=4+6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99,130524</w:t>
            </w:r>
          </w:p>
        </w:tc>
      </w:tr>
      <w:tr>
        <w:tc>
          <w:tcPr>
            <w:tcW w:w="3960" w:type="dxa"/>
            <w:vMerge/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=5+6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99,130524</w:t>
            </w:r>
          </w:p>
        </w:tc>
      </w:tr>
    </w:tbl>
    <w:p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Má-li návrh/podnět dopad na více okruhů: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868"/>
        <w:gridCol w:w="868"/>
      </w:tblGrid>
      <w:tr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Operační prostředky CELKEM </w:t>
            </w:r>
          </w:p>
        </w:tc>
        <w:tc>
          <w:tcPr>
            <w:tcW w:w="1440" w:type="dxa"/>
            <w:tcBorders>
              <w:top w:val="single" w:sz="4" w:space="0" w:color="FF0000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654" w:type="dxa"/>
            <w:tcBorders>
              <w:top w:val="single" w:sz="4" w:space="0" w:color="FF0000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tcBorders>
              <w:top w:val="single" w:sz="4" w:space="0" w:color="FF0000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FF0000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FF0000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FF0000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FF0000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FF0000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99,130524</w:t>
            </w: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99,130524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  <w:sz w:val="22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Prostředky správní povahy financované z rámce na zvláštní programy CELKEM 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Prostředky CELKEM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22"/>
              </w:rPr>
              <w:t>z OKRUHŮ 1 až 4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víceletého finančního rámce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20"/>
              </w:rPr>
              <w:t>(referenční částka)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=4+6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99,130524</w:t>
            </w:r>
          </w:p>
        </w:tc>
      </w:tr>
      <w:tr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FF0000"/>
            </w:tcBorders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654" w:type="dxa"/>
            <w:tcBorders>
              <w:bottom w:val="single" w:sz="4" w:space="0" w:color="FF0000"/>
            </w:tcBorders>
            <w:vAlign w:val="center"/>
          </w:tcPr>
          <w:p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=5+6</w:t>
            </w:r>
          </w:p>
        </w:tc>
        <w:tc>
          <w:tcPr>
            <w:tcW w:w="868" w:type="dxa"/>
            <w:tcBorders>
              <w:bottom w:val="single" w:sz="4" w:space="0" w:color="FF0000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bottom w:val="single" w:sz="4" w:space="0" w:color="FF0000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bottom w:val="single" w:sz="4" w:space="0" w:color="FF0000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bottom w:val="single" w:sz="4" w:space="0" w:color="FF0000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bottom w:val="single" w:sz="4" w:space="0" w:color="FF0000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bottom w:val="single" w:sz="4" w:space="0" w:color="FF0000"/>
            </w:tcBorders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99,130524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 xml:space="preserve">Okruh víceletého finančního rámce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„Správní výdaje“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v milionech EUR (zaokrouhleno na tři desetinná místa)</w:t>
      </w:r>
    </w:p>
    <w:tbl>
      <w:tblPr>
        <w:tblW w:w="131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510"/>
        <w:gridCol w:w="358"/>
        <w:gridCol w:w="868"/>
        <w:gridCol w:w="868"/>
        <w:gridCol w:w="510"/>
        <w:gridCol w:w="358"/>
        <w:gridCol w:w="899"/>
        <w:gridCol w:w="992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899" w:type="dxa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2026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CELKEM</w:t>
            </w:r>
          </w:p>
        </w:tc>
      </w:tr>
      <w:tr>
        <w:trPr>
          <w:gridAfter w:val="4"/>
          <w:wAfter w:w="4026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GŘ: &lt;…….&gt;</w:t>
            </w:r>
          </w:p>
        </w:tc>
        <w:tc>
          <w:tcPr>
            <w:tcW w:w="2604" w:type="dxa"/>
            <w:gridSpan w:val="3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2604" w:type="dxa"/>
            <w:gridSpan w:val="4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Lidské zdroje 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99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Ostatní správní výdaje 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99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992" w:type="dxa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GŘ</w:t>
            </w:r>
            <w:r>
              <w:rPr>
                <w:noProof/>
                <w:sz w:val="22"/>
              </w:rPr>
              <w:t xml:space="preserve"> &lt;…….&gt; </w:t>
            </w:r>
            <w:r>
              <w:rPr>
                <w:b/>
                <w:noProof/>
                <w:sz w:val="22"/>
              </w:rPr>
              <w:t>CELKEM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Prostředky 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99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992" w:type="dxa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CELKEM prostředky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2"/>
              </w:rPr>
              <w:t>na OKRUH 5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víceletého finančního rámce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(Závazky celkem = platby celkem)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v milionech EUR (zaokrouhleno na tři desetinná místa)</w:t>
      </w:r>
    </w:p>
    <w:tbl>
      <w:tblPr>
        <w:tblW w:w="131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99"/>
        <w:gridCol w:w="992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2021</w:t>
            </w:r>
            <w:r>
              <w:rPr>
                <w:rStyle w:val="FootnoteReference"/>
                <w:b/>
                <w:noProof/>
                <w:sz w:val="20"/>
              </w:rPr>
              <w:footnoteReference w:id="17"/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899" w:type="dxa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2025</w:t>
            </w:r>
          </w:p>
        </w:tc>
        <w:tc>
          <w:tcPr>
            <w:tcW w:w="992" w:type="dxa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2026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CELKEM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Prostředky CELKEM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22"/>
              </w:rPr>
              <w:t>z OKRUHŮ 1 až 5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noProof/>
                <w:sz w:val="22"/>
              </w:rPr>
              <w:t>víceletého finančního rámce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Závazky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99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92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1777" w:type="dxa"/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99,130524</w:t>
            </w: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Platby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68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899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92" w:type="dxa"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1777" w:type="dxa"/>
            <w:vAlign w:val="center"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99,130524</w:t>
            </w:r>
          </w:p>
        </w:tc>
      </w:tr>
    </w:tbl>
    <w:p>
      <w:pPr>
        <w:rPr>
          <w:noProof/>
        </w:rPr>
        <w:sectPr>
          <w:headerReference w:type="default" r:id="rId12"/>
          <w:footerReference w:type="default" r:id="rId13"/>
          <w:headerReference w:type="first" r:id="rId14"/>
          <w:footerReference w:type="first" r:id="rId15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3.2.2.</w:t>
      </w:r>
      <w:r>
        <w:tab/>
      </w:r>
      <w:r>
        <w:rPr>
          <w:noProof/>
        </w:rPr>
        <w:t xml:space="preserve">Odhadovaný dopad na operační prostředky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Návrh/podnět nevyžaduje využití operačních prostředků.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Návrh/podnět vyžaduje využití operačních prostředků, jak je vysvětleno dále: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Prostředky na závazky v milionech EUR (zaokrouhleno na tři desetinná místa)</w:t>
      </w:r>
    </w:p>
    <w:tbl>
      <w:tblPr>
        <w:tblW w:w="12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416"/>
        <w:gridCol w:w="6"/>
        <w:gridCol w:w="888"/>
        <w:gridCol w:w="12"/>
        <w:gridCol w:w="513"/>
        <w:gridCol w:w="6"/>
        <w:gridCol w:w="147"/>
        <w:gridCol w:w="351"/>
        <w:gridCol w:w="6"/>
        <w:gridCol w:w="714"/>
        <w:gridCol w:w="6"/>
        <w:gridCol w:w="534"/>
        <w:gridCol w:w="6"/>
        <w:gridCol w:w="714"/>
        <w:gridCol w:w="6"/>
        <w:gridCol w:w="714"/>
        <w:gridCol w:w="6"/>
        <w:gridCol w:w="714"/>
        <w:gridCol w:w="6"/>
        <w:gridCol w:w="894"/>
        <w:gridCol w:w="6"/>
        <w:gridCol w:w="717"/>
        <w:gridCol w:w="6"/>
        <w:gridCol w:w="534"/>
        <w:gridCol w:w="6"/>
        <w:gridCol w:w="702"/>
        <w:gridCol w:w="12"/>
        <w:gridCol w:w="930"/>
        <w:gridCol w:w="12"/>
        <w:gridCol w:w="1272"/>
        <w:gridCol w:w="6"/>
        <w:gridCol w:w="894"/>
        <w:gridCol w:w="6"/>
        <w:gridCol w:w="12"/>
      </w:tblGrid>
      <w:tr>
        <w:trPr>
          <w:gridBefore w:val="1"/>
          <w:wBefore w:w="6" w:type="dxa"/>
          <w:jc w:val="center"/>
        </w:trPr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Uveďte cíle a výstupy </w:t>
            </w:r>
          </w:p>
          <w:p>
            <w:pPr>
              <w:spacing w:line="276" w:lineRule="auto"/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2021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2022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2023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2024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2025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2026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CELKEM</w:t>
            </w:r>
          </w:p>
        </w:tc>
      </w:tr>
      <w:tr>
        <w:trPr>
          <w:gridBefore w:val="1"/>
          <w:gridAfter w:val="27"/>
          <w:wBefore w:w="6" w:type="dxa"/>
          <w:wAfter w:w="9786" w:type="dxa"/>
          <w:trHeight w:val="465"/>
          <w:jc w:val="center"/>
        </w:trPr>
        <w:tc>
          <w:tcPr>
            <w:tcW w:w="1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before="0" w:after="0" w:line="276" w:lineRule="auto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Before w:val="1"/>
          <w:gridAfter w:val="1"/>
          <w:wBefore w:w="6" w:type="dxa"/>
          <w:wAfter w:w="12" w:type="dxa"/>
          <w:cantSplit/>
          <w:trHeight w:val="1134"/>
          <w:jc w:val="center"/>
        </w:trPr>
        <w:tc>
          <w:tcPr>
            <w:tcW w:w="142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>
            <w:pPr>
              <w:spacing w:before="0" w:after="0" w:line="276" w:lineRule="auto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Druh</w:t>
            </w:r>
            <w:r>
              <w:rPr>
                <w:rStyle w:val="FootnoteReference"/>
                <w:noProof/>
                <w:sz w:val="18"/>
              </w:rPr>
              <w:footnoteReference w:id="18"/>
            </w:r>
          </w:p>
          <w:p>
            <w:pPr>
              <w:spacing w:before="0" w:after="0" w:line="276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Průměrné náklady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pct10" w:color="auto" w:fill="auto"/>
            <w:textDirection w:val="btLr"/>
            <w:vAlign w:val="center"/>
            <w:hideMark/>
          </w:tcPr>
          <w:p>
            <w:pPr>
              <w:spacing w:line="276" w:lineRule="auto"/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textDirection w:val="btLr"/>
            <w:vAlign w:val="center"/>
            <w:hideMark/>
          </w:tcPr>
          <w:p>
            <w:pPr>
              <w:spacing w:line="276" w:lineRule="auto"/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textDirection w:val="btLr"/>
            <w:vAlign w:val="center"/>
            <w:hideMark/>
          </w:tcPr>
          <w:p>
            <w:pPr>
              <w:spacing w:line="276" w:lineRule="auto"/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textDirection w:val="btLr"/>
            <w:vAlign w:val="center"/>
            <w:hideMark/>
          </w:tcPr>
          <w:p>
            <w:pPr>
              <w:spacing w:line="276" w:lineRule="auto"/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textDirection w:val="btLr"/>
            <w:vAlign w:val="center"/>
            <w:hideMark/>
          </w:tcPr>
          <w:p>
            <w:pPr>
              <w:spacing w:line="276" w:lineRule="auto"/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Počet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>
            <w:pPr>
              <w:spacing w:line="276" w:lineRule="auto"/>
              <w:jc w:val="center"/>
              <w:rPr>
                <w:noProof/>
                <w:sz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Celkový počet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>
            <w:pPr>
              <w:spacing w:line="276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Náklady celkem</w:t>
            </w:r>
          </w:p>
        </w:tc>
      </w:tr>
      <w:tr>
        <w:trPr>
          <w:gridAfter w:val="2"/>
          <w:wAfter w:w="18" w:type="dxa"/>
          <w:jc w:val="center"/>
        </w:trPr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SPECIFICKÝ CÍL č. 1</w:t>
            </w:r>
            <w:r>
              <w:rPr>
                <w:rStyle w:val="FootnoteReference"/>
                <w:noProof/>
                <w:sz w:val="18"/>
              </w:rPr>
              <w:footnoteReference w:id="19"/>
            </w:r>
            <w:r>
              <w:rPr>
                <w:noProof/>
                <w:sz w:val="18"/>
              </w:rPr>
              <w:t>...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2"/>
          <w:wAfter w:w="18" w:type="dxa"/>
          <w:trHeight w:hRule="exact" w:val="605"/>
          <w:jc w:val="center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– Přístup 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Ročně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13,590754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13,590754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13,590754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13,590754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13,590754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13,590754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81,544524</w:t>
            </w:r>
          </w:p>
        </w:tc>
      </w:tr>
      <w:tr>
        <w:trPr>
          <w:gridAfter w:val="2"/>
          <w:wAfter w:w="18" w:type="dxa"/>
          <w:trHeight w:hRule="exact" w:val="369"/>
          <w:jc w:val="center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odvětvový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Ročně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2,931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2,931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2,931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2,931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2,931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2,931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17,586000</w:t>
            </w:r>
          </w:p>
        </w:tc>
      </w:tr>
      <w:tr>
        <w:trPr>
          <w:gridAfter w:val="2"/>
          <w:wAfter w:w="18" w:type="dxa"/>
          <w:trHeight w:hRule="exact" w:val="369"/>
          <w:jc w:val="center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Výstup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2"/>
          <w:wAfter w:w="18" w:type="dxa"/>
          <w:trHeight w:val="77"/>
          <w:jc w:val="center"/>
        </w:trPr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Mezisoučet za specifický cíl č. 1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gridAfter w:val="2"/>
          <w:wAfter w:w="18" w:type="dxa"/>
          <w:jc w:val="center"/>
        </w:trPr>
        <w:tc>
          <w:tcPr>
            <w:tcW w:w="28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CELKEM</w:t>
            </w:r>
          </w:p>
        </w:tc>
        <w:tc>
          <w:tcPr>
            <w:tcW w:w="50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before="180" w:after="18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before="180" w:after="18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before="180" w:after="18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before="180" w:after="18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before="180" w:after="18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>
            <w:pPr>
              <w:spacing w:line="276" w:lineRule="auto"/>
              <w:rPr>
                <w:noProof/>
              </w:rPr>
            </w:pPr>
            <w:r>
              <w:rPr>
                <w:noProof/>
                <w:sz w:val="20"/>
              </w:rPr>
              <w:t>16,521754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before="180" w:after="180" w:line="276" w:lineRule="auto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before="20" w:after="20" w:line="276" w:lineRule="auto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99,130524</w:t>
            </w:r>
          </w:p>
        </w:tc>
      </w:tr>
    </w:tbl>
    <w:p>
      <w:pPr>
        <w:rPr>
          <w:noProof/>
        </w:rPr>
        <w:sect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3.2.3.</w:t>
      </w:r>
      <w:r>
        <w:tab/>
      </w:r>
      <w:r>
        <w:rPr>
          <w:noProof/>
        </w:rPr>
        <w:t>Odhadovaný dopad na prostředky správní povahy</w:t>
      </w:r>
    </w:p>
    <w:p>
      <w:pPr>
        <w:pStyle w:val="ManualHeading4"/>
        <w:rPr>
          <w:noProof/>
        </w:rPr>
      </w:pPr>
      <w:r>
        <w:t>3.2.3.1.</w:t>
      </w:r>
      <w:r>
        <w:tab/>
      </w:r>
      <w:r>
        <w:rPr>
          <w:noProof/>
        </w:rPr>
        <w:t xml:space="preserve">Souhrn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Návrh/podnět nevyžaduje využití prostředků správní povahy.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Návrh/podnět vyžaduje využití prostředků správní povahy, jak je vysvětleno dále:</w:t>
      </w:r>
    </w:p>
    <w:p>
      <w:pPr>
        <w:rPr>
          <w:noProof/>
          <w:sz w:val="20"/>
        </w:rPr>
      </w:pPr>
      <w:r>
        <w:rPr>
          <w:noProof/>
          <w:sz w:val="20"/>
        </w:rPr>
        <w:t>v milionech EUR (zaokrouhleno na tři desetinná místa)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N </w:t>
            </w:r>
            <w:r>
              <w:rPr>
                <w:rStyle w:val="FootnoteReference"/>
                <w:b/>
                <w:noProof/>
                <w:sz w:val="16"/>
              </w:rPr>
              <w:footnoteReference w:id="20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Vložit počet let podle trvání finančního dopadu (viz bod 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CELKEM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OKRUH 5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víceletého finančního rámce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Lidské zdroje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Ostatní správní výdaje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Mezisoučet za OKRUH 5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víceletého finančního rámce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Mimo OKRUH 5</w:t>
            </w:r>
            <w:r>
              <w:rPr>
                <w:rStyle w:val="FootnoteReference"/>
                <w:b/>
                <w:noProof/>
                <w:sz w:val="16"/>
              </w:rPr>
              <w:footnoteReference w:id="21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of the multiannual financial framework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Lidské zdroje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Ostatní výdaje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16"/>
              </w:rPr>
              <w:t>správní povahy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Mezisoučet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16"/>
              </w:rPr>
              <w:t>mimo OKRUH 5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 xml:space="preserve">víceletého finančního rámce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CELKEM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rPr>
          <w:noProof/>
          <w:sz w:val="18"/>
        </w:rPr>
        <w:sectPr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18"/>
        </w:rPr>
        <w:t>Potřebné prostředky na oblast lidských zdrojů a na ostatní výdaje správní povahy budou pokryty z prostředků GŘ, které jsou již vyčleněny na řízení akce a/nebo byly vnitřně přerozděleny v rámci GŘ a případně doplněny z dodatečného přídělu, který lze řídícímu GŘ poskytnout v rámci ročního přidělování a s ohledem na rozpočtová omezení.</w:t>
      </w:r>
    </w:p>
    <w:p>
      <w:pPr>
        <w:pStyle w:val="ManualHeading4"/>
        <w:rPr>
          <w:bCs/>
          <w:noProof/>
          <w:szCs w:val="24"/>
        </w:rPr>
      </w:pPr>
      <w:r>
        <w:t>3.2.3.2.</w:t>
      </w:r>
      <w:r>
        <w:tab/>
      </w:r>
      <w:r>
        <w:rPr>
          <w:noProof/>
        </w:rPr>
        <w:t>Odhadované potřeby v oblasti lidských zdrojů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 xml:space="preserve">Návrh/podnět nevyžaduje využití lidských zdrojů.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Návrh/podnět vyžaduje využití lidských zdrojů, jak je vysvětleno dále: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Odhad vyjádřete v přepočtu na plné pracovní úvazky</w:t>
      </w:r>
    </w:p>
    <w:tbl>
      <w:tblPr>
        <w:tblW w:w="554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952"/>
        <w:gridCol w:w="1954"/>
        <w:gridCol w:w="655"/>
        <w:gridCol w:w="655"/>
        <w:gridCol w:w="3894"/>
        <w:gridCol w:w="465"/>
        <w:gridCol w:w="237"/>
        <w:gridCol w:w="237"/>
        <w:gridCol w:w="236"/>
      </w:tblGrid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Rok </w:t>
            </w:r>
            <w:r>
              <w:rPr>
                <w:b/>
                <w:noProof/>
                <w:sz w:val="16"/>
                <w:szCs w:val="16"/>
              </w:rPr>
              <w:t>N+2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Rok </w:t>
            </w:r>
            <w:r>
              <w:rPr>
                <w:b/>
                <w:noProof/>
                <w:sz w:val="16"/>
                <w:szCs w:val="16"/>
              </w:rPr>
              <w:t>N+3</w:t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Vložit počet let podle trvání finančního dopadu (viz bod 1.6)</w:t>
            </w: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4424" w:type="pct"/>
            <w:gridSpan w:val="5"/>
            <w:shd w:val="clear" w:color="auto" w:fill="auto"/>
          </w:tcPr>
          <w:p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Pracovní místa podle plánu pracovních míst (místa úředníků a dočasných zaměstnanců)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(v ústředí a v zastoupeních Komise)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(při delegacích)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 (v nepřímém výzkumu)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 (v přímém výzkumu)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After w:val="4"/>
          <w:wAfter w:w="570" w:type="pct"/>
          <w:trHeight w:val="248"/>
          <w:jc w:val="center"/>
        </w:trPr>
        <w:tc>
          <w:tcPr>
            <w:tcW w:w="4430" w:type="pct"/>
            <w:gridSpan w:val="6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Externí zaměstnanci (v přepočtu na plné pracovní úvazky: FTE)</w:t>
            </w:r>
            <w:r>
              <w:rPr>
                <w:rStyle w:val="FootnoteReference"/>
                <w:b/>
                <w:noProof/>
                <w:sz w:val="16"/>
              </w:rPr>
              <w:footnoteReference w:id="22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(SZ, VNO, ZAP z celkového rámce)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(SZ, MZ, VNO, ZAP a MOD při delegacích)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XX</w:t>
            </w:r>
            <w:r>
              <w:rPr>
                <w:noProof/>
                <w:sz w:val="16"/>
                <w:szCs w:val="16"/>
              </w:rPr>
              <w:t xml:space="preserve"> 01 04 </w:t>
            </w:r>
            <w:r>
              <w:rPr>
                <w:b/>
                <w:noProof/>
                <w:sz w:val="16"/>
                <w:szCs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23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– v ústředí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– při delegacích 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XX</w:t>
            </w:r>
            <w:r>
              <w:rPr>
                <w:noProof/>
                <w:sz w:val="16"/>
                <w:szCs w:val="16"/>
              </w:rPr>
              <w:t xml:space="preserve"> 01 05 02 (SZ, VNO, ZAP v nepřímém výzkumu)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(SZ, ZAP, VNO v přímém výzkumu)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Jiné rozpočtové položky (upřesněte)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CELKEM</w:t>
            </w: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8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  <w:szCs w:val="18"/>
        </w:rPr>
        <w:t>XX</w:t>
      </w:r>
      <w:r>
        <w:rPr>
          <w:noProof/>
          <w:sz w:val="18"/>
          <w:szCs w:val="18"/>
        </w:rPr>
        <w:t xml:space="preserve"> je oblast politiky nebo dotčená hlava rozpočtu.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Potřeby v oblasti lidských zdrojů budou pokryty ze zdrojů GŘ, které jsou již vyčleněny na řízení akce a/nebo byly vnitřně přeobsazeny v rámci GŘ, a případně doplněny z dodatečného přídělu, který lze řídícímu GŘ poskytnout v rámci ročního přidělování a s ohledem na rozpočtová omezení.</w:t>
      </w:r>
    </w:p>
    <w:p>
      <w:pPr>
        <w:rPr>
          <w:noProof/>
          <w:sz w:val="20"/>
        </w:rPr>
      </w:pPr>
      <w:r>
        <w:rPr>
          <w:noProof/>
          <w:sz w:val="20"/>
        </w:rPr>
        <w:t>Popis úkolů: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Úředníci a dočasní zaměstnanci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Externí zaměstnanci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3.2.4.</w:t>
      </w:r>
      <w:r>
        <w:tab/>
      </w:r>
      <w:r>
        <w:rPr>
          <w:noProof/>
        </w:rPr>
        <w:t xml:space="preserve">Slučitelnost se stávajícím víceletým finančním rámcem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Návrh/podnět je v souladu se stávajícím víceletým finančním rámcem.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Návrh/podnět si vyžádá úpravu příslušného okruhu víceletého finančního rámce.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 xml:space="preserve">   To se týká využití rezervy (kapitola 40).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Návrh/podnět vyžaduje použití nástroje pružnosti nebo revizi víceletého finančního rámce.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Upřesněte, co se požaduje, příslušné okruhy a rozpočtové položky a odpovídající částky.</w:t>
      </w:r>
    </w:p>
    <w:p>
      <w:pPr>
        <w:pStyle w:val="ManualHeading3"/>
        <w:rPr>
          <w:bCs/>
          <w:noProof/>
          <w:szCs w:val="24"/>
        </w:rPr>
      </w:pPr>
      <w:r>
        <w:t>3.2.5.</w:t>
      </w:r>
      <w:r>
        <w:tab/>
      </w:r>
      <w:r>
        <w:rPr>
          <w:noProof/>
        </w:rPr>
        <w:t xml:space="preserve">Příspěvky třetích stran </w:t>
      </w:r>
    </w:p>
    <w:p>
      <w:pPr>
        <w:pStyle w:val="ListDash1"/>
        <w:rPr>
          <w:noProof/>
        </w:rPr>
      </w:pPr>
      <w:r>
        <w:rPr>
          <w:noProof/>
        </w:rPr>
        <w:t xml:space="preserve">X Návrh/podnět nepočítá se spolufinancováním od třetích stran.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Návrh/podnět počítá se spolufinancováním podle následujícího odhadu: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prostředky v milionech EUR (zaokrouhleno na tři desetinná místa)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Vložit počet let podle trvání finančního dopadu (viz bod 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Celkem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Upřesněte spolufinancující subjekt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Spolufinancované prostředky CELKEM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br/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3.3.</w:t>
      </w:r>
      <w:r>
        <w:tab/>
      </w:r>
      <w:r>
        <w:rPr>
          <w:noProof/>
        </w:rPr>
        <w:t xml:space="preserve">Odhadovaný dopad na příjmy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Návrh/podnět nemá žádný finanční dopad na příjmy.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Návrh/podnět má tento finanční dopad: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na vlastní zdroje 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na různé příjmy </w:t>
      </w:r>
    </w:p>
    <w:p>
      <w:pPr>
        <w:jc w:val="right"/>
        <w:rPr>
          <w:i/>
          <w:noProof/>
          <w:sz w:val="20"/>
        </w:rPr>
      </w:pPr>
      <w:r>
        <w:rPr>
          <w:noProof/>
        </w:rPr>
        <w:t>v milionech EUR (zaokrouhleno na tři desetinná místa)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Příjmová rozpočtová položka: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Prostředky dostupné v běžném rozpočtovém roce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Dopad návrhu/podnětu</w:t>
            </w:r>
            <w:r>
              <w:rPr>
                <w:rStyle w:val="FootnoteReference"/>
                <w:noProof/>
                <w:sz w:val="18"/>
              </w:rPr>
              <w:footnoteReference w:id="24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Vložit počet let podle trvání finančního dopadu (viz bod 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Článek ………….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U účelově vázaných různých příjmů upřesněte dotčené výdajové rozpočtové položky.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rPr>
          <w:noProof/>
          <w:sz w:val="20"/>
        </w:rPr>
      </w:pPr>
      <w:r>
        <w:rPr>
          <w:noProof/>
          <w:sz w:val="20"/>
        </w:rPr>
        <w:t>Upřesněte způsob výpočtu dopadu na příjmy.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sectPr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</w:r>
    </w:p>
  </w:footnote>
  <w:footnote w:id="2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https://www.consilium.europa.eu/cs/documents-publications/treaties-agreements/agreement/?id=2007046&amp;DocLanguage=en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Úř. věst. L 172, 30.6.2007.</w:t>
      </w:r>
    </w:p>
  </w:footnote>
  <w:footnote w:id="4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Úř. věst. L 305, 21.11.2015, s. 1.</w:t>
      </w:r>
    </w:p>
  </w:footnote>
  <w:footnote w:id="5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https://www.consilium.europa.eu/cs/documents-publications/treaties-agreements/agreement/?id=2015055&amp;DocLanguage=en</w:t>
      </w:r>
    </w:p>
  </w:footnote>
  <w:footnote w:id="6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Úř. věst. L 354, 28.12.2013, s. 22.</w:t>
      </w:r>
    </w:p>
  </w:footnote>
  <w:footnote w:id="7">
    <w:p>
      <w:pPr>
        <w:pStyle w:val="FootnoteText"/>
        <w:ind w:left="0" w:firstLine="0"/>
      </w:pPr>
      <w:r>
        <w:rPr>
          <w:rStyle w:val="FootnoteReference"/>
        </w:rPr>
        <w:footnoteRef/>
      </w:r>
      <w:r>
        <w:tab/>
        <w:t>Závěry Rady ze dne 19. března 2012 ke sdělení Komise o </w:t>
      </w:r>
      <w:r>
        <w:rPr>
          <w:i/>
          <w:iCs/>
        </w:rPr>
        <w:t>vnější dimenzi společné rybářské politiky</w:t>
      </w:r>
      <w:r>
        <w:t>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V souladu s interinstitucionální dohodou o spolupráci v rozpočtových záležitostech (2013/C 373/01).</w:t>
      </w:r>
    </w:p>
  </w:footnote>
  <w:footnote w:id="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ABM: řízení podle činností; ABB: sestavování rozpočtu podle činností.</w:t>
      </w:r>
    </w:p>
  </w:footnote>
  <w:footnote w:id="1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Uvedené v čl. 54 odst. 2 písm. a) nebo b) finančního nařízení.</w:t>
      </w:r>
    </w:p>
  </w:footnote>
  <w:footnote w:id="1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Vysvětlení způsobů řízení spolu s odkazem na finanční nařízení jsou k dispozici na stránkách BudgWeb: </w:t>
      </w:r>
      <w:hyperlink r:id="rId1" w:history="1">
        <w:r>
          <w:rPr>
            <w:rStyle w:val="Hyperlink"/>
            <w:sz w:val="18"/>
          </w:rPr>
          <w:t>http://www.cc.cec/budg/man/budgmanag/budgmanag_en.html</w:t>
        </w:r>
      </w:hyperlink>
    </w:p>
  </w:footnote>
  <w:footnote w:id="1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RP = rozlišené prostředky / NRP = nerozlišené prostředky.</w:t>
      </w:r>
    </w:p>
  </w:footnote>
  <w:footnote w:id="1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ESVO: Evropské sdružení volného obchodu. </w:t>
      </w:r>
    </w:p>
  </w:footnote>
  <w:footnote w:id="1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Kandidátské země a případně potenciální kandidátské země západního Balkánu.</w:t>
      </w:r>
    </w:p>
  </w:footnote>
  <w:footnote w:id="15">
    <w:p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Podle oficiální rozpočtové nomenklatury.</w:t>
      </w:r>
    </w:p>
  </w:footnote>
  <w:footnote w:id="1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</w:r>
      <w:r>
        <w:rPr>
          <w:sz w:val="18"/>
        </w:rPr>
        <w:t>Technická a/nebo administrativní pomoc a výdaje na podporu provádění programů a/nebo akcí EU (bývalé položky „BA“), nepřímý výzkum, přímý výzkum.</w:t>
      </w:r>
    </w:p>
  </w:footnote>
  <w:footnote w:id="1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Rokem N se rozumí rok, kdy se návrh/podnět začíná provádět.</w:t>
      </w:r>
    </w:p>
  </w:footnote>
  <w:footnote w:id="1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Výstupy se rozumí produkty a služby, které mají být dodány (např.: počet financovaných studentských výměn, počet vybudovaných kilometrů silnic atd.).</w:t>
      </w:r>
    </w:p>
  </w:footnote>
  <w:footnote w:id="1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Popsaný v bodě 1.4.2. „Specifické cíle…“. </w:t>
      </w:r>
    </w:p>
  </w:footnote>
  <w:footnote w:id="2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Rokem N se rozumí rok, kdy se návrh/podnět začíná provádět.</w:t>
      </w:r>
    </w:p>
  </w:footnote>
  <w:footnote w:id="2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Technická a/nebo administrativní pomoc a výdaje na podporu provádění programů a/nebo akcí EU (bývalé položky „BA“), nepřímý výzkum, přímý výzkum.</w:t>
      </w:r>
    </w:p>
  </w:footnote>
  <w:footnote w:id="2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SZ = smluvní zaměstnanec; MZ = místní zaměstnanec; VNO = vyslaný národní odborník; ZAP = zaměstnanec agentury práce; MOD = mladý odborník při delegaci. </w:t>
      </w:r>
    </w:p>
  </w:footnote>
  <w:footnote w:id="2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Dílčí strop na externí zaměstnance financované z operačních prostředků (bývalé položky „BA“).</w:t>
      </w:r>
    </w:p>
  </w:footnote>
  <w:footnote w:id="2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Pokud jde o tradiční vlastní zdroje (cla, dávky z cukru), je třeba uvést čisté částky, tj. hrubé částky po odečtení 25 % nákladů na výběr.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">
    <w:nsid w:val="128364B0"/>
    <w:multiLevelType w:val="singleLevel"/>
    <w:tmpl w:val="D084FB54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">
    <w:nsid w:val="13E4330B"/>
    <w:multiLevelType w:val="multilevel"/>
    <w:tmpl w:val="875C4416"/>
    <w:name w:val="List Dash 3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6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7">
    <w:nsid w:val="2D820C1F"/>
    <w:multiLevelType w:val="singleLevel"/>
    <w:tmpl w:val="7896AADE"/>
    <w:name w:val="List Dash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8">
    <w:nsid w:val="2F191641"/>
    <w:multiLevelType w:val="multilevel"/>
    <w:tmpl w:val="B67C4E92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1CD398A"/>
    <w:multiLevelType w:val="singleLevel"/>
    <w:tmpl w:val="0276BF00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0">
    <w:nsid w:val="398C015E"/>
    <w:multiLevelType w:val="multilevel"/>
    <w:tmpl w:val="027A66BA"/>
    <w:name w:val="List Dash 4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5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6">
    <w:nsid w:val="542A1204"/>
    <w:multiLevelType w:val="multilevel"/>
    <w:tmpl w:val="BC1E8404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DF84969"/>
    <w:multiLevelType w:val="singleLevel"/>
    <w:tmpl w:val="1E12021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3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3D73F7A"/>
    <w:multiLevelType w:val="singleLevel"/>
    <w:tmpl w:val="2636573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7">
    <w:nsid w:val="76BC5C11"/>
    <w:multiLevelType w:val="singleLevel"/>
    <w:tmpl w:val="E44CE82E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8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5"/>
  </w:num>
  <w:num w:numId="5">
    <w:abstractNumId w:val="14"/>
  </w:num>
  <w:num w:numId="6">
    <w:abstractNumId w:val="25"/>
  </w:num>
  <w:num w:numId="7">
    <w:abstractNumId w:val="22"/>
  </w:num>
  <w:num w:numId="8">
    <w:abstractNumId w:val="26"/>
  </w:num>
  <w:num w:numId="9">
    <w:abstractNumId w:val="27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  <w:num w:numId="14">
    <w:abstractNumId w:val="8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</w:num>
  <w:num w:numId="18">
    <w:abstractNumId w:val="21"/>
  </w:num>
  <w:num w:numId="19">
    <w:abstractNumId w:val="11"/>
  </w:num>
  <w:num w:numId="20">
    <w:abstractNumId w:val="24"/>
  </w:num>
  <w:num w:numId="21">
    <w:abstractNumId w:val="6"/>
  </w:num>
  <w:num w:numId="22">
    <w:abstractNumId w:val="12"/>
  </w:num>
  <w:num w:numId="23">
    <w:abstractNumId w:val="4"/>
  </w:num>
  <w:num w:numId="24">
    <w:abstractNumId w:val="23"/>
  </w:num>
  <w:num w:numId="25">
    <w:abstractNumId w:val="3"/>
  </w:num>
  <w:num w:numId="26">
    <w:abstractNumId w:val="13"/>
  </w:num>
  <w:num w:numId="27">
    <w:abstractNumId w:val="19"/>
  </w:num>
  <w:num w:numId="28">
    <w:abstractNumId w:val="20"/>
  </w:num>
  <w:num w:numId="29">
    <w:abstractNumId w:val="5"/>
  </w:num>
  <w:num w:numId="30">
    <w:abstractNumId w:val="17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1-03-03 23:21:4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6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7ADF0B44-17F9-417A-A453-95580BFB1A28"/>
    <w:docVar w:name="LW_COVERPAGE_TYPE" w:val="1"/>
    <w:docVar w:name="LW_CROSSREFERENCE" w:val="&lt;UNUSED&gt;"/>
    <w:docVar w:name="LW_DocType" w:val="COM"/>
    <w:docVar w:name="LW_EMISSION" w:val="16.2.2021"/>
    <w:docVar w:name="LW_EMISSION_ISODATE" w:val="2021-02-16"/>
    <w:docVar w:name="LW_EMISSION_LOCATION" w:val="BRX"/>
    <w:docVar w:name="LW_EMISSION_PREFIX" w:val="V Bruselu dne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EXP.MOTIFS.NEW" w:val="EM_PL_"/>
    <w:docVar w:name="LW_ID_STATUT" w:val="SJ-019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038"/>
    <w:docVar w:name="LW_REF.II.NEW.CP_YEAR" w:val="2021"/>
    <w:docVar w:name="LW_REF.INST.NEW" w:val="COM"/>
    <w:docVar w:name="LW_REF.INST.NEW_ADOPTED" w:val="final"/>
    <w:docVar w:name="LW_REF.INST.NEW_TEXT" w:val="(2021) 7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 podpisu jménem Evropské unie a prozatímním provád\u283?ní Dohody mezi Evropskou unií na jedné stran\u283? a vládou Grónska a vládou Dánska na stran\u283? druhé o partnerství v oblasti udr\u382?itelného rybolovu a provád\u283?cího protokolu k této dohod\u283?"/>
    <w:docVar w:name="LW_TYPE.DOC.CP" w:val="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pPr>
      <w:numPr>
        <w:numId w:val="2"/>
      </w:numPr>
    </w:pPr>
    <w:rPr>
      <w:rFonts w:eastAsia="Times New Roman"/>
      <w:lang w:eastAsia="de-DE"/>
    </w:rPr>
  </w:style>
  <w:style w:type="paragraph" w:styleId="ListNumber">
    <w:name w:val="List Number"/>
    <w:basedOn w:val="Normal"/>
    <w:pPr>
      <w:numPr>
        <w:numId w:val="6"/>
      </w:numPr>
    </w:pPr>
    <w:rPr>
      <w:rFonts w:eastAsia="Times New Roman"/>
      <w:lang w:eastAsia="de-DE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  <w:lang w:eastAsia="de-DE"/>
    </w:rPr>
  </w:style>
  <w:style w:type="paragraph" w:customStyle="1" w:styleId="ListDash">
    <w:name w:val="List Dash"/>
    <w:basedOn w:val="Normal"/>
    <w:pPr>
      <w:numPr>
        <w:numId w:val="3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4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6"/>
      </w:numPr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6"/>
      </w:numPr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6"/>
      </w:numPr>
    </w:pPr>
    <w:rPr>
      <w:rFonts w:eastAsia="Times New Roman"/>
      <w:lang w:eastAsia="de-DE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7"/>
      </w:numPr>
    </w:pPr>
    <w:rPr>
      <w:rFonts w:eastAsia="Times New Roman"/>
      <w:lang w:eastAsia="en-GB"/>
    </w:rPr>
  </w:style>
  <w:style w:type="paragraph" w:styleId="ListBullet2">
    <w:name w:val="List Bullet 2"/>
    <w:basedOn w:val="Normal"/>
    <w:pPr>
      <w:numPr>
        <w:numId w:val="8"/>
      </w:numPr>
    </w:pPr>
    <w:rPr>
      <w:rFonts w:eastAsia="Times New Roman"/>
      <w:lang w:eastAsia="en-GB"/>
    </w:rPr>
  </w:style>
  <w:style w:type="paragraph" w:styleId="ListBullet3">
    <w:name w:val="List Bullet 3"/>
    <w:basedOn w:val="Normal"/>
    <w:pPr>
      <w:numPr>
        <w:numId w:val="9"/>
      </w:numPr>
    </w:pPr>
    <w:rPr>
      <w:rFonts w:eastAsia="Times New Roman"/>
      <w:lang w:eastAsia="en-GB"/>
    </w:rPr>
  </w:style>
  <w:style w:type="paragraph" w:styleId="ListNumber2">
    <w:name w:val="List Number 2"/>
    <w:basedOn w:val="Normal"/>
    <w:pPr>
      <w:numPr>
        <w:numId w:val="13"/>
      </w:numPr>
    </w:pPr>
    <w:rPr>
      <w:rFonts w:eastAsia="Times New Roman"/>
      <w:lang w:eastAsia="en-GB"/>
    </w:rPr>
  </w:style>
  <w:style w:type="paragraph" w:styleId="ListNumber3">
    <w:name w:val="List Number 3"/>
    <w:basedOn w:val="Normal"/>
    <w:pPr>
      <w:numPr>
        <w:numId w:val="14"/>
      </w:numPr>
    </w:pPr>
    <w:rPr>
      <w:rFonts w:eastAsia="Times New Roman"/>
      <w:lang w:eastAsia="en-GB"/>
    </w:rPr>
  </w:style>
  <w:style w:type="paragraph" w:styleId="ListNumber4">
    <w:name w:val="List Number 4"/>
    <w:basedOn w:val="Normal"/>
    <w:pPr>
      <w:numPr>
        <w:numId w:val="15"/>
      </w:numPr>
    </w:pPr>
    <w:rPr>
      <w:rFonts w:eastAsia="Times New Roman"/>
      <w:lang w:eastAsia="en-GB"/>
    </w:rPr>
  </w:style>
  <w:style w:type="paragraph" w:customStyle="1" w:styleId="ListDash3">
    <w:name w:val="List Dash 3"/>
    <w:basedOn w:val="Normal"/>
    <w:pPr>
      <w:numPr>
        <w:numId w:val="10"/>
      </w:numPr>
    </w:pPr>
    <w:rPr>
      <w:rFonts w:eastAsia="Times New Roman"/>
      <w:lang w:eastAsia="en-GB"/>
    </w:rPr>
  </w:style>
  <w:style w:type="paragraph" w:customStyle="1" w:styleId="ListDash4">
    <w:name w:val="List Dash 4"/>
    <w:basedOn w:val="Normal"/>
    <w:pPr>
      <w:numPr>
        <w:numId w:val="11"/>
      </w:numPr>
    </w:pPr>
    <w:rPr>
      <w:rFonts w:eastAsia="Times New Roman"/>
      <w:lang w:eastAsia="en-GB"/>
    </w:rPr>
  </w:style>
  <w:style w:type="paragraph" w:customStyle="1" w:styleId="ListNumber1">
    <w:name w:val="List Number 1"/>
    <w:basedOn w:val="Text1"/>
    <w:pPr>
      <w:numPr>
        <w:numId w:val="12"/>
      </w:numPr>
    </w:pPr>
    <w:rPr>
      <w:rFonts w:eastAsia="Times New Roman"/>
      <w:lang w:eastAsia="en-GB"/>
    </w:rPr>
  </w:style>
  <w:style w:type="paragraph" w:customStyle="1" w:styleId="ListNumber1Level2">
    <w:name w:val="List Number 1 (Level 2)"/>
    <w:basedOn w:val="Text1"/>
    <w:pPr>
      <w:numPr>
        <w:ilvl w:val="1"/>
        <w:numId w:val="12"/>
      </w:numPr>
    </w:pPr>
    <w:rPr>
      <w:rFonts w:eastAsia="Times New Roman"/>
      <w:lang w:eastAsia="en-GB"/>
    </w:r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</w:pPr>
    <w:rPr>
      <w:rFonts w:eastAsia="Times New Roman"/>
      <w:lang w:eastAsia="en-GB"/>
    </w:r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</w:pPr>
    <w:rPr>
      <w:rFonts w:eastAsia="Times New Roman"/>
      <w:lang w:eastAsia="en-GB"/>
    </w:r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  <w:rPr>
      <w:rFonts w:eastAsia="Times New Roman"/>
      <w:lang w:eastAsia="en-GB"/>
    </w:rPr>
  </w:style>
  <w:style w:type="paragraph" w:customStyle="1" w:styleId="ListNumber1Level3">
    <w:name w:val="List Number 1 (Level 3)"/>
    <w:basedOn w:val="Text1"/>
    <w:pPr>
      <w:numPr>
        <w:ilvl w:val="2"/>
        <w:numId w:val="12"/>
      </w:numPr>
    </w:pPr>
    <w:rPr>
      <w:rFonts w:eastAsia="Times New Roman"/>
      <w:lang w:eastAsia="en-GB"/>
    </w:r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</w:pPr>
    <w:rPr>
      <w:rFonts w:eastAsia="Times New Roman"/>
      <w:lang w:eastAsia="en-GB"/>
    </w:r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</w:pPr>
    <w:rPr>
      <w:rFonts w:eastAsia="Times New Roman"/>
      <w:lang w:eastAsia="en-GB"/>
    </w:r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</w:pPr>
    <w:rPr>
      <w:rFonts w:eastAsia="Times New Roman"/>
      <w:lang w:eastAsia="en-GB"/>
    </w:rPr>
  </w:style>
  <w:style w:type="paragraph" w:customStyle="1" w:styleId="ListNumber1Level4">
    <w:name w:val="List Number 1 (Level 4)"/>
    <w:basedOn w:val="Text1"/>
    <w:pPr>
      <w:numPr>
        <w:ilvl w:val="3"/>
        <w:numId w:val="12"/>
      </w:numPr>
    </w:pPr>
    <w:rPr>
      <w:rFonts w:eastAsia="Times New Roman"/>
      <w:lang w:eastAsia="en-GB"/>
    </w:r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</w:pPr>
    <w:rPr>
      <w:rFonts w:eastAsia="Times New Roman"/>
      <w:lang w:eastAsia="en-GB"/>
    </w:r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</w:pPr>
    <w:rPr>
      <w:rFonts w:eastAsia="Times New Roman"/>
      <w:lang w:eastAsia="en-GB"/>
    </w:r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</w:pPr>
    <w:rPr>
      <w:rFonts w:eastAsia="Times New Roman"/>
      <w:lang w:eastAsia="en-GB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  <w:lang w:eastAsia="en-GB"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cs-CZ" w:eastAsia="en-GB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val="cs-CZ" w:eastAsia="en-GB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cs-CZ" w:eastAsia="en-GB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  <w:lang w:eastAsia="en-GB"/>
    </w:rPr>
  </w:style>
  <w:style w:type="paragraph" w:styleId="TableofFigures">
    <w:name w:val="table of figures"/>
    <w:basedOn w:val="Normal"/>
    <w:next w:val="Normal"/>
    <w:rPr>
      <w:rFonts w:eastAsia="Times New Roman"/>
      <w:lang w:eastAsia="en-GB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F">
    <w:name w:val="F"/>
    <w:basedOn w:val="Normal"/>
    <w:pPr>
      <w:jc w:val="center"/>
    </w:pPr>
    <w:rPr>
      <w:b/>
      <w:noProof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8"/>
      </w:numPr>
    </w:pPr>
  </w:style>
  <w:style w:type="paragraph" w:customStyle="1" w:styleId="Tiret1">
    <w:name w:val="Tiret 1"/>
    <w:basedOn w:val="Point1"/>
    <w:pPr>
      <w:numPr>
        <w:numId w:val="19"/>
      </w:numPr>
    </w:pPr>
  </w:style>
  <w:style w:type="paragraph" w:customStyle="1" w:styleId="Tiret2">
    <w:name w:val="Tiret 2"/>
    <w:basedOn w:val="Point2"/>
    <w:pPr>
      <w:numPr>
        <w:numId w:val="20"/>
      </w:numPr>
    </w:pPr>
  </w:style>
  <w:style w:type="paragraph" w:customStyle="1" w:styleId="Tiret3">
    <w:name w:val="Tiret 3"/>
    <w:basedOn w:val="Point3"/>
    <w:pPr>
      <w:numPr>
        <w:numId w:val="21"/>
      </w:numPr>
    </w:pPr>
  </w:style>
  <w:style w:type="paragraph" w:customStyle="1" w:styleId="Tiret4">
    <w:name w:val="Tiret 4"/>
    <w:basedOn w:val="Point4"/>
    <w:pPr>
      <w:numPr>
        <w:numId w:val="2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5"/>
      </w:numPr>
    </w:pPr>
  </w:style>
  <w:style w:type="paragraph" w:customStyle="1" w:styleId="Point1number">
    <w:name w:val="Point 1 (number)"/>
    <w:basedOn w:val="Normal"/>
    <w:pPr>
      <w:numPr>
        <w:ilvl w:val="2"/>
        <w:numId w:val="25"/>
      </w:numPr>
    </w:pPr>
  </w:style>
  <w:style w:type="paragraph" w:customStyle="1" w:styleId="Point2number">
    <w:name w:val="Point 2 (number)"/>
    <w:basedOn w:val="Normal"/>
    <w:pPr>
      <w:numPr>
        <w:ilvl w:val="4"/>
        <w:numId w:val="25"/>
      </w:numPr>
    </w:pPr>
  </w:style>
  <w:style w:type="paragraph" w:customStyle="1" w:styleId="Point3number">
    <w:name w:val="Point 3 (number)"/>
    <w:basedOn w:val="Normal"/>
    <w:pPr>
      <w:numPr>
        <w:ilvl w:val="6"/>
        <w:numId w:val="25"/>
      </w:numPr>
    </w:pPr>
  </w:style>
  <w:style w:type="paragraph" w:customStyle="1" w:styleId="Point0letter">
    <w:name w:val="Point 0 (letter)"/>
    <w:basedOn w:val="Normal"/>
    <w:pPr>
      <w:numPr>
        <w:ilvl w:val="1"/>
        <w:numId w:val="25"/>
      </w:numPr>
    </w:pPr>
  </w:style>
  <w:style w:type="paragraph" w:customStyle="1" w:styleId="Point1letter">
    <w:name w:val="Point 1 (letter)"/>
    <w:basedOn w:val="Normal"/>
    <w:pPr>
      <w:numPr>
        <w:ilvl w:val="3"/>
        <w:numId w:val="25"/>
      </w:numPr>
    </w:pPr>
  </w:style>
  <w:style w:type="paragraph" w:customStyle="1" w:styleId="Point2letter">
    <w:name w:val="Point 2 (letter)"/>
    <w:basedOn w:val="Normal"/>
    <w:pPr>
      <w:numPr>
        <w:ilvl w:val="5"/>
        <w:numId w:val="25"/>
      </w:numPr>
    </w:pPr>
  </w:style>
  <w:style w:type="paragraph" w:customStyle="1" w:styleId="Point3letter">
    <w:name w:val="Point 3 (letter)"/>
    <w:basedOn w:val="Normal"/>
    <w:pPr>
      <w:numPr>
        <w:ilvl w:val="7"/>
        <w:numId w:val="25"/>
      </w:numPr>
    </w:pPr>
  </w:style>
  <w:style w:type="paragraph" w:customStyle="1" w:styleId="Point4letter">
    <w:name w:val="Point 4 (letter)"/>
    <w:basedOn w:val="Normal"/>
    <w:pPr>
      <w:numPr>
        <w:ilvl w:val="8"/>
        <w:numId w:val="25"/>
      </w:numPr>
    </w:pPr>
  </w:style>
  <w:style w:type="paragraph" w:customStyle="1" w:styleId="Bullet0">
    <w:name w:val="Bullet 0"/>
    <w:basedOn w:val="Normal"/>
    <w:pPr>
      <w:numPr>
        <w:numId w:val="26"/>
      </w:numPr>
    </w:pPr>
  </w:style>
  <w:style w:type="paragraph" w:customStyle="1" w:styleId="Bullet1">
    <w:name w:val="Bullet 1"/>
    <w:basedOn w:val="Normal"/>
    <w:pPr>
      <w:numPr>
        <w:numId w:val="27"/>
      </w:numPr>
    </w:pPr>
  </w:style>
  <w:style w:type="paragraph" w:customStyle="1" w:styleId="Bullet2">
    <w:name w:val="Bullet 2"/>
    <w:basedOn w:val="Normal"/>
    <w:pPr>
      <w:numPr>
        <w:numId w:val="28"/>
      </w:numPr>
    </w:pPr>
  </w:style>
  <w:style w:type="paragraph" w:customStyle="1" w:styleId="Bullet3">
    <w:name w:val="Bullet 3"/>
    <w:basedOn w:val="Normal"/>
    <w:pPr>
      <w:numPr>
        <w:numId w:val="29"/>
      </w:numPr>
    </w:pPr>
  </w:style>
  <w:style w:type="paragraph" w:customStyle="1" w:styleId="Bullet4">
    <w:name w:val="Bullet 4"/>
    <w:basedOn w:val="Normal"/>
    <w:pPr>
      <w:numPr>
        <w:numId w:val="3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4">
    <w:name w:val="List Bullet 4"/>
    <w:basedOn w:val="Normal"/>
    <w:pPr>
      <w:numPr>
        <w:numId w:val="2"/>
      </w:numPr>
    </w:pPr>
    <w:rPr>
      <w:rFonts w:eastAsia="Times New Roman"/>
      <w:lang w:eastAsia="de-DE"/>
    </w:rPr>
  </w:style>
  <w:style w:type="paragraph" w:styleId="ListNumber">
    <w:name w:val="List Number"/>
    <w:basedOn w:val="Normal"/>
    <w:pPr>
      <w:numPr>
        <w:numId w:val="6"/>
      </w:numPr>
    </w:pPr>
    <w:rPr>
      <w:rFonts w:eastAsia="Times New Roman"/>
      <w:lang w:eastAsia="de-DE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  <w:lang w:eastAsia="de-DE"/>
    </w:rPr>
  </w:style>
  <w:style w:type="paragraph" w:customStyle="1" w:styleId="ListDash">
    <w:name w:val="List Dash"/>
    <w:basedOn w:val="Normal"/>
    <w:pPr>
      <w:numPr>
        <w:numId w:val="3"/>
      </w:numPr>
    </w:pPr>
    <w:rPr>
      <w:rFonts w:eastAsia="Times New Roman"/>
      <w:lang w:eastAsia="de-DE"/>
    </w:rPr>
  </w:style>
  <w:style w:type="paragraph" w:customStyle="1" w:styleId="ListDash1">
    <w:name w:val="List Dash 1"/>
    <w:basedOn w:val="Normal"/>
    <w:pPr>
      <w:numPr>
        <w:numId w:val="4"/>
      </w:numPr>
    </w:pPr>
    <w:rPr>
      <w:rFonts w:eastAsia="Times New Roman"/>
      <w:lang w:eastAsia="de-DE"/>
    </w:rPr>
  </w:style>
  <w:style w:type="paragraph" w:customStyle="1" w:styleId="ListDash2">
    <w:name w:val="List Dash 2"/>
    <w:basedOn w:val="Normal"/>
    <w:pPr>
      <w:numPr>
        <w:numId w:val="5"/>
      </w:numPr>
    </w:pPr>
    <w:rPr>
      <w:rFonts w:eastAsia="Times New Roman"/>
      <w:lang w:eastAsia="de-DE"/>
    </w:rPr>
  </w:style>
  <w:style w:type="paragraph" w:customStyle="1" w:styleId="ListNumberLevel2">
    <w:name w:val="List Number (Level 2)"/>
    <w:basedOn w:val="Normal"/>
    <w:pPr>
      <w:numPr>
        <w:ilvl w:val="1"/>
        <w:numId w:val="6"/>
      </w:numPr>
    </w:pPr>
    <w:rPr>
      <w:rFonts w:eastAsia="Times New Roman"/>
      <w:lang w:eastAsia="de-DE"/>
    </w:rPr>
  </w:style>
  <w:style w:type="paragraph" w:customStyle="1" w:styleId="ListNumberLevel3">
    <w:name w:val="List Number (Level 3)"/>
    <w:basedOn w:val="Normal"/>
    <w:pPr>
      <w:numPr>
        <w:ilvl w:val="2"/>
        <w:numId w:val="6"/>
      </w:numPr>
    </w:pPr>
    <w:rPr>
      <w:rFonts w:eastAsia="Times New Roman"/>
      <w:lang w:eastAsia="de-DE"/>
    </w:rPr>
  </w:style>
  <w:style w:type="paragraph" w:customStyle="1" w:styleId="ListNumberLevel4">
    <w:name w:val="List Number (Level 4)"/>
    <w:basedOn w:val="Normal"/>
    <w:pPr>
      <w:numPr>
        <w:ilvl w:val="3"/>
        <w:numId w:val="6"/>
      </w:numPr>
    </w:pPr>
    <w:rPr>
      <w:rFonts w:eastAsia="Times New Roman"/>
      <w:lang w:eastAsia="de-DE"/>
    </w:rPr>
  </w:style>
  <w:style w:type="table" w:styleId="TableGrid">
    <w:name w:val="Table Grid"/>
    <w:basedOn w:val="TableNormal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7"/>
      </w:numPr>
    </w:pPr>
    <w:rPr>
      <w:rFonts w:eastAsia="Times New Roman"/>
      <w:lang w:eastAsia="en-GB"/>
    </w:rPr>
  </w:style>
  <w:style w:type="paragraph" w:styleId="ListBullet2">
    <w:name w:val="List Bullet 2"/>
    <w:basedOn w:val="Normal"/>
    <w:pPr>
      <w:numPr>
        <w:numId w:val="8"/>
      </w:numPr>
    </w:pPr>
    <w:rPr>
      <w:rFonts w:eastAsia="Times New Roman"/>
      <w:lang w:eastAsia="en-GB"/>
    </w:rPr>
  </w:style>
  <w:style w:type="paragraph" w:styleId="ListBullet3">
    <w:name w:val="List Bullet 3"/>
    <w:basedOn w:val="Normal"/>
    <w:pPr>
      <w:numPr>
        <w:numId w:val="9"/>
      </w:numPr>
    </w:pPr>
    <w:rPr>
      <w:rFonts w:eastAsia="Times New Roman"/>
      <w:lang w:eastAsia="en-GB"/>
    </w:rPr>
  </w:style>
  <w:style w:type="paragraph" w:styleId="ListNumber2">
    <w:name w:val="List Number 2"/>
    <w:basedOn w:val="Normal"/>
    <w:pPr>
      <w:numPr>
        <w:numId w:val="13"/>
      </w:numPr>
    </w:pPr>
    <w:rPr>
      <w:rFonts w:eastAsia="Times New Roman"/>
      <w:lang w:eastAsia="en-GB"/>
    </w:rPr>
  </w:style>
  <w:style w:type="paragraph" w:styleId="ListNumber3">
    <w:name w:val="List Number 3"/>
    <w:basedOn w:val="Normal"/>
    <w:pPr>
      <w:numPr>
        <w:numId w:val="14"/>
      </w:numPr>
    </w:pPr>
    <w:rPr>
      <w:rFonts w:eastAsia="Times New Roman"/>
      <w:lang w:eastAsia="en-GB"/>
    </w:rPr>
  </w:style>
  <w:style w:type="paragraph" w:styleId="ListNumber4">
    <w:name w:val="List Number 4"/>
    <w:basedOn w:val="Normal"/>
    <w:pPr>
      <w:numPr>
        <w:numId w:val="15"/>
      </w:numPr>
    </w:pPr>
    <w:rPr>
      <w:rFonts w:eastAsia="Times New Roman"/>
      <w:lang w:eastAsia="en-GB"/>
    </w:rPr>
  </w:style>
  <w:style w:type="paragraph" w:customStyle="1" w:styleId="ListDash3">
    <w:name w:val="List Dash 3"/>
    <w:basedOn w:val="Normal"/>
    <w:pPr>
      <w:numPr>
        <w:numId w:val="10"/>
      </w:numPr>
    </w:pPr>
    <w:rPr>
      <w:rFonts w:eastAsia="Times New Roman"/>
      <w:lang w:eastAsia="en-GB"/>
    </w:rPr>
  </w:style>
  <w:style w:type="paragraph" w:customStyle="1" w:styleId="ListDash4">
    <w:name w:val="List Dash 4"/>
    <w:basedOn w:val="Normal"/>
    <w:pPr>
      <w:numPr>
        <w:numId w:val="11"/>
      </w:numPr>
    </w:pPr>
    <w:rPr>
      <w:rFonts w:eastAsia="Times New Roman"/>
      <w:lang w:eastAsia="en-GB"/>
    </w:rPr>
  </w:style>
  <w:style w:type="paragraph" w:customStyle="1" w:styleId="ListNumber1">
    <w:name w:val="List Number 1"/>
    <w:basedOn w:val="Text1"/>
    <w:pPr>
      <w:numPr>
        <w:numId w:val="12"/>
      </w:numPr>
    </w:pPr>
    <w:rPr>
      <w:rFonts w:eastAsia="Times New Roman"/>
      <w:lang w:eastAsia="en-GB"/>
    </w:rPr>
  </w:style>
  <w:style w:type="paragraph" w:customStyle="1" w:styleId="ListNumber1Level2">
    <w:name w:val="List Number 1 (Level 2)"/>
    <w:basedOn w:val="Text1"/>
    <w:pPr>
      <w:numPr>
        <w:ilvl w:val="1"/>
        <w:numId w:val="12"/>
      </w:numPr>
    </w:pPr>
    <w:rPr>
      <w:rFonts w:eastAsia="Times New Roman"/>
      <w:lang w:eastAsia="en-GB"/>
    </w:r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</w:pPr>
    <w:rPr>
      <w:rFonts w:eastAsia="Times New Roman"/>
      <w:lang w:eastAsia="en-GB"/>
    </w:r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</w:pPr>
    <w:rPr>
      <w:rFonts w:eastAsia="Times New Roman"/>
      <w:lang w:eastAsia="en-GB"/>
    </w:r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  <w:rPr>
      <w:rFonts w:eastAsia="Times New Roman"/>
      <w:lang w:eastAsia="en-GB"/>
    </w:rPr>
  </w:style>
  <w:style w:type="paragraph" w:customStyle="1" w:styleId="ListNumber1Level3">
    <w:name w:val="List Number 1 (Level 3)"/>
    <w:basedOn w:val="Text1"/>
    <w:pPr>
      <w:numPr>
        <w:ilvl w:val="2"/>
        <w:numId w:val="12"/>
      </w:numPr>
    </w:pPr>
    <w:rPr>
      <w:rFonts w:eastAsia="Times New Roman"/>
      <w:lang w:eastAsia="en-GB"/>
    </w:r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</w:pPr>
    <w:rPr>
      <w:rFonts w:eastAsia="Times New Roman"/>
      <w:lang w:eastAsia="en-GB"/>
    </w:r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</w:pPr>
    <w:rPr>
      <w:rFonts w:eastAsia="Times New Roman"/>
      <w:lang w:eastAsia="en-GB"/>
    </w:r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</w:pPr>
    <w:rPr>
      <w:rFonts w:eastAsia="Times New Roman"/>
      <w:lang w:eastAsia="en-GB"/>
    </w:rPr>
  </w:style>
  <w:style w:type="paragraph" w:customStyle="1" w:styleId="ListNumber1Level4">
    <w:name w:val="List Number 1 (Level 4)"/>
    <w:basedOn w:val="Text1"/>
    <w:pPr>
      <w:numPr>
        <w:ilvl w:val="3"/>
        <w:numId w:val="12"/>
      </w:numPr>
    </w:pPr>
    <w:rPr>
      <w:rFonts w:eastAsia="Times New Roman"/>
      <w:lang w:eastAsia="en-GB"/>
    </w:r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</w:pPr>
    <w:rPr>
      <w:rFonts w:eastAsia="Times New Roman"/>
      <w:lang w:eastAsia="en-GB"/>
    </w:r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</w:pPr>
    <w:rPr>
      <w:rFonts w:eastAsia="Times New Roman"/>
      <w:lang w:eastAsia="en-GB"/>
    </w:r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</w:pPr>
    <w:rPr>
      <w:rFonts w:eastAsia="Times New Roman"/>
      <w:lang w:eastAsia="en-GB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Langueoriginale">
    <w:name w:val="Langue originale"/>
    <w:basedOn w:val="Normal"/>
    <w:pPr>
      <w:spacing w:before="360"/>
      <w:jc w:val="center"/>
    </w:pPr>
    <w:rPr>
      <w:rFonts w:eastAsia="Times New Roman"/>
      <w:caps/>
      <w:lang w:eastAsia="en-GB"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  <w:rPr>
      <w:rFonts w:eastAsia="Times New Roman"/>
      <w:lang w:eastAsia="en-GB"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  <w:rPr>
      <w:rFonts w:eastAsia="Times New Roman"/>
      <w:lang w:eastAsia="en-GB"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rFonts w:eastAsia="Times New Roman"/>
      <w:b/>
      <w:lang w:eastAsia="en-GB"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rFonts w:eastAsia="Times New Roman"/>
      <w:b/>
      <w:lang w:eastAsia="en-GB"/>
    </w:r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rFonts w:eastAsia="Times New Roman"/>
      <w:b/>
      <w:u w:val="single"/>
      <w:lang w:eastAsia="en-GB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cs-CZ" w:eastAsia="en-GB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val="cs-CZ" w:eastAsia="en-GB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cs-CZ" w:eastAsia="en-GB"/>
    </w:rPr>
  </w:style>
  <w:style w:type="paragraph" w:styleId="Caption">
    <w:name w:val="caption"/>
    <w:basedOn w:val="Normal"/>
    <w:next w:val="Normal"/>
    <w:qFormat/>
    <w:rPr>
      <w:rFonts w:eastAsia="Times New Roman"/>
      <w:b/>
      <w:bCs/>
      <w:sz w:val="20"/>
      <w:szCs w:val="20"/>
      <w:lang w:eastAsia="en-GB"/>
    </w:rPr>
  </w:style>
  <w:style w:type="paragraph" w:styleId="TableofFigures">
    <w:name w:val="table of figures"/>
    <w:basedOn w:val="Normal"/>
    <w:next w:val="Normal"/>
    <w:rPr>
      <w:rFonts w:eastAsia="Times New Roman"/>
      <w:lang w:eastAsia="en-GB"/>
    </w:rPr>
  </w:style>
  <w:style w:type="character" w:styleId="PageNumber">
    <w:name w:val="page number"/>
  </w:style>
  <w:style w:type="character" w:customStyle="1" w:styleId="tw4winMark">
    <w:name w:val="tw4winMark"/>
    <w:rPr>
      <w:vanish/>
      <w:color w:val="800080"/>
      <w:vertAlign w:val="sub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rFonts w:eastAsia="Times New Roman"/>
      <w:b/>
      <w:lang w:eastAsia="en-GB"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F">
    <w:name w:val="F"/>
    <w:basedOn w:val="Normal"/>
    <w:pPr>
      <w:jc w:val="center"/>
    </w:pPr>
    <w:rPr>
      <w:b/>
      <w:noProof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8"/>
      </w:numPr>
    </w:pPr>
  </w:style>
  <w:style w:type="paragraph" w:customStyle="1" w:styleId="Tiret1">
    <w:name w:val="Tiret 1"/>
    <w:basedOn w:val="Point1"/>
    <w:pPr>
      <w:numPr>
        <w:numId w:val="19"/>
      </w:numPr>
    </w:pPr>
  </w:style>
  <w:style w:type="paragraph" w:customStyle="1" w:styleId="Tiret2">
    <w:name w:val="Tiret 2"/>
    <w:basedOn w:val="Point2"/>
    <w:pPr>
      <w:numPr>
        <w:numId w:val="20"/>
      </w:numPr>
    </w:pPr>
  </w:style>
  <w:style w:type="paragraph" w:customStyle="1" w:styleId="Tiret3">
    <w:name w:val="Tiret 3"/>
    <w:basedOn w:val="Point3"/>
    <w:pPr>
      <w:numPr>
        <w:numId w:val="21"/>
      </w:numPr>
    </w:pPr>
  </w:style>
  <w:style w:type="paragraph" w:customStyle="1" w:styleId="Tiret4">
    <w:name w:val="Tiret 4"/>
    <w:basedOn w:val="Point4"/>
    <w:pPr>
      <w:numPr>
        <w:numId w:val="2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5"/>
      </w:numPr>
    </w:pPr>
  </w:style>
  <w:style w:type="paragraph" w:customStyle="1" w:styleId="Point1number">
    <w:name w:val="Point 1 (number)"/>
    <w:basedOn w:val="Normal"/>
    <w:pPr>
      <w:numPr>
        <w:ilvl w:val="2"/>
        <w:numId w:val="25"/>
      </w:numPr>
    </w:pPr>
  </w:style>
  <w:style w:type="paragraph" w:customStyle="1" w:styleId="Point2number">
    <w:name w:val="Point 2 (number)"/>
    <w:basedOn w:val="Normal"/>
    <w:pPr>
      <w:numPr>
        <w:ilvl w:val="4"/>
        <w:numId w:val="25"/>
      </w:numPr>
    </w:pPr>
  </w:style>
  <w:style w:type="paragraph" w:customStyle="1" w:styleId="Point3number">
    <w:name w:val="Point 3 (number)"/>
    <w:basedOn w:val="Normal"/>
    <w:pPr>
      <w:numPr>
        <w:ilvl w:val="6"/>
        <w:numId w:val="25"/>
      </w:numPr>
    </w:pPr>
  </w:style>
  <w:style w:type="paragraph" w:customStyle="1" w:styleId="Point0letter">
    <w:name w:val="Point 0 (letter)"/>
    <w:basedOn w:val="Normal"/>
    <w:pPr>
      <w:numPr>
        <w:ilvl w:val="1"/>
        <w:numId w:val="25"/>
      </w:numPr>
    </w:pPr>
  </w:style>
  <w:style w:type="paragraph" w:customStyle="1" w:styleId="Point1letter">
    <w:name w:val="Point 1 (letter)"/>
    <w:basedOn w:val="Normal"/>
    <w:pPr>
      <w:numPr>
        <w:ilvl w:val="3"/>
        <w:numId w:val="25"/>
      </w:numPr>
    </w:pPr>
  </w:style>
  <w:style w:type="paragraph" w:customStyle="1" w:styleId="Point2letter">
    <w:name w:val="Point 2 (letter)"/>
    <w:basedOn w:val="Normal"/>
    <w:pPr>
      <w:numPr>
        <w:ilvl w:val="5"/>
        <w:numId w:val="25"/>
      </w:numPr>
    </w:pPr>
  </w:style>
  <w:style w:type="paragraph" w:customStyle="1" w:styleId="Point3letter">
    <w:name w:val="Point 3 (letter)"/>
    <w:basedOn w:val="Normal"/>
    <w:pPr>
      <w:numPr>
        <w:ilvl w:val="7"/>
        <w:numId w:val="25"/>
      </w:numPr>
    </w:pPr>
  </w:style>
  <w:style w:type="paragraph" w:customStyle="1" w:styleId="Point4letter">
    <w:name w:val="Point 4 (letter)"/>
    <w:basedOn w:val="Normal"/>
    <w:pPr>
      <w:numPr>
        <w:ilvl w:val="8"/>
        <w:numId w:val="25"/>
      </w:numPr>
    </w:pPr>
  </w:style>
  <w:style w:type="paragraph" w:customStyle="1" w:styleId="Bullet0">
    <w:name w:val="Bullet 0"/>
    <w:basedOn w:val="Normal"/>
    <w:pPr>
      <w:numPr>
        <w:numId w:val="26"/>
      </w:numPr>
    </w:pPr>
  </w:style>
  <w:style w:type="paragraph" w:customStyle="1" w:styleId="Bullet1">
    <w:name w:val="Bullet 1"/>
    <w:basedOn w:val="Normal"/>
    <w:pPr>
      <w:numPr>
        <w:numId w:val="27"/>
      </w:numPr>
    </w:pPr>
  </w:style>
  <w:style w:type="paragraph" w:customStyle="1" w:styleId="Bullet2">
    <w:name w:val="Bullet 2"/>
    <w:basedOn w:val="Normal"/>
    <w:pPr>
      <w:numPr>
        <w:numId w:val="28"/>
      </w:numPr>
    </w:pPr>
  </w:style>
  <w:style w:type="paragraph" w:customStyle="1" w:styleId="Bullet3">
    <w:name w:val="Bullet 3"/>
    <w:basedOn w:val="Normal"/>
    <w:pPr>
      <w:numPr>
        <w:numId w:val="29"/>
      </w:numPr>
    </w:pPr>
  </w:style>
  <w:style w:type="paragraph" w:customStyle="1" w:styleId="Bullet4">
    <w:name w:val="Bullet 4"/>
    <w:basedOn w:val="Normal"/>
    <w:pPr>
      <w:numPr>
        <w:numId w:val="3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.cec/budg/man/budgmanag/budgmanag_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</TotalTime>
  <Pages>21</Pages>
  <Words>4077</Words>
  <Characters>24343</Characters>
  <Application>Microsoft Office Word</Application>
  <DocSecurity>0</DocSecurity>
  <Lines>1352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DIGIT/C6</cp:lastModifiedBy>
  <cp:revision>19</cp:revision>
  <dcterms:created xsi:type="dcterms:W3CDTF">2021-03-03T09:34:00Z</dcterms:created>
  <dcterms:modified xsi:type="dcterms:W3CDTF">2021-03-03T22:21:00Z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