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4CDF52E8-99EB-43B1-B37E-7B5AD038D1EE" style="width:450.3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FTEHIM TA’ SĦUBIJA DWAR IS-SAJD SOSTENIBBLI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bejn l-Unjoni Ewropea minn naħa waħda, u l-Gvern ta’ Greenland u l-Gvern tad-Danimarka, min-naħa l-oħra</w:t>
      </w:r>
    </w:p>
    <w:p>
      <w:pPr>
        <w:spacing w:before="0" w:after="160" w:line="259" w:lineRule="auto"/>
        <w:jc w:val="center"/>
        <w:rPr>
          <w:rFonts w:eastAsia="Calibri"/>
          <w:b/>
          <w:noProof/>
          <w:sz w:val="22"/>
        </w:rPr>
      </w:pPr>
    </w:p>
    <w:p>
      <w:pPr>
        <w:spacing w:before="0" w:after="160" w:line="259" w:lineRule="auto"/>
        <w:jc w:val="left"/>
        <w:rPr>
          <w:rFonts w:eastAsia="Calibri"/>
          <w:b/>
          <w:noProof/>
          <w:sz w:val="22"/>
        </w:rPr>
      </w:pPr>
      <w:r>
        <w:rPr>
          <w:b/>
          <w:noProof/>
          <w:sz w:val="22"/>
        </w:rPr>
        <w:t xml:space="preserve">L-UNJONI EWROPEA,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(minn hawn ’il quddiem imsejħa “l-Unjoni”)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kif ukoll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b/>
          <w:noProof/>
          <w:sz w:val="22"/>
        </w:rPr>
        <w:t>IL-GVERN TA’ GREENLAND u L-GVERN TAD-DANIMARKA</w:t>
      </w:r>
      <w:r>
        <w:rPr>
          <w:noProof/>
          <w:sz w:val="22"/>
        </w:rPr>
        <w:t xml:space="preserve">,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minn hawn ’il quddiem imsejħa "Greenland",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flimkien minn hawn ’il quddiem imsejħin “il-Partijiet”,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WARA LI KKUNSIDRAW il-Protokoll dwar l-arranġament speċjali applikabbli għal Greenland,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 xml:space="preserve">JIRRIKONOXXU li l-Unjoni Ewropea u Greenland jixtiequ jsaħħu r-rabtiet ta’ bejniethom u jistabbilixxu sħubija u koperazzjoni li tappoġġa, tikkomplementa u testendi r-relazzjonijiet u l-koperazzjoni stabbiliti bejniethom fl-imgħoddi,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JIKKUNSIDRAW ir-rikonoxximent min-naħa tal-Kunsill, fi Frar 2003, tal-ħtieġa li jitwessgħu u jissaħħu r-relazzjonijiet bejn il-Komunità Ewropea u Greenland, fil-qies ta’ l-importanza tas-sajd u l-ħtieġa għal riformi strutturali u orjentati lejn is-settur fi Greenland, abbażi ta’ sħubija komprensiva għall-iżvilupp sostenibbli,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JIFTAKRU d-Deċiżjoni tal-Kunsill ta’ It-Tnejn, 25 ta’ Novembru 2013 dwar l-assoċjazzjoni tal-pajjiżi u t-territorji lil hinn mill-baħar mal-Unjoni Ewropea,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JIFTAKRU d-Deċiżjoni tal-Kunsill tal-14 ta’ Marzu 2014 dwar ir-relazzjonijiet bejn l-Unjoni Ewropea, minn naħa waħda, u Greenland u r-Renju tad-Danimarka, min-naħa l-oħra,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JIKKUNSIDRAW id-Dikjarazzjoni Konġunta tad-19 ta’ Marzu 2015 mill-Unjoni Ewropea minn naħa waħda u l-Gvern ta’ Greenland u l-Gvern tad-Danimarka min-naħa l-oħra dwar sħubija bejn l-Unjoni Ewropea u Greenland,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JENFASIZZAW l-importanza tal-kooperazzjoni internazzjonali fl-Artiku biex l-Artiku jinżamm reġjun sigur, sostenibbli u prosperu, jibnu fuq id-Dikjarazzjoni ta’ Ilulissat tal-2008, ikkonfermata fl-2018,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 xml:space="preserve">JILQGĦU l-iffirmar tal-Ftehim għall-prevenzjoni tas-sajd mhux regolat fl-ibħra miftuħa fl-Oċean Artiku Ċentrali fit-3 ta’ Ottubru 2018 f’Ilulissat, Greenland,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JIKKUNSIDRAW ir-relazzjoni globali bejn l-Unjoni u Greenland, u x-xewqa reċiproka tagħhom li jissuktaw dik ir-relazzjoni,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JINNUTAW li l-Att dwar l-Awtonomija ta’ Greenland daħal fis-seħħ fl-21 ta’ Ġunju 2009 u ħa post l-Att dwar it-Tmexxija Domestika ta’ Greenland, u biddel l-istatus ta’ Greenland fir-Renju tad-Danimarka billi jagħti lill-Gvern ta’ Greenland l-awtorità li jassumi oqsma ġodda ta’ responsabbiltajiet leġiżlattivi u eżekuttivi;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JINNUTAW li Greenland taħt l-Arranġament Awtonomu teżerċita l-ġurisdizzjoni tagħha fiż-Żona Ekonomika Esklussiva ta’ Greenland.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WARA LI KKUNSIDRAW il-Konvenzjoni tan-Nazzjonijiet Uniti dwar il-Liġi tal-Baħar u l-Ftehim għall-implimentazzjoni tad-dispożizzjonijiet tal-Konvenzjoni tan-Nazzjonijiet Uniti dwar il-Liġi tal-Baħar rigward il-konservazzjoni u l-ġestjoni ta’ stokkiijiet transżonali tal-ħut u ta’ stokkijiet ta’ ħut migratorju ħafna,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KONXJI mill-importanza tal-prinċipji stabbiliti mill-kodiċi ta’ kondotta għal sajd responsabbli adottat fl-1995 waqt il-Konferenza tal-Organizzazzjoni tal-Ikel u l-Agrikoltura tan-Nazzjonijiet Uniti (l-FAO) u tal-Ftehim tal-FAO dwar miżuri tal-Istat tal-port biex jipprevjenu, jiskoraġġixxu u jeliminaw is-sajd illegali, mhux irrappurtat u mhux irregolat (is-sajd IUU), u DETERMINATI li jieħdu l-miżuri meħtieġa biex jimplimentawhom,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DETERMINATI li jikkoperaw, fl-interess reċiproku tagħhom, sabiex jilħqu l-issuktar tas-sajd sostenibbli sabiex jiżguraw il-konservazzjoni fit-tul u l-isfruttament sostenibbli tar-riżorsi ħajjin tal-baħar,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KONVINTI li din il-koperazzjoni għandha tieħu s-sura ta’ inizjattivi u miżuri li, sew jekk jittieħdu flimkien u sew jekk jittieħdu separatament, ikunu kumplementari, konsistenti mal-politika u jiżguraw sinerġija fl-isforzi,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 xml:space="preserve">BIĦSIEBHOM, għal dawn il-finijiet, ikomplu djalogu bil-ħsieb li jkomplu jtejbu l-politika settorjali tas-sajd f’Greenland u jidentifikaw il-mezzi xierqa biex jiżguraw li din il-politika tiġi implimentata b’mod effettiv,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XEWQANA li jistabbilixxu t-termini u l-kondizzjonijiet li jiggvernaw l-attivitajiet tas-sajd tal-bastimenti tal-Unjoni fl-ibħra taż-żona ekonomika esklussiva ta’ Greenland u l-appoġġ tal-Unjoni sabiex jiġi assigurat li jibqa' jsir sajd sostenibbli f'dawk l-ilmijiet,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B’DAN JIFTIEHMU KIF ĠEJ:</w:t>
      </w:r>
    </w:p>
    <w:p>
      <w:pPr>
        <w:pStyle w:val="Titrearticle"/>
        <w:rPr>
          <w:b/>
          <w:noProof/>
        </w:rPr>
      </w:pPr>
      <w:r>
        <w:rPr>
          <w:noProof/>
        </w:rPr>
        <w:t xml:space="preserve">Artikolu 1 </w:t>
      </w:r>
      <w:r>
        <w:rPr>
          <w:noProof/>
        </w:rPr>
        <w:br/>
      </w:r>
      <w:r>
        <w:rPr>
          <w:b/>
          <w:noProof/>
        </w:rPr>
        <w:t xml:space="preserve">Kamp ta’ applikazzjoni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Dan il-Ftehim jistabbilixxi l-prinċipji, ir-regoli u l-proċeduri li jirregolaw:</w:t>
      </w:r>
    </w:p>
    <w:p>
      <w:pPr>
        <w:pStyle w:val="Tiret0"/>
        <w:numPr>
          <w:ilvl w:val="0"/>
          <w:numId w:val="32"/>
        </w:numPr>
        <w:rPr>
          <w:noProof/>
        </w:rPr>
      </w:pPr>
      <w:r>
        <w:rPr>
          <w:noProof/>
        </w:rPr>
        <w:t>il-kooperazzjoni ekonomika, finanzjarja, teknika u xjentifika fis-settur tas-sajd bil-ħsieb li jiġi promoss is-sajd sostenibbli kontinwu fiż-Żona Ekonomika Esklussiva ta’ Greenland (minn hawn’ il quddiem “iż-ŻEE ta’ Greenland”), sabiex jinkisbu benefiċċji ekonomiċi u soċjali, inkluż l-iżvilupp tas-settur tas-sajd ta’ Greenland,</w:t>
      </w:r>
    </w:p>
    <w:p>
      <w:pPr>
        <w:pStyle w:val="Tiret0"/>
        <w:rPr>
          <w:noProof/>
        </w:rPr>
      </w:pPr>
      <w:r>
        <w:rPr>
          <w:noProof/>
        </w:rPr>
        <w:t>il-kundizzjonijiet li jirregolaw l-aċċess tal-bastimenti tas-sajd tal-Unjoni għaż-ŻEE ta’ Greenland,</w:t>
      </w:r>
    </w:p>
    <w:p>
      <w:pPr>
        <w:pStyle w:val="Tiret0"/>
        <w:rPr>
          <w:noProof/>
        </w:rPr>
      </w:pPr>
      <w:r>
        <w:rPr>
          <w:noProof/>
        </w:rPr>
        <w:t>l-arranġamenti għar-regolazzjoni tas-sajd minn bastimenti tal-Unjoni fiż-ŻEE ta’ Greenland bil-għan li jiġi żgurat li jitħarsu r-regoli u l-kondizzjonijiet applikabbli għalihom, li l-miżuri għall-konservazzjoni u l-ġestjoni ta’ l-istokkijiet tal-ħut ikunu effikaċi, u li ma jitħalliex isir sajd illegali, mhux rappurtat u mhux regolat (minn hawn ’il quddiem IUU),</w:t>
      </w:r>
    </w:p>
    <w:p>
      <w:pPr>
        <w:pStyle w:val="Tiret0"/>
        <w:rPr>
          <w:noProof/>
        </w:rPr>
      </w:pPr>
      <w:r>
        <w:rPr>
          <w:noProof/>
        </w:rPr>
        <w:t>is-sħubijiet bejn kumpaniji bil-għan li jiġu żviluppati attivitajiet ekonomiċi fis-settur tas-sajd u attivitajiet relatati, fl-interess komuni.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2 </w:t>
      </w:r>
      <w:r>
        <w:rPr>
          <w:noProof/>
        </w:rPr>
        <w:br/>
      </w:r>
      <w:r>
        <w:rPr>
          <w:b/>
          <w:noProof/>
          <w:sz w:val="22"/>
        </w:rPr>
        <w:t>Definizzjonijiet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Għall-finijiet ta’ dan il-Ftehim, il-Protokoll u l-Anness:</w:t>
      </w:r>
    </w:p>
    <w:p>
      <w:pPr>
        <w:pStyle w:val="Point0letter"/>
        <w:numPr>
          <w:ilvl w:val="1"/>
          <w:numId w:val="33"/>
        </w:numPr>
        <w:rPr>
          <w:noProof/>
        </w:rPr>
      </w:pPr>
      <w:r>
        <w:rPr>
          <w:noProof/>
        </w:rPr>
        <w:t>“awtoritajiet ta’ Greenland” tfisser il-Gvern ta’ Greenland;</w:t>
      </w:r>
    </w:p>
    <w:p>
      <w:pPr>
        <w:pStyle w:val="Point0letter"/>
        <w:rPr>
          <w:noProof/>
        </w:rPr>
      </w:pPr>
      <w:r>
        <w:rPr>
          <w:noProof/>
        </w:rPr>
        <w:t>“awtoritajiet tal-Unjoni” tfisser il-Kummissjoni Ewropea;</w:t>
      </w:r>
    </w:p>
    <w:p>
      <w:pPr>
        <w:pStyle w:val="Point0letter"/>
        <w:rPr>
          <w:noProof/>
        </w:rPr>
      </w:pPr>
      <w:r>
        <w:rPr>
          <w:noProof/>
        </w:rPr>
        <w:t>“ftehim” tfisser il-Ftehim, il-Protokoll u l-Anness u l-Appendiċi tiegħu;</w:t>
      </w:r>
    </w:p>
    <w:p>
      <w:pPr>
        <w:pStyle w:val="Point0letter"/>
        <w:rPr>
          <w:rFonts w:ascii="Calibri" w:hAnsi="Calibri"/>
          <w:noProof/>
        </w:rPr>
      </w:pPr>
      <w:r>
        <w:rPr>
          <w:noProof/>
        </w:rPr>
        <w:t>“bastiment tal-Unjoni” tfisser bastiment tas-sajd li jtajjar il-bandiera ta' Stat Membru tal-Unjoni u li jkun irreġistrat fl-Unjoni;</w:t>
      </w:r>
      <w:r>
        <w:rPr>
          <w:noProof/>
        </w:rPr>
        <w:tab/>
      </w:r>
    </w:p>
    <w:p>
      <w:pPr>
        <w:pStyle w:val="Point0letter"/>
        <w:rPr>
          <w:noProof/>
        </w:rPr>
      </w:pPr>
      <w:r>
        <w:rPr>
          <w:noProof/>
        </w:rPr>
        <w:t xml:space="preserve">“bastiment tas-sajd” tfisser kull bastiment mgħammar għall-użu kummerċjali tar-riżorsi ħajjin tal-baħar; </w:t>
      </w:r>
    </w:p>
    <w:p>
      <w:pPr>
        <w:pStyle w:val="Point0letter"/>
        <w:rPr>
          <w:noProof/>
        </w:rPr>
      </w:pPr>
      <w:r>
        <w:rPr>
          <w:noProof/>
        </w:rPr>
        <w:t>“Awtorizzazzjoni tas-sajd” hija definita bħala “liċenzja” skont il-leġiżlazzjoni ta’ Greenland;</w:t>
      </w:r>
    </w:p>
    <w:p>
      <w:pPr>
        <w:pStyle w:val="Point0letter"/>
        <w:rPr>
          <w:noProof/>
        </w:rPr>
      </w:pPr>
      <w:r>
        <w:rPr>
          <w:noProof/>
        </w:rPr>
        <w:t>“impriża konġunta” tfisser kwalunkwe kumpanija rregolata mil-liġi ta’ Greenland u li jkun fiha wieħed jew iktar minn wieħed minn fost is-sidien tal-bastimenti tal-Unjoni u sieħeb jew sħab minn Greenland, li jkollha l-għan li tistad fiż-ŻEE ta’ Greenland, u possibbilment tisfrutta l-kwoti tas-sajd ta’ Greenland, minn fuq bastimenti li jtajru l-bandiera ta’ Greenland, bil-ħsieb tal-forniment prijoritarju tas-suq Komunitarju;</w:t>
      </w:r>
    </w:p>
    <w:p>
      <w:pPr>
        <w:pStyle w:val="Point0letter"/>
        <w:rPr>
          <w:noProof/>
        </w:rPr>
      </w:pPr>
      <w:r>
        <w:rPr>
          <w:noProof/>
        </w:rPr>
        <w:t>“impriżi konġunti temporanji” tfisser kwalunkwe assoċjazzjoni bbażata fuq ftehim kuntrattwali għal tul ta’ żmien limitat bejn sidien tal-bastimenti Komunitarji u persuni fiżiċi jew ġuridiċi fi Greenland, bil-għan li b'mod konġunt jistadu u jisfruttaw il-kwoti tas-sajd ta’ Greenland minn fuq bastimenti li jtajru l-bandiera ta’ Stat Membru tal-Komunità Ewropea, u li jaqsmu l-profitti, l-ispejjeż jew it-telf ta’ l-attività ekonomika mwettqa, bil-ħsieb tal-forniment prijoritarju tas-suq tal-Unjoni;</w:t>
      </w:r>
    </w:p>
    <w:p>
      <w:pPr>
        <w:pStyle w:val="Point0letter"/>
        <w:rPr>
          <w:noProof/>
        </w:rPr>
      </w:pPr>
      <w:r>
        <w:rPr>
          <w:noProof/>
        </w:rPr>
        <w:t>“Kumitat Konġunt” tfisser kumitat magħmul minn rappreżentanti tal-Unjoni u ta’ Greenland li l-funzjonijiet tiegħu huma deskritti fl-Artikolu 12 ta’ dan il-Ftehim;</w:t>
      </w:r>
    </w:p>
    <w:p>
      <w:pPr>
        <w:pStyle w:val="Point0letter"/>
        <w:rPr>
          <w:noProof/>
        </w:rPr>
      </w:pPr>
      <w:r>
        <w:rPr>
          <w:noProof/>
        </w:rPr>
        <w:t>“sajd sostenibbli” tfisser is-sajd imwettaq skont l-għanijiet u l-prinċipji mniżżlin fil-Kodiċi ta’ Kondotta għal Sajd Responsabbli adottat waqt il-Konferenza tal-Organizzazzjoni tal-Ikel u l-Agrikoltura tan-Nazzjonijiet Uniti (l-FAO) tal-1995.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3 </w:t>
      </w:r>
      <w:r>
        <w:rPr>
          <w:noProof/>
        </w:rPr>
        <w:br/>
      </w:r>
      <w:r>
        <w:rPr>
          <w:b/>
          <w:noProof/>
          <w:sz w:val="22"/>
        </w:rPr>
        <w:t>Prinċipji u għanijiet wara l-implimentazzjoni ta’ dan il-Ftehim</w:t>
      </w:r>
    </w:p>
    <w:p>
      <w:pPr>
        <w:pStyle w:val="NumPar1"/>
        <w:numPr>
          <w:ilvl w:val="0"/>
          <w:numId w:val="34"/>
        </w:numPr>
        <w:rPr>
          <w:noProof/>
        </w:rPr>
      </w:pPr>
      <w:r>
        <w:rPr>
          <w:noProof/>
        </w:rPr>
        <w:t>Il-partijiet b’dan jintrabtu li jiżguraw sajd sostenibbli kontinwu fiż-ŻEE tal-Greenland f’konformità mad-dispożizzjonijiet tal-UNCLOS abbażi tal-prinċipju tan-nondiskriminazzjoni bejn il-flotot differenti li jistadu fiż-ŻEE, u l-prinċipju tal-isfruttament sostenibbli tar-riżorsi bijoloġiċi tal-baħar. L-isfruttament sostenibbli huwa bbażat fuq id-determinazzjoni tal-istokkijiet eċċessivi minn Greenland filwaqt li jitqiesu l-ħtiġijiet tal-industrija tas-sajd ta’ Greenland, l-aqwa parir xjentifiku disponibbli u l-informazzjoni rilevanti skambjata bejn il-Partijiet dwar l-isforz totali tas-sajd u l-qabdiet totali fuq l-istokkijiet rilevanti mill-flotot kollha li joperaw fiż-żona tas-sajd.</w:t>
      </w:r>
    </w:p>
    <w:p>
      <w:pPr>
        <w:pStyle w:val="NumPar1"/>
        <w:rPr>
          <w:noProof/>
        </w:rPr>
      </w:pPr>
      <w:r>
        <w:rPr>
          <w:noProof/>
        </w:rPr>
        <w:t xml:space="preserve">L-awtoritajiet ta’ Greenland qed jintrabtu li joffru aċċess preferenzjali lill-flotta tal-Unjoni għall-kwantitajiet żejda disponibbli. </w:t>
      </w:r>
    </w:p>
    <w:p>
      <w:pPr>
        <w:pStyle w:val="NumPar1"/>
        <w:rPr>
          <w:noProof/>
        </w:rPr>
      </w:pPr>
      <w:r>
        <w:rPr>
          <w:noProof/>
        </w:rPr>
        <w:t xml:space="preserve">L-awtoritajiet ta’ Greenland jintrabtu li ma jagħtux kundizzjonijiet aktar favorevoli minn dawk maqbula f’dan il-Ftehim lil flotot barranin oħrajn li jistadu fiż-ŻEE ta’ Greenland u li għandhom l-istess karatteristiċi u li jistadu għall-istess speċijiet bħal dawk li dan il-Ftehim u l-Protokoll ta’ Implimentazzjoni tiegħu jkopru. </w:t>
      </w:r>
    </w:p>
    <w:p>
      <w:pPr>
        <w:pStyle w:val="NumPar1"/>
        <w:rPr>
          <w:noProof/>
        </w:rPr>
      </w:pPr>
      <w:r>
        <w:rPr>
          <w:noProof/>
        </w:rPr>
        <w:t xml:space="preserve">Fl-interess tat-trasparenza, iż-żewġ Partijiet jaqblu li jagħmlu pubbliċi kwalunkwe ftehim u t-TAC globali kif ukoll li jinfurmaw lil xulxin dwar l-opportunitajiet tas-sajd u l-użu tagħhom, mogħtija lill-flotot barranin. </w:t>
      </w:r>
    </w:p>
    <w:p>
      <w:pPr>
        <w:pStyle w:val="NumPar1"/>
        <w:rPr>
          <w:noProof/>
        </w:rPr>
      </w:pPr>
      <w:r>
        <w:rPr>
          <w:noProof/>
        </w:rPr>
        <w:t>Il-partijiet għandhom iqisu kif xieraq il-miżuri ta’ konservazzjoni u ġestjoni adottati mill-Organizzazzjonijiet Reġjonali tal-Ġestjoni tas-Sajd (RFMOs) rilevanti, filwaqt li jqisu wkoll il-valutazzjonijiet xjentifiċi reġjonali prodotti mill-korpi xjentifiċi rilevanti. Għal dan il-għan, iż-żewġ Partijiet għandhom jikkooperaw bejniethom, b'mod partikolari fid-dawl tas-sostenibbiltà tal-istokkijiet konġunti tal-ħut li jpassi fl-Atlantiku tat-Tramuntana.</w:t>
      </w:r>
    </w:p>
    <w:p>
      <w:pPr>
        <w:pStyle w:val="NumPar1"/>
        <w:rPr>
          <w:noProof/>
        </w:rPr>
      </w:pPr>
      <w:r>
        <w:rPr>
          <w:noProof/>
        </w:rPr>
        <w:t xml:space="preserve">Il-Partijiet jintrabtu li jimplimentaw il-Ftehim skont il-Konvenzjoni Ewropea għall-Protezzjoni tad-Drittijiet tal-Bniedem u tal-Libertajiet Fundamentali, u d-Dikjarazzjoni tan-Nazzjonijiet Uniti dwar id-Drittijiet tal-Popli Indiġeni (UNDRIP). </w:t>
      </w:r>
    </w:p>
    <w:p>
      <w:pPr>
        <w:pStyle w:val="NumPar1"/>
        <w:rPr>
          <w:noProof/>
        </w:rPr>
      </w:pPr>
      <w:r>
        <w:rPr>
          <w:noProof/>
        </w:rPr>
        <w:t>B’mod partikulari, l-impjieg tal-baħrin minn Greenland abbord il-bastimenti tal-Unjoni għandu jkun irregolat mid-Dikjarazzjoni tal-Organizzazzjoni Internazzjonali tax-Xogħol (l-ILO) dwar il-Prinċipji u d-Drittijiet Fundamentali fuq il-Post tax-Xogħol, li għandha tapplika għalkollox għall-kuntratti korrispondenti u għat-termini ġenerali tal-impjieg, kif ukoll mill-Konvenzjonijiet rilevanti tal-ILO u mil-liġijiet ta’ Greenland. Dan għandu x’jaqsam b’mod partikolari mal-libertà tal-assoċjazzjoni u mar-rikonoxximent effettiv tad-dritt għan-negozjar kollettiv u mat-tneħħija tad-diskriminazzjoni marbuta mal-impjiegi u max-xogħol, kif ukoll mal-kondizzjonijiet tax-xogħol u tal-għajxien abbord il-bastimenti tas-sajd.</w:t>
      </w:r>
    </w:p>
    <w:p>
      <w:pPr>
        <w:pStyle w:val="NumPar1"/>
        <w:rPr>
          <w:noProof/>
        </w:rPr>
      </w:pPr>
      <w:r>
        <w:rPr>
          <w:noProof/>
        </w:rPr>
        <w:t>Greenland sejra tissokta l-ippjanar ta’ politika settorali tas-sajd u tmexxi l-implimentazzjoni tagħha permezz ta’ programmi annwali u pluriennali, fid-dawl ta’ miri miftiehma bi qbil komuni bejn il-Partijiet. Għal dak il-għan, il-Partijiet għandhom ikomplu d-djalogu ta’ politika dwar l-ippjanar tal-politika settorjali tas-sajd. Il-partijiet b’dan jintrabtu li jinfurmaw lil xulxin meta jiġu ppjanati u adottati aktar miżuri sinifikanti f’dan il-qasam.</w:t>
      </w:r>
    </w:p>
    <w:p>
      <w:pPr>
        <w:pStyle w:val="NumPar1"/>
        <w:rPr>
          <w:noProof/>
        </w:rPr>
      </w:pPr>
      <w:r>
        <w:rPr>
          <w:noProof/>
        </w:rPr>
        <w:t>Fuq talba ta’ Parti minnhom, il-Partijiet għandhom jikkoperaw ukoll fit-twettiq, sew konġuntement kif ukoll unilateralment, ta’ evalwazzjonijiet ta’ miżuri, programmi u azzjonijiet implimentati abbażi ta’ dan il-Ftehim.</w:t>
      </w:r>
    </w:p>
    <w:p>
      <w:pPr>
        <w:pStyle w:val="NumPar1"/>
        <w:rPr>
          <w:noProof/>
        </w:rPr>
      </w:pPr>
      <w:r>
        <w:rPr>
          <w:noProof/>
        </w:rPr>
        <w:t>B’dan il-Partijiet jintrabtu li jiżguraw li dan il-Ftehim jiġi implimentat skont il-prinċipji tat-trasparenza u ta’ governanza ekonomika u soċjali tajba.</w:t>
      </w:r>
    </w:p>
    <w:p>
      <w:pPr>
        <w:pStyle w:val="Titrearticle"/>
        <w:rPr>
          <w:noProof/>
        </w:rPr>
      </w:pPr>
      <w:r>
        <w:rPr>
          <w:noProof/>
        </w:rPr>
        <w:t xml:space="preserve">Artikolu 4 </w:t>
      </w:r>
      <w:r>
        <w:rPr>
          <w:noProof/>
        </w:rPr>
        <w:br/>
      </w:r>
      <w:r>
        <w:rPr>
          <w:b/>
          <w:noProof/>
          <w:sz w:val="22"/>
        </w:rPr>
        <w:t>Kooperazzjoni xjentifika</w:t>
      </w:r>
    </w:p>
    <w:p>
      <w:pPr>
        <w:pStyle w:val="NumPar1"/>
        <w:numPr>
          <w:ilvl w:val="0"/>
          <w:numId w:val="18"/>
        </w:numPr>
        <w:rPr>
          <w:noProof/>
        </w:rPr>
      </w:pPr>
      <w:r>
        <w:rPr>
          <w:noProof/>
        </w:rPr>
        <w:t>Matul il-perjodu kopert minn dan il-Ftehim, Greenland u l-Unjoni għandhom jimmoniterjaw l-evoluzzjoni tar-riżorsi fiż-ŻEE ta’ Greenland; kumitat xjentifiku konġunt ad hoc għandu jagħmel rapport, fuq talba tal-Kumitat Konġunt, abbażi ta’ kwalunkwe termini ta’ referenza stabbiliti minn dak il-Kumitat.</w:t>
      </w:r>
    </w:p>
    <w:p>
      <w:pPr>
        <w:pStyle w:val="NumPar1"/>
        <w:rPr>
          <w:noProof/>
        </w:rPr>
      </w:pPr>
      <w:r>
        <w:rPr>
          <w:noProof/>
        </w:rPr>
        <w:t>Il-partijiet b’dan jintrabtu li jikkonsultaw lil xulxin, jew direttament jew fi ħdan l-Organizzazzjonijiet Reġjonali tal-Ġestjoni tas-Sajd (RFMOs) u l-Organizzazzjonijiet Reġjonali tas-Sajd (RFOs) ikkonċernati, biex jiżguraw il-ġestjoni u l-konservazzjoni tar-riżorsi ħajjin u biex jikkooperaw fir-riċerka xjentifika rilevanti.</w:t>
      </w:r>
    </w:p>
    <w:p>
      <w:pPr>
        <w:pStyle w:val="Titrearticle"/>
        <w:rPr>
          <w:noProof/>
        </w:rPr>
      </w:pPr>
      <w:r>
        <w:rPr>
          <w:noProof/>
        </w:rPr>
        <w:t xml:space="preserve">Artikolu 5 </w:t>
      </w:r>
      <w:r>
        <w:rPr>
          <w:noProof/>
        </w:rPr>
        <w:br/>
      </w:r>
      <w:r>
        <w:rPr>
          <w:b/>
          <w:noProof/>
          <w:sz w:val="22"/>
        </w:rPr>
        <w:t>Klawsola ta’ Esklussività aċċess għaż-żoni tas-sajd fiż-ŻEE ta’ Greenland</w:t>
      </w:r>
    </w:p>
    <w:p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Greenland b'dan qed tintrabat li tawtorizza bastimenti tal-Unoni sabiex iwettqu attivitajiet tas-sajd fiż-ŻEE tagħha skond dan il-Ftehim, inkluż il-Protokoll u l-Anness tiegħu. L-awtoritajiet ta’ Greenland għandhom joħorġu liċenzji, maħruġa skond il-Protokoll, lil bastimenti ddeżinjati min-naħa tal-Unjoni, skond l-opportunitajiet ta’ sajd mogħtija skond il-Protokoll.</w:t>
      </w:r>
    </w:p>
    <w:p>
      <w:pPr>
        <w:pStyle w:val="NumPar1"/>
        <w:rPr>
          <w:noProof/>
        </w:rPr>
      </w:pPr>
      <w:r>
        <w:rPr>
          <w:noProof/>
        </w:rPr>
        <w:t>L-opportunitajiet ta’ sajd li Greenland tagħti lill-Unjoni taħt dan il-Ftehim jistgħu jittieħdu minn bastimenti li jtajru l-bandiera tan-Norveġja, l-Iżlanda u l-Gżejjer Faroe u li jkunu rreġistrati hemmhekk, safejn dan ikun ta’ ħtieġa għall-funzjonament tajjeb tal-ftehimiet tas-sajd konklużi ma’ dawk il-Partijiet mill-Unjoni. Għal dan il-għan, l-awtoritajiet ta’ Greenland qed jintrabtu li jawtorizzaw bastimenti li jtajru l-bandiera tan-Norveġja, l-Iżlanda u l-Gżejjer Faroe u li jkunu rreġistrati hemmhekk, sabiex iwettqu attivitajiet tas-sajd fiż-ŻEE tagħha.</w:t>
      </w:r>
    </w:p>
    <w:p>
      <w:pPr>
        <w:pStyle w:val="NumPar1"/>
        <w:rPr>
          <w:i/>
          <w:noProof/>
        </w:rPr>
      </w:pPr>
      <w:r>
        <w:rPr>
          <w:noProof/>
        </w:rPr>
        <w:t>Il-bastimenti tal-Unjoni jistgħu jwettqu attivitajiet tas-sajd fiż-ŻEE koperti minn dan il-Ftehim biss jekk ikollhom awtorizzazzjoni tas-sajd maħruġa skont dan il-Ftehim. Huma pprojbiti l-attivitajiet tas-sajd kollha mhux koperti minn dan il-Ftehim. L-awtoritajiet ta’ Greenland għandhom joħorġu awtorizzazzjonijiet tas-sajd lill-bastimenti tal-Unjoni fil-kuntest ta’ dan il-Ftehim biss.</w:t>
      </w:r>
    </w:p>
    <w:p>
      <w:pPr>
        <w:pStyle w:val="Titrearticle"/>
        <w:rPr>
          <w:rFonts w:eastAsia="Calibri"/>
          <w:noProof/>
          <w:sz w:val="22"/>
        </w:rPr>
      </w:pPr>
      <w:r>
        <w:rPr>
          <w:noProof/>
        </w:rPr>
        <w:t xml:space="preserve"> Artikolu 6</w:t>
      </w:r>
      <w:r>
        <w:rPr>
          <w:noProof/>
        </w:rPr>
        <w:br/>
      </w:r>
      <w:r>
        <w:rPr>
          <w:b/>
          <w:noProof/>
          <w:sz w:val="22"/>
        </w:rPr>
        <w:t>Liġi applikabbli</w:t>
      </w:r>
    </w:p>
    <w:p>
      <w:pPr>
        <w:pStyle w:val="NumPar1"/>
        <w:numPr>
          <w:ilvl w:val="0"/>
          <w:numId w:val="20"/>
        </w:numPr>
        <w:rPr>
          <w:noProof/>
        </w:rPr>
      </w:pPr>
      <w:r>
        <w:rPr>
          <w:noProof/>
        </w:rPr>
        <w:t xml:space="preserve">L-attivitajiet tas-sajd koperti b'dan il-Ftehim għandhom ikunu soġġetti għal-liġijiet u r-regolamenti fis-seħħ fi Greenland. L-awtoritajiet għandhom jinnotifikaw lill-Unjoni, bil-quddiem u fiż-żmien dovut, bi kwalunkwe emenda lil dik il-leġiżlazzjoni. </w:t>
      </w:r>
    </w:p>
    <w:p>
      <w:pPr>
        <w:pStyle w:val="NumPar1"/>
        <w:rPr>
          <w:noProof/>
        </w:rPr>
      </w:pPr>
      <w:r>
        <w:rPr>
          <w:noProof/>
        </w:rPr>
        <w:t>Mingħajr preġudizzju għar-responsabbiltajiet tal-bastimenti tal-Unjoni fir-rigward tal-leġiżlazzjoni tal-Unjoni, Greenland għandha tkun responsabbli għall-applikazzjoni effettiva tad-dispożizzjonijiet dwar il-monitoraġġ, il-kontroll u s-sorveljanza tas-sajd stabbiliti fil-Protokoll. Il-bastimenti tal-Unjoni għandhom jikkooperaw mal-awtoritajiet li għandhom ir-responsabbiltà jwettqu dan il-monitoraġġ, dan il-kontroll u din is-sorveljanza.</w:t>
      </w:r>
    </w:p>
    <w:p>
      <w:pPr>
        <w:pStyle w:val="NumPar1"/>
        <w:rPr>
          <w:noProof/>
        </w:rPr>
      </w:pPr>
      <w:r>
        <w:rPr>
          <w:noProof/>
        </w:rPr>
        <w:t>L-Unjoni b'dan timpenja ruħha li tiżgura li jittieħdu l-passi kollha xierqa li jkunu meħtieġa sabiex tiżgura li l-bastimenti tagħha jikkonformaw ma’ dan il-Ftehim u mal-leġiżlazzjoni li tirregola s-sajd fiż-ŻEE ta’ Greenland.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7 </w:t>
      </w:r>
      <w:r>
        <w:rPr>
          <w:noProof/>
        </w:rPr>
        <w:br/>
      </w:r>
      <w:r>
        <w:rPr>
          <w:b/>
          <w:noProof/>
          <w:sz w:val="22"/>
        </w:rPr>
        <w:t>Awtorizzazzjonijiet tas-sajd</w:t>
      </w:r>
    </w:p>
    <w:p>
      <w:pPr>
        <w:pStyle w:val="NumPar1"/>
        <w:numPr>
          <w:ilvl w:val="0"/>
          <w:numId w:val="21"/>
        </w:numPr>
        <w:rPr>
          <w:noProof/>
        </w:rPr>
      </w:pPr>
      <w:r>
        <w:rPr>
          <w:noProof/>
        </w:rPr>
        <w:t>Il-bastimenti tal-Unjoni għandhom jistadu fiż-ŻEE ta’ Greenland biss jekk ikollhom awtorizzazzjoni valida tas-sajd maħruġa taħt dan il-Ftehim minn Greenland.</w:t>
      </w:r>
    </w:p>
    <w:p>
      <w:pPr>
        <w:pStyle w:val="NumPar1"/>
        <w:rPr>
          <w:noProof/>
        </w:rPr>
      </w:pPr>
      <w:r>
        <w:rPr>
          <w:noProof/>
        </w:rPr>
        <w:t>Il-proċedura għall-ksib ta’ awtorizzazzjoni tas-sajd, il-miżati applikabbli u l-metodu ta’ ħlas li jrid jintuża mis-sidien tal-vapuri għandhom ikunu dawk stipulati fl-Anness mal-Protokoll.</w:t>
      </w:r>
    </w:p>
    <w:p>
      <w:pPr>
        <w:pStyle w:val="NumPar1"/>
        <w:rPr>
          <w:noProof/>
        </w:rPr>
      </w:pPr>
      <w:r>
        <w:rPr>
          <w:noProof/>
        </w:rPr>
        <w:t>Il-Partijiet kontraenti għandhom jiżguraw l-implimentazzjoni tajba ta’ dawn il-proċeduri u l-kondizzjonijiet permezz ta’ koperazzjoni amministrattiva adegwata bejn l-awtoritajiet kompetenti tagħhom.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8 </w:t>
      </w:r>
      <w:r>
        <w:rPr>
          <w:noProof/>
        </w:rPr>
        <w:br/>
      </w:r>
      <w:r>
        <w:rPr>
          <w:b/>
          <w:noProof/>
          <w:sz w:val="22"/>
        </w:rPr>
        <w:t>Il-kontribut finanzjarju</w:t>
      </w:r>
    </w:p>
    <w:p>
      <w:pPr>
        <w:pStyle w:val="NumPar1"/>
        <w:numPr>
          <w:ilvl w:val="0"/>
          <w:numId w:val="22"/>
        </w:numPr>
        <w:rPr>
          <w:noProof/>
        </w:rPr>
      </w:pPr>
      <w:r>
        <w:rPr>
          <w:noProof/>
        </w:rPr>
        <w:t>Għandha tingħata kontribuzzjoni finanzjarja lil Greenland skont it-termini u l-kundizzjonijiet stipulati fil-Protokoll u fl-Anness</w:t>
      </w:r>
    </w:p>
    <w:p>
      <w:pPr>
        <w:pStyle w:val="NumPar1"/>
        <w:rPr>
          <w:noProof/>
        </w:rPr>
      </w:pPr>
      <w:r>
        <w:rPr>
          <w:noProof/>
        </w:rPr>
        <w:t>Dan il-kontribut għandu jkun magħmul minn tliet elementi relatati, jiġifieri:</w:t>
      </w:r>
    </w:p>
    <w:p>
      <w:pPr>
        <w:pStyle w:val="Point1letter"/>
        <w:rPr>
          <w:noProof/>
        </w:rPr>
      </w:pPr>
      <w:r>
        <w:rPr>
          <w:noProof/>
        </w:rPr>
        <w:t xml:space="preserve">kontribuzzjoni finanzjarja mill-Unjoni għall-aċċess tal-bastimenti tal-Unjoni għaż-żoni tas-sajd ta’ Greenland; </w:t>
      </w:r>
    </w:p>
    <w:p>
      <w:pPr>
        <w:pStyle w:val="Point1letter"/>
        <w:rPr>
          <w:noProof/>
        </w:rPr>
      </w:pPr>
      <w:r>
        <w:rPr>
          <w:noProof/>
        </w:rPr>
        <w:t>appoġġ finanzjarju mill-Unjoni biex jiġi żgurat sajd responsabbli kontinwu u l-isfruttament sostenibbli tar-riżorsi tas-sajd fiż-ŻEE ta’ Greenland u l-iżvilupp u l-implimentazzjoni tal-politika settorjali tas-sajd ta’ Greenland;</w:t>
      </w:r>
    </w:p>
    <w:p>
      <w:pPr>
        <w:pStyle w:val="Point1letter"/>
        <w:rPr>
          <w:noProof/>
        </w:rPr>
      </w:pPr>
      <w:r>
        <w:rPr>
          <w:noProof/>
        </w:rPr>
        <w:tab/>
        <w:t xml:space="preserve">it-tariffi tal-awtorizzazzjoni għall-aċċess imħallsa mis-sidien tal-bastimenti li jistadu bil-kwoti tal-UE. </w:t>
      </w:r>
    </w:p>
    <w:p>
      <w:pPr>
        <w:pStyle w:val="NumPar1"/>
        <w:rPr>
          <w:noProof/>
        </w:rPr>
      </w:pPr>
      <w:r>
        <w:rPr>
          <w:noProof/>
        </w:rPr>
        <w:t>Il-ġestjoni tal-komponent tal-kontribut finanzjarju msemmi fil-punt (b) tal-paragrafu 2 għandha tkun indipendenti mill-pagamenti li jirrigwardaw l-ispejjeż tal-aċċess u għandha tkun f'idejn l-awtoritajiet ta’ Greenland, fid-dawl tal-għanijiet identifikati b’kunsens reċiproku bejn il-Partijiet skond il-Protokoll, li jrid jintlaħaq fil-kuntest tal-Politika tas-Sajd ta’ Greenland u programm annwali u pluriennali għall-implimentazzjoni tagħha.</w:t>
      </w:r>
    </w:p>
    <w:p>
      <w:pPr>
        <w:pStyle w:val="NumPar1"/>
        <w:rPr>
          <w:noProof/>
        </w:rPr>
      </w:pPr>
      <w:r>
        <w:rPr>
          <w:noProof/>
        </w:rPr>
        <w:t xml:space="preserve"> Il-kontribuzzjoni finanzjarja li tagħti l-Unjoni għandha titħallas kull sena skont il-Protokoll u skont id-dispożizzjonijiet ta’ dan il-Ftehim. Il-kontribuzzjoni finanzjarja tista’ tiġi riveduta, mill-Kumitat Konġunt, soġġett għal dan il-Ftehim u l-Protokoll — bħala riżultat ta’:</w:t>
      </w:r>
    </w:p>
    <w:p>
      <w:pPr>
        <w:pStyle w:val="Point1letter"/>
        <w:numPr>
          <w:ilvl w:val="3"/>
          <w:numId w:val="23"/>
        </w:numPr>
        <w:rPr>
          <w:noProof/>
        </w:rPr>
      </w:pPr>
      <w:r>
        <w:rPr>
          <w:noProof/>
        </w:rPr>
        <w:t>ċirkustanzi eċċezzjonali, għajr il-fenomeni naturali, li jżommu milli jitwettqu attivitajiet tas-sajd fiż-ŻEE ta’ Greenland;</w:t>
      </w:r>
    </w:p>
    <w:p>
      <w:pPr>
        <w:pStyle w:val="Point1letter"/>
        <w:rPr>
          <w:noProof/>
        </w:rPr>
      </w:pPr>
      <w:r>
        <w:rPr>
          <w:noProof/>
        </w:rPr>
        <w:t>tnaqqis fl-opportunitajiet ta’ sajd mogħtija lil bastimenti tal-Unjoni, wara qbil reċiproku bejn il-Partijiet fi ħdan il-Kumitat Konġunt, għall-finijiet tal-ġestjoni sostenibbli tal-istokkijiet ikkonċernati, fejn dan jitqies li jkun meħtieġ għall-konservazzjoni u l-isfruttament sostenibbli tar-riżorsi abbażi tal-aħjar parir xjentifiku disponibbli;</w:t>
      </w:r>
    </w:p>
    <w:p>
      <w:pPr>
        <w:pStyle w:val="Point1letter"/>
        <w:rPr>
          <w:noProof/>
        </w:rPr>
      </w:pPr>
      <w:r>
        <w:rPr>
          <w:noProof/>
        </w:rPr>
        <w:t>fejn, minħabba dan il-Ftehim, l-Unjoni jkollha aċċess preferenzjali għal opportunitajiet addizzjonali tas-sajd lil hinn minn dawk stabbiliti fil-Protokoll għal dan il-Ftehim, b’segwiment tal-qbil komuni bejn il-Partijiet fi ħdan il-Kumitat Konġunt, meta l-aqwa parir xjentifiku disponibbli jindika li l-istat tar-riżorsi jkun jippermetti dan;</w:t>
      </w:r>
    </w:p>
    <w:p>
      <w:pPr>
        <w:pStyle w:val="Point1letter"/>
        <w:rPr>
          <w:noProof/>
        </w:rPr>
      </w:pPr>
      <w:r>
        <w:rPr>
          <w:noProof/>
        </w:rPr>
        <w:tab/>
        <w:t>evalwazzjoni mill-ġdid tal-kondizzjonijiet ta’ l-appoġġ finanzjarju mill-Unjoni għall-implimentazzjoni ta’ Politika tas-Sajd ta’ Greenland, fejn din tkun iġġustifikata mir-riżultati rapportati tal-programmazzjoni annwali u pluriennali osservati miż-żewġ Partijiet;</w:t>
      </w:r>
    </w:p>
    <w:p>
      <w:pPr>
        <w:pStyle w:val="Point1letter"/>
        <w:rPr>
          <w:noProof/>
        </w:rPr>
      </w:pPr>
      <w:r>
        <w:rPr>
          <w:noProof/>
        </w:rPr>
        <w:tab/>
        <w:t>is-sospensjoni ta’ l-applikazzjoni ta’ dan il-Ftehim skond l-Artikolu 16.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9 </w:t>
      </w:r>
      <w:r>
        <w:rPr>
          <w:noProof/>
        </w:rPr>
        <w:br/>
      </w:r>
      <w:r>
        <w:rPr>
          <w:b/>
          <w:noProof/>
          <w:sz w:val="22"/>
        </w:rPr>
        <w:t xml:space="preserve">Tħeġġiġ tal-kooperazzjoni </w:t>
      </w:r>
    </w:p>
    <w:p>
      <w:pPr>
        <w:pStyle w:val="NumPar1"/>
        <w:numPr>
          <w:ilvl w:val="0"/>
          <w:numId w:val="24"/>
        </w:numPr>
        <w:rPr>
          <w:noProof/>
        </w:rPr>
      </w:pPr>
      <w:r>
        <w:rPr>
          <w:noProof/>
        </w:rPr>
        <w:t xml:space="preserve">Il-Partijiet għandhom jinkoraġġixxu l-koperazzjoni ekonomika, kummerċjali, xjentifika, fil-kontroll u l-infruzar, fit-taħtiġ u fit-teknika fis-settur tas-sajd u setturi relatati. Dawn għandhom jikkonsultaw lil xulxin sabiex jikkoordinaw id-diversi miżuri li jistgħu jittieħdu għal dan il-għan. </w:t>
      </w:r>
    </w:p>
    <w:p>
      <w:pPr>
        <w:pStyle w:val="NumPar1"/>
        <w:rPr>
          <w:noProof/>
        </w:rPr>
      </w:pPr>
      <w:r>
        <w:rPr>
          <w:noProof/>
        </w:rPr>
        <w:t>Il-Partijiet għandhom iħeġġu l-iskambju tal-informazzjoni dwar it-tekniki tas-sajd u l-irkaptu tas-sajd, il-metodi ta’ preżervazzjoni u l-ipproċessar industrijali tal-prodotti tas-sajd.</w:t>
      </w:r>
    </w:p>
    <w:p>
      <w:pPr>
        <w:pStyle w:val="NumPar1"/>
        <w:rPr>
          <w:noProof/>
        </w:rPr>
      </w:pPr>
      <w:r>
        <w:rPr>
          <w:noProof/>
        </w:rPr>
        <w:t>B'mod partikolari, il-Partijiet għandhom jinkoraġġixxu t-twaqqif ta’ impriżi konġunti temporanji u impriżi konġunti, fl-interess reċiproku tagħhom u skond il-leġiżlazzjonijiet tagħhom.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>Artikolu 10</w:t>
      </w:r>
      <w:r>
        <w:rPr>
          <w:noProof/>
        </w:rPr>
        <w:br/>
      </w:r>
      <w:r>
        <w:rPr>
          <w:b/>
          <w:noProof/>
          <w:sz w:val="22"/>
        </w:rPr>
        <w:t>Kooperazzjoni fil-qasam tal-monitoraġġ, tal-kontroll u tas-sorveljanza u fil-ġlieda kontra s-sajd illegali, mhux irrappurtat u mhux irregolat (is-sajd IUU)</w:t>
      </w:r>
    </w:p>
    <w:p>
      <w:pPr>
        <w:pStyle w:val="NumPar1"/>
        <w:numPr>
          <w:ilvl w:val="0"/>
          <w:numId w:val="25"/>
        </w:numPr>
        <w:rPr>
          <w:noProof/>
        </w:rPr>
      </w:pPr>
      <w:r>
        <w:rPr>
          <w:noProof/>
        </w:rPr>
        <w:t>Il-Partijiet jintrabtu li jikkooperaw fil-ġlieda kontra l-attivitajiet tas-sajd IUU sabiex ikun jista’ jsir sajd responsabbli u sostenibbli.</w:t>
      </w:r>
    </w:p>
    <w:p>
      <w:pPr>
        <w:pStyle w:val="NumPar1"/>
        <w:rPr>
          <w:noProof/>
        </w:rPr>
      </w:pPr>
      <w:r>
        <w:rPr>
          <w:noProof/>
        </w:rPr>
        <w:t>Abbażi ta’ konsultazzjoni fil-Kumitat Konġunt, il-Partijiet jistgħu jaqblu li jikkooperaw u li jwettqu programmi ta’ spezzjoni konġunta fuq il-bastimenti tal-Unjoni bbażati fuq ir-riskju, sabiex isaħħu l-applikazzjoni tad-dispożizzjonijiet dwar il-monitoraġġ, il-kontroll u s-sorveljanza tas-sajd stabbiliti fil-Protokoll u l-miżuri korrettivi relatati magħhom.</w:t>
      </w:r>
    </w:p>
    <w:p>
      <w:pPr>
        <w:pStyle w:val="Titrearticle"/>
        <w:rPr>
          <w:noProof/>
        </w:rPr>
      </w:pPr>
      <w:r>
        <w:rPr>
          <w:noProof/>
        </w:rPr>
        <w:t xml:space="preserve">Artikolu 11 </w:t>
      </w:r>
      <w:r>
        <w:rPr>
          <w:noProof/>
        </w:rPr>
        <w:br/>
      </w:r>
      <w:r>
        <w:rPr>
          <w:b/>
          <w:noProof/>
          <w:sz w:val="22"/>
        </w:rPr>
        <w:t>Is-sajd sperimentali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Il-Partjiet għandhom iġibu 'l quddiem it-twettiq ta’ sajd sperimentali fiż-ŻEE ta’ Greenland. Il-Partijiet għandhom jimplimentaw is-sajd sperimentali flimkien, skont il-proċeduri stabbiliti fil-Protokoll u fl-Anness tiegħu.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12 </w:t>
      </w:r>
      <w:r>
        <w:rPr>
          <w:noProof/>
        </w:rPr>
        <w:br/>
      </w:r>
      <w:r>
        <w:rPr>
          <w:b/>
          <w:noProof/>
          <w:sz w:val="22"/>
        </w:rPr>
        <w:t>Il-Kumitat Konġunt</w:t>
      </w:r>
    </w:p>
    <w:p>
      <w:pPr>
        <w:pStyle w:val="NumPar1"/>
        <w:numPr>
          <w:ilvl w:val="0"/>
          <w:numId w:val="26"/>
        </w:numPr>
        <w:rPr>
          <w:noProof/>
        </w:rPr>
      </w:pPr>
      <w:r>
        <w:rPr>
          <w:noProof/>
        </w:rPr>
        <w:t>Għandu jitwaqqaf Kumitat Konġunt sabiex jaqdi bħala forum għall-Partijiet għall-moniteraġġ ta’ l-applikazzjoni ta’ dan il-Ftehim u għall-iżgurar ta’ l-implimentazzjoni tiegħu.</w:t>
      </w:r>
    </w:p>
    <w:p>
      <w:pPr>
        <w:pStyle w:val="NumPar1"/>
        <w:rPr>
          <w:noProof/>
        </w:rPr>
      </w:pPr>
      <w:r>
        <w:rPr>
          <w:noProof/>
        </w:rPr>
        <w:t>Il-Kumitat Konġunt għandu jwettaq l-operazzjonijiet li ġejjin:</w:t>
      </w:r>
    </w:p>
    <w:p>
      <w:pPr>
        <w:pStyle w:val="Point1letter"/>
        <w:numPr>
          <w:ilvl w:val="3"/>
          <w:numId w:val="27"/>
        </w:numPr>
        <w:rPr>
          <w:noProof/>
        </w:rPr>
      </w:pPr>
      <w:r>
        <w:rPr>
          <w:noProof/>
        </w:rPr>
        <w:t>il-moniteraġġ u r-rappurtar tat-twettiq, l-interpretazzjoni u l-applikazzjoni tal-Ftehim, u partikolarment id-definizzjoni ta’ l-programmazzjoni annwali u pluriennali msemmija fl-Artikolu 8(3), flimkien ma’ l-evalwazzjoni ta’ l-implimentazzjoi tagħha;</w:t>
      </w:r>
    </w:p>
    <w:p>
      <w:pPr>
        <w:pStyle w:val="Point1letter"/>
        <w:rPr>
          <w:noProof/>
        </w:rPr>
      </w:pPr>
      <w:r>
        <w:rPr>
          <w:noProof/>
        </w:rPr>
        <w:t>għandu jiżgura l-komunikazzjoni u l-kooperazzjoni meħtieġa dwar kwistjonijiet ta' interess komuni fil-qasam tas-sajd;</w:t>
      </w:r>
    </w:p>
    <w:p>
      <w:pPr>
        <w:pStyle w:val="Point1letter"/>
        <w:rPr>
          <w:noProof/>
        </w:rPr>
      </w:pPr>
      <w:r>
        <w:rPr>
          <w:noProof/>
        </w:rPr>
        <w:t>jaġixxi bħala forum għar-rikonċiljazzjoni u s-soluzzjoni amikevoli ta’ kwalunkwe nuqqas ta’ qbil dwar l-interpretazzjoni jew l-applikazzjoni tal-Ftehim;</w:t>
      </w:r>
    </w:p>
    <w:p>
      <w:pPr>
        <w:pStyle w:val="Point1letter"/>
        <w:rPr>
          <w:noProof/>
        </w:rPr>
      </w:pPr>
      <w:r>
        <w:rPr>
          <w:noProof/>
        </w:rPr>
        <w:tab/>
        <w:t>jirrivedi u jinnegozja, fejn dan ikun ta’ ħtieġa, il-livell ta’ l-opportunitajiet ta’ sajd eżistenti u ġodda għall-istokkijiet rilevanti fiż-ŻEE ta’ Greenland, abbażi tal-aqwa pariri xjentifiċi disponibbli, l-approċċ prekawzjonarju u l-ħtiġijiet ta’ l-industrija tas-sajd ta’ Greenland, u konsegwentement l-opportunitajiet ta’ sajd disponibbli għall-Unjoni u, fejn dan ikun f'loku, il-kontribut finanzjarju msemmi fil-Protokoll;</w:t>
      </w:r>
    </w:p>
    <w:p>
      <w:pPr>
        <w:pStyle w:val="Point1letter"/>
        <w:rPr>
          <w:noProof/>
        </w:rPr>
      </w:pPr>
      <w:r>
        <w:rPr>
          <w:noProof/>
        </w:rPr>
        <w:tab/>
        <w:t>jissorvelja l-applikazzjonijiet għat-twaqqif ta’ impriżi konġunti temporanji u impriżi temporanji skond it-termini ta’ dan il-Ftehim, u partikolarment jevalwa l-proġetti mressqa mill-Partijiet għat-twaqqif ta’ impriżi konġunti temporanji u impriżi konġunti skond il-kriterji stipulati fl-Anness mal-Protokoll ta’ dan il-Ftehim, u jirrivedi l-attivitajiet ta’ bastimenti ta’ impriżi konġunti temporanji u impriżi konġunti;</w:t>
      </w:r>
    </w:p>
    <w:p>
      <w:pPr>
        <w:pStyle w:val="Point1letter"/>
        <w:rPr>
          <w:noProof/>
        </w:rPr>
      </w:pPr>
      <w:r>
        <w:rPr>
          <w:noProof/>
        </w:rPr>
        <w:t>jiddetermina, każ b'każ, l-ispeċijiet, il-kondizzjonijiet u l-parametri rilevanti li jirrigwardaw is-sajd sperimentali;</w:t>
      </w:r>
    </w:p>
    <w:p>
      <w:pPr>
        <w:pStyle w:val="Point1letter"/>
        <w:rPr>
          <w:noProof/>
        </w:rPr>
      </w:pPr>
      <w:r>
        <w:rPr>
          <w:noProof/>
        </w:rPr>
        <w:tab/>
        <w:t>jiftiehem dwar miżuri amministrattivi rigward l-aċċess ta’ bastimenti tas-sajd tal-Unjoni għaż-ŻEE u r-riżorsi ta’ Greenland, inklużi l-liċenzji, il-moviment ta’ bastimenti tas-sajd tal-Unjoni u r-rappurtar tal-qabdiet;</w:t>
      </w:r>
    </w:p>
    <w:p>
      <w:pPr>
        <w:pStyle w:val="Point1letter"/>
        <w:rPr>
          <w:noProof/>
        </w:rPr>
      </w:pPr>
      <w:r>
        <w:rPr>
          <w:noProof/>
        </w:rPr>
        <w:tab/>
        <w:t>jiftiehem dwar il-modalitajiet għall-implimentazzjoni ta’ l-appoġġ finanzjarju tal-Komunità sabiex jintlaħaq l-issuktar tas-sajd responsabbli u l-isfruttament sostenibbli tar-riżorsi tas-sajd fiż-ŻEE ta’ Greenland;</w:t>
      </w:r>
    </w:p>
    <w:p>
      <w:pPr>
        <w:pStyle w:val="Point1letter"/>
        <w:rPr>
          <w:noProof/>
        </w:rPr>
      </w:pPr>
      <w:r>
        <w:rPr>
          <w:noProof/>
        </w:rPr>
        <w:t>jevalwa t-termini ta’ l-appoġġ finanzjarju tal-Unjoni għall-implimentazzjoni ta’ Politika tas-Sajd ta’ Greenland, fejn din tkun iġġustifikata mir-riżultati tal-programmazzjoni annwali u pluriennali osservati miż-żewġ Partijiet;</w:t>
      </w:r>
    </w:p>
    <w:p>
      <w:pPr>
        <w:pStyle w:val="Point1letter"/>
        <w:rPr>
          <w:noProof/>
        </w:rPr>
      </w:pPr>
      <w:r>
        <w:rPr>
          <w:noProof/>
        </w:rPr>
        <w:tab/>
        <w:t>jaqdi kwalunkwe funzjoni oħra li l-Partijiet jiddeċiedu dwarha bi qbil komuni.</w:t>
      </w:r>
    </w:p>
    <w:p>
      <w:pPr>
        <w:pStyle w:val="NumPar1"/>
        <w:rPr>
          <w:noProof/>
        </w:rPr>
      </w:pPr>
      <w:r>
        <w:rPr>
          <w:noProof/>
        </w:rPr>
        <w:t>Il-Kumitat Konġunt għandu jiltaqa’ tal-inqas darba fis-sena, sena fl-Unjoni u s-sena ta’ wara f’Greenland, u għandha tippresedih il-Parti ta’ fejn tkun qed issir il-laqgħa. Jekk xi waħda mill-Partijiet titlob dan, dan għandu jitlaqqa’ b’mod straordinarju.</w:t>
      </w:r>
    </w:p>
    <w:p>
      <w:pPr>
        <w:pStyle w:val="NumPar1"/>
        <w:rPr>
          <w:noProof/>
        </w:rPr>
      </w:pPr>
      <w:r>
        <w:rPr>
          <w:noProof/>
        </w:rPr>
        <w:t>Il-Kumitat Konġunt għandu jadotta r-regoli ta' proċedura tiegħu.</w:t>
      </w:r>
    </w:p>
    <w:p>
      <w:pPr>
        <w:pStyle w:val="NumPar1"/>
        <w:rPr>
          <w:noProof/>
        </w:rPr>
      </w:pPr>
      <w:r>
        <w:rPr>
          <w:noProof/>
        </w:rPr>
        <w:t>Il-Kumitat Konġunt għandu jwettaq ħidmietu skont l-għanijiet ta’ dan il-Ftehim.</w:t>
      </w:r>
    </w:p>
    <w:p>
      <w:pPr>
        <w:pStyle w:val="NumPar1"/>
        <w:rPr>
          <w:noProof/>
        </w:rPr>
      </w:pPr>
      <w:r>
        <w:rPr>
          <w:noProof/>
        </w:rPr>
        <w:t xml:space="preserve">Il-Kumitat Konġunt għandu jitlob kumitat xjentifiku konġunt ad hoc jekk ikun meħtieġ, abbażi tat-terminu ta’ referenza stabbilit mill-Kumitat. </w:t>
      </w:r>
    </w:p>
    <w:p>
      <w:pPr>
        <w:pStyle w:val="NumPar1"/>
        <w:rPr>
          <w:noProof/>
        </w:rPr>
      </w:pPr>
      <w:r>
        <w:rPr>
          <w:noProof/>
        </w:rPr>
        <w:t>Il-konklużjonijiet tal-laqgħa tal-Kumitat Konġunt għandhom jiġu rreġistrati u ffirmati miż-żewġ Partijiet.</w:t>
      </w:r>
    </w:p>
    <w:p>
      <w:pPr>
        <w:pStyle w:val="NumPar1"/>
        <w:rPr>
          <w:noProof/>
        </w:rPr>
      </w:pPr>
      <w:r>
        <w:rPr>
          <w:noProof/>
        </w:rPr>
        <w:t>Il-Kumitat Konġunt jista’ jieħu deċiżjonijiet permezz ta’ proċedimenti bil-miktub kif meħtieġ.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13 </w:t>
      </w:r>
      <w:r>
        <w:rPr>
          <w:noProof/>
        </w:rPr>
        <w:br/>
      </w:r>
      <w:r>
        <w:rPr>
          <w:b/>
          <w:noProof/>
          <w:sz w:val="22"/>
        </w:rPr>
        <w:t>Żona ġeografika li għaliha japplika l-Ftehim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Dan il-Ftehim għandu japplika, minn naħa waħda, għat-territorji li fih japplika t-Trattat li jistabbilixxi l-Komunità Ewropea, skond il-kondizzjonijiet stipulati f'dak it-Trattat u, min-naħa l-oħra, għat-territorju ta’ Greenland u ż-ŻEE ta’ Greenland.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14 </w:t>
      </w:r>
      <w:r>
        <w:rPr>
          <w:noProof/>
        </w:rPr>
        <w:br/>
      </w:r>
      <w:r>
        <w:rPr>
          <w:b/>
          <w:noProof/>
          <w:sz w:val="22"/>
        </w:rPr>
        <w:t xml:space="preserve">Perjodu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Dan il-Ftehim għandu japplika għal sitt snin mid-</w:t>
      </w:r>
      <w:r>
        <w:rPr>
          <w:i/>
          <w:noProof/>
          <w:sz w:val="22"/>
        </w:rPr>
        <w:t>data</w:t>
      </w:r>
      <w:r>
        <w:rPr>
          <w:noProof/>
          <w:sz w:val="22"/>
        </w:rPr>
        <w:t xml:space="preserve"> tal-applikazzjoni provviżorja tiegħu; għandu jiġġedded b’mod taċitu għal perjodi addizzjonali ta’ sitt snin, sakemm ma tingħatax notifika bil-miktub ta’ terminazzjoni mill-inqas sitt xhur qabel id-</w:t>
      </w:r>
      <w:r>
        <w:rPr>
          <w:i/>
          <w:noProof/>
          <w:sz w:val="22"/>
        </w:rPr>
        <w:t>data</w:t>
      </w:r>
      <w:r>
        <w:rPr>
          <w:noProof/>
          <w:sz w:val="22"/>
        </w:rPr>
        <w:t xml:space="preserve"> ta’ skadenza.</w:t>
      </w:r>
    </w:p>
    <w:p>
      <w:pPr>
        <w:pStyle w:val="Titrearticle"/>
        <w:rPr>
          <w:noProof/>
        </w:rPr>
      </w:pPr>
      <w:r>
        <w:rPr>
          <w:noProof/>
        </w:rPr>
        <w:t xml:space="preserve"> Artikolu 15  </w:t>
      </w:r>
      <w:r>
        <w:rPr>
          <w:noProof/>
        </w:rPr>
        <w:br/>
      </w:r>
      <w:r>
        <w:rPr>
          <w:b/>
          <w:noProof/>
          <w:sz w:val="22"/>
        </w:rPr>
        <w:t>Applikazzjoni provviżorja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Il-Ftehim għandu japplika b’mod provviżorju mid-</w:t>
      </w:r>
      <w:r>
        <w:rPr>
          <w:i/>
          <w:noProof/>
          <w:sz w:val="22"/>
        </w:rPr>
        <w:t>data</w:t>
      </w:r>
      <w:r>
        <w:rPr>
          <w:noProof/>
          <w:sz w:val="22"/>
        </w:rPr>
        <w:t xml:space="preserve"> meta l-Partijiet jiffirmawh.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16 </w:t>
      </w:r>
      <w:r>
        <w:rPr>
          <w:noProof/>
        </w:rPr>
        <w:br/>
      </w:r>
      <w:r>
        <w:rPr>
          <w:b/>
          <w:noProof/>
          <w:sz w:val="22"/>
        </w:rPr>
        <w:t>Is-sospensjoni</w:t>
      </w:r>
    </w:p>
    <w:p>
      <w:pPr>
        <w:pStyle w:val="NumPar1"/>
        <w:numPr>
          <w:ilvl w:val="0"/>
          <w:numId w:val="28"/>
        </w:numPr>
        <w:rPr>
          <w:noProof/>
        </w:rPr>
      </w:pPr>
      <w:r>
        <w:rPr>
          <w:noProof/>
        </w:rPr>
        <w:t xml:space="preserve">L-applikazzjoni ta’ dan il-Ftehim tista’ tiġi sospiża fuq inizjattiva ta’ xi waħda mill-Partijiet f’ċirkustanza waħda jew iktar minn dawn li ġejjin: </w:t>
      </w:r>
    </w:p>
    <w:p>
      <w:pPr>
        <w:pStyle w:val="Point1letter"/>
        <w:numPr>
          <w:ilvl w:val="3"/>
          <w:numId w:val="29"/>
        </w:numPr>
        <w:rPr>
          <w:noProof/>
        </w:rPr>
      </w:pPr>
      <w:r>
        <w:rPr>
          <w:noProof/>
        </w:rPr>
        <w:t xml:space="preserve">(a) meta jkun hemm sitwazzjonijiet, minbarra l-fenomeni naturali, li l-Partijiet b’mod raġonevoli ma jkollhomx kontroll fuqhom u li jkunu tali li ma jippermettux li jsirux attivitajiet tas-sajd fiż-ŻEE ta’ Greenland; jew </w:t>
      </w:r>
    </w:p>
    <w:p>
      <w:pPr>
        <w:pStyle w:val="Point1letter"/>
        <w:numPr>
          <w:ilvl w:val="3"/>
          <w:numId w:val="29"/>
        </w:numPr>
        <w:rPr>
          <w:noProof/>
        </w:rPr>
      </w:pPr>
      <w:r>
        <w:rPr>
          <w:noProof/>
        </w:rPr>
        <w:t xml:space="preserve">(b) fejn, miħabba l-bidliet sinifikanti fil-linji gwida tal-politika li wasslu għall-konklużjoni ta’ dan il-Protokoll u xi waħda mill-Partijiet titlob li jiġi riveduti d-dispożizzjonijiet tiegħu biex dawn ikunu jistgħu jiġu emendati; jew </w:t>
      </w:r>
    </w:p>
    <w:p>
      <w:pPr>
        <w:pStyle w:val="Point1letter"/>
        <w:numPr>
          <w:ilvl w:val="3"/>
          <w:numId w:val="29"/>
        </w:numPr>
        <w:rPr>
          <w:noProof/>
        </w:rPr>
      </w:pPr>
      <w:r>
        <w:rPr>
          <w:noProof/>
        </w:rPr>
        <w:t xml:space="preserve">(c) fejn ikun inqala’ tilwim serju mhux solvut fis-settur tas-sajd bejn il-Partijiet u/jew relatat mal-interpretazzjoni jew l-applikazzjoni tal-ftehim; jew </w:t>
      </w:r>
    </w:p>
    <w:p>
      <w:pPr>
        <w:pStyle w:val="Point1letter"/>
        <w:numPr>
          <w:ilvl w:val="3"/>
          <w:numId w:val="29"/>
        </w:numPr>
        <w:rPr>
          <w:noProof/>
        </w:rPr>
      </w:pPr>
      <w:r>
        <w:rPr>
          <w:noProof/>
        </w:rPr>
        <w:t xml:space="preserve">(d) fejn waħda mill-Partijiet taċċerta ksur tad-drittijiet fundamentali kif garantiti mill-Konvenzjoni Ewropea għall-Protezzjoni tad-Drittijiet tal-Bniedem u l-Libertajiet Fundamentali u d-Dikjarazzjoni tan-Nazzjonijiet Uniti dwar id-Drittijiet tal-Popli Indiġeni (UNDRIP). </w:t>
      </w:r>
    </w:p>
    <w:p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 xml:space="preserve">Dan is-subparagrafu ma għandux japplika jekk il-ksur iseħħ f'qasam ta' responsabbiltà jew ta' kompetenza li fih il-Gvern ta' Greenland, minħabba l-istatus ta' dan il-pajjiż bħala parti awtonoma mir-Renju tad-Danimarka, ma għandux responsabbiltajiet jew kompetenzi formali.  </w:t>
      </w:r>
    </w:p>
    <w:p>
      <w:pPr>
        <w:pStyle w:val="NumPar1"/>
        <w:rPr>
          <w:noProof/>
        </w:rPr>
      </w:pPr>
      <w:r>
        <w:rPr>
          <w:noProof/>
        </w:rPr>
        <w:t>Is-sospensjoni tal-applikazzjoni tal-Ftehim għandha tiġi nnotifikata minn kwalunkwe Parti lill-Parti l-oħra bil-miktub u, ħlief f’każijiet ta’ urġenza speċjali, għandha tidħol fis-seħħ tliet xhur wara li tasal it-tali notifika, sakemm il-Partijiet ma jaqblux dwar perjodu ta’ żmien ieħor imsemmi espliċitament. Il-fatt li tasal din in-notifika għandu jwassal biex jinfetħu konsultazzjonijiet bejn il-Partijiet fil-Kumitat Konġunt biex tinstab soluzzjoni amikevoli għat-tilwima f’perjodu ta’ tliet xhur.</w:t>
      </w:r>
    </w:p>
    <w:p>
      <w:pPr>
        <w:pStyle w:val="NumPar1"/>
        <w:rPr>
          <w:noProof/>
        </w:rPr>
      </w:pPr>
      <w:r>
        <w:rPr>
          <w:noProof/>
        </w:rPr>
        <w:t xml:space="preserve">Ladarba tinstab din is-soluzzjoni, għandu jerġa’ jibda jiġi applikat il-Ftehim u l-ammont tal-kontribuzzjoni finanzjarja msemmija fl-Artikolu 8 għandu jitnaqqas b’mod proporzjonat u </w:t>
      </w:r>
      <w:r>
        <w:rPr>
          <w:i/>
          <w:iCs/>
          <w:noProof/>
        </w:rPr>
        <w:t>pro rata temporis</w:t>
      </w:r>
      <w:r>
        <w:rPr>
          <w:noProof/>
        </w:rPr>
        <w:t xml:space="preserve"> skont il-perjodu li matulu jkun dam sospiż il-Ftehim, sakemm ma jintlaħaqx qbil mod ieħor.</w:t>
      </w:r>
    </w:p>
    <w:p>
      <w:pPr>
        <w:pStyle w:val="Titrearticle"/>
        <w:rPr>
          <w:rFonts w:eastAsia="Calibri"/>
          <w:b/>
          <w:noProof/>
          <w:sz w:val="22"/>
        </w:rPr>
      </w:pPr>
      <w:r>
        <w:rPr>
          <w:noProof/>
        </w:rPr>
        <w:t xml:space="preserve">Artikolu 17  </w:t>
      </w:r>
      <w:r>
        <w:rPr>
          <w:noProof/>
        </w:rPr>
        <w:br/>
      </w:r>
      <w:r>
        <w:rPr>
          <w:b/>
          <w:noProof/>
          <w:sz w:val="22"/>
        </w:rPr>
        <w:t xml:space="preserve">Terminazzjoni </w:t>
      </w:r>
    </w:p>
    <w:p>
      <w:pPr>
        <w:pStyle w:val="NumPar1"/>
        <w:numPr>
          <w:ilvl w:val="0"/>
          <w:numId w:val="30"/>
        </w:numPr>
        <w:rPr>
          <w:noProof/>
        </w:rPr>
      </w:pPr>
      <w:r>
        <w:rPr>
          <w:noProof/>
        </w:rPr>
        <w:t xml:space="preserve">Kull waħda mill-Partijiet tista’ tittermina dan il-Ftehim fil-każijiet li ġejjin: </w:t>
      </w:r>
    </w:p>
    <w:p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 xml:space="preserve">meta jkun hemm sitwazzjonijiet, minbarra l-fenomeni naturali, li l-Partijiet b’mod raġonevoli ma jkollhomx kontroll fuqhom u li jkunu tali li ma jippermettux li jsir is-sajd fiż-ŻEE ta’ Greenland;  </w:t>
      </w:r>
    </w:p>
    <w:p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 xml:space="preserve">tnaqqis jew degradazzjoni tal-istokkijiet ikkonċernati abbażi tal-aqwa parir xjentifiku disponibbli; </w:t>
      </w:r>
    </w:p>
    <w:p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 xml:space="preserve">meta jonqos b’mod sinifikanti l-livell ta’ użu tal-opportunitajiet tas-sajd mogħtija lill-bastimenti tal-Unjoni; </w:t>
      </w:r>
    </w:p>
    <w:p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>meta jkun hemm ksur serju tal-impenji li l-Partijiet ikunu daħlu għalihom fil-ġlieda kontra s-sajd IUU;</w:t>
      </w:r>
    </w:p>
    <w:p>
      <w:pPr>
        <w:pStyle w:val="Point1letter"/>
        <w:rPr>
          <w:noProof/>
        </w:rPr>
      </w:pPr>
      <w:r>
        <w:rPr>
          <w:noProof/>
        </w:rPr>
        <w:t>meta jkun hemm kull ċirkustanza oħra li tkun tikkostitwixxi ksur tal-Ftehim min-naħa ta’ xi waħda mill-Partijiet.</w:t>
      </w:r>
    </w:p>
    <w:p>
      <w:pPr>
        <w:pStyle w:val="NumPar1"/>
        <w:rPr>
          <w:noProof/>
        </w:rPr>
      </w:pPr>
      <w:r>
        <w:rPr>
          <w:noProof/>
        </w:rPr>
        <w:t xml:space="preserve">Kull Parti għandha tgħarraf bil-miktub lill-Parti l-oħra bit-terminazzjoni tal-Ftehim, u t-terminazzjoni għandha tidħol fis-seħħ sitt xhur wara li tasal din in-notifika, sakemm il-Partijiet ma jiddeċidux bi qbil reċiproku li jtawlu dan il-perjodu. Wara li ssir it-tali notifika ta’ terminazzjoni, il-Partijiet għandhom jibdew konsultazzjonijiet bejniethom permezz tal-Kumitat Konġunt biex isibu soluzzjoni amikevoli għat-tilwima, fir-rigward tar-raġuni għat-tmiem tal-ftehim. </w:t>
      </w:r>
    </w:p>
    <w:p>
      <w:pPr>
        <w:spacing w:before="0" w:after="160" w:line="259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Jekk it-terminazzjoni sseħħ, il-ħlas tal-ammont tal-kontribuzzjoni finanzjarja msemmija fl-Artikolu 8 għas-sena meta tidħol fis-seħħ it-terminazzjoni għandu jitnaqqas b’mod proporzjonat u </w:t>
      </w:r>
      <w:r>
        <w:rPr>
          <w:i/>
          <w:iCs/>
          <w:noProof/>
        </w:rPr>
        <w:t>pro rata temporis</w:t>
      </w:r>
      <w:r>
        <w:rPr>
          <w:noProof/>
        </w:rPr>
        <w:t>.</w:t>
      </w:r>
    </w:p>
    <w:p>
      <w:pPr>
        <w:pStyle w:val="Titrearticle"/>
        <w:rPr>
          <w:rFonts w:eastAsia="Calibri"/>
          <w:b/>
          <w:noProof/>
          <w:szCs w:val="24"/>
        </w:rPr>
      </w:pPr>
      <w:r>
        <w:rPr>
          <w:noProof/>
        </w:rPr>
        <w:t xml:space="preserve">Artikolu 18 </w:t>
      </w:r>
      <w:r>
        <w:rPr>
          <w:noProof/>
        </w:rPr>
        <w:br/>
      </w:r>
      <w:r>
        <w:rPr>
          <w:b/>
          <w:noProof/>
          <w:szCs w:val="24"/>
        </w:rPr>
        <w:t>Protokoll u Anness</w:t>
      </w:r>
    </w:p>
    <w:p>
      <w:pPr>
        <w:spacing w:before="0" w:after="160" w:line="259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Il-Protokoll u l-Anness u l-appendiċijiet tagħhom għandhom jiffurmaw parti integrali ta’ dan il-Ftehim.</w:t>
      </w:r>
    </w:p>
    <w:p>
      <w:pPr>
        <w:pStyle w:val="Titrearticle"/>
        <w:rPr>
          <w:rFonts w:eastAsia="Calibri"/>
          <w:b/>
          <w:noProof/>
          <w:szCs w:val="24"/>
        </w:rPr>
      </w:pPr>
      <w:r>
        <w:rPr>
          <w:noProof/>
        </w:rPr>
        <w:t xml:space="preserve">Artikolu 19 </w:t>
      </w:r>
      <w:r>
        <w:rPr>
          <w:noProof/>
        </w:rPr>
        <w:br/>
      </w:r>
      <w:r>
        <w:rPr>
          <w:b/>
          <w:noProof/>
          <w:szCs w:val="24"/>
        </w:rPr>
        <w:t>Tħassir</w:t>
      </w:r>
    </w:p>
    <w:p>
      <w:pPr>
        <w:spacing w:before="0" w:after="160" w:line="259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Il-Ftehim ta’ Sħubija fis-Sajd tat-30 ta’ Ġunju 2007 bejn il-Komunità Ewropea, minn naħa waħda, u l-Gvern tad-Danimarka u l-Gvern Awtonomu ta’ Greenland, min-naħa l-oħra, huwa b’dan imħassar.</w:t>
      </w:r>
    </w:p>
    <w:p>
      <w:pPr>
        <w:pStyle w:val="Titrearticle"/>
        <w:rPr>
          <w:noProof/>
        </w:rPr>
      </w:pPr>
      <w:r>
        <w:rPr>
          <w:noProof/>
        </w:rPr>
        <w:t>Artikolu 20</w:t>
      </w:r>
      <w:r>
        <w:rPr>
          <w:noProof/>
        </w:rPr>
        <w:br/>
      </w:r>
      <w:r>
        <w:rPr>
          <w:b/>
          <w:noProof/>
        </w:rPr>
        <w:t>Dħul fis-seħħ</w:t>
      </w:r>
    </w:p>
    <w:p>
      <w:pPr>
        <w:spacing w:before="0" w:after="160" w:line="259" w:lineRule="auto"/>
        <w:jc w:val="left"/>
        <w:rPr>
          <w:rFonts w:eastAsia="Calibri"/>
          <w:noProof/>
          <w:szCs w:val="24"/>
        </w:rPr>
      </w:pPr>
      <w:r>
        <w:rPr>
          <w:noProof/>
        </w:rPr>
        <w:t>Dan il-Ftehim għandu jidħol fis-seħħ meta l-Partijiet ikunu għarrfu lil xulxin li tlestew il-proċeduri meħtieġa għal dak il-għan.</w:t>
      </w:r>
    </w:p>
    <w:p>
      <w:pPr>
        <w:pStyle w:val="Titrearticle"/>
        <w:rPr>
          <w:rFonts w:eastAsia="Calibri"/>
          <w:b/>
          <w:noProof/>
          <w:szCs w:val="24"/>
        </w:rPr>
      </w:pPr>
      <w:r>
        <w:rPr>
          <w:noProof/>
        </w:rPr>
        <w:t xml:space="preserve">Artikolu 21 </w:t>
      </w:r>
      <w:r>
        <w:rPr>
          <w:noProof/>
        </w:rPr>
        <w:br/>
      </w:r>
      <w:r>
        <w:rPr>
          <w:b/>
          <w:noProof/>
          <w:szCs w:val="24"/>
        </w:rPr>
        <w:t>Test awtentiku</w:t>
      </w:r>
    </w:p>
    <w:p>
      <w:pPr>
        <w:spacing w:before="0" w:after="160" w:line="259" w:lineRule="auto"/>
        <w:jc w:val="left"/>
        <w:rPr>
          <w:rFonts w:eastAsia="Calibri"/>
          <w:noProof/>
          <w:szCs w:val="24"/>
        </w:rPr>
      </w:pPr>
      <w:r>
        <w:rPr>
          <w:noProof/>
        </w:rPr>
        <w:t>Dan il-ftehim huwa preparat f'żewġ kopji bil-Bulgaru, biċ-Ċek, bid-Daniż, bl-Olandiż, bl-Estonjan, bl-Ingliż, bil-Finlandiż, bil-Franċiż, bil-Ġermaniż, bil-Grieg, bl-Ungeriż, bit-Taljan, bil-Latvjan, bil-Litwan, bil-Malti, bil-Pollakk, bil-Portugiż, bir-Rumen, bis-Slovakk, bis-Sloven, bl-Ispanjol, u bl-Isvediż, u kull wieħed mit-testi huwa awtentiku b'mod ugwali.</w:t>
      </w:r>
    </w:p>
    <w:p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noProof/>
        </w:rPr>
        <w:br w:type="page"/>
        <w:t xml:space="preserve"> </w:t>
      </w:r>
      <w:r>
        <w:rPr>
          <w:noProof/>
        </w:rPr>
        <w:br/>
      </w:r>
      <w:r>
        <w:rPr>
          <w:b/>
          <w:noProof/>
          <w:szCs w:val="24"/>
        </w:rPr>
        <w:t>PROTOKOLL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Li jimplimenta l-Ftehim ta’ Sħubija fis-Sajd Sostenibbli bejn l-Unjoni Ewropea, minn naħa waħda, u l-Gvern ta’ Greenland u l-Gvern tad-Danimarka, min-naħa l-oħra</w:t>
      </w:r>
    </w:p>
    <w:p>
      <w:pPr>
        <w:tabs>
          <w:tab w:val="left" w:pos="3869"/>
          <w:tab w:val="center" w:pos="4819"/>
        </w:tabs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1</w:t>
      </w:r>
    </w:p>
    <w:p>
      <w:pPr>
        <w:tabs>
          <w:tab w:val="left" w:pos="3869"/>
          <w:tab w:val="center" w:pos="4819"/>
        </w:tabs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Għan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L-għan ta’ dan il-Protokoll huwa li jimplimenta d-dispożizzjonijiet tal-Ftehim ta’ Sħubija dwar is-Sajd Sostenibbli bejn l-Unjoni Ewropea (l-Unjoni) u l-Gvern ta’ Greenland (Greenland) u l-Gvern tad-Danimarka (id-Danimarka). Dan il-Protokoll jinkludi Anness u Appendiċijiet.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2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Livell indikattiv tal-opportunitajiet tas-sajd u l-proċess biex jiġi stabbilit il-livell annwali tagħhom</w:t>
      </w:r>
    </w:p>
    <w:p>
      <w:pPr>
        <w:rPr>
          <w:noProof/>
        </w:rPr>
      </w:pPr>
      <w:r>
        <w:rPr>
          <w:noProof/>
        </w:rPr>
        <w:t>1. L-awtoritajiet kompetenti ta' Greenland jawtorizzaw lill-bastimenti tas-sajd tal-Unjoni jistadu għall-ispeċijiet u ż-żoni ta’ ġestjoni rispettivi mniżżlin hawn taħt skont il-livell indikattiv annwali li ġej (f'tunnellati):</w:t>
      </w:r>
    </w:p>
    <w:tbl>
      <w:tblPr>
        <w:tblW w:w="5000" w:type="pct"/>
        <w:jc w:val="righ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489"/>
        <w:gridCol w:w="2600"/>
      </w:tblGrid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L-ispeċijiet u ż-żoni rispettivi ta’ ġestjoni fiż-ŻEE ta’ Greenland ’l barra minn 12-il mil nawtiku mil-linja bażi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b/>
                <w:noProof/>
                <w:szCs w:val="24"/>
                <w:highlight w:val="yellow"/>
              </w:rPr>
            </w:pPr>
            <w:r>
              <w:rPr>
                <w:b/>
                <w:noProof/>
                <w:szCs w:val="24"/>
              </w:rPr>
              <w:t>Livell indikattiv tal-opportunitajiet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Merluzz fis-Subżoni II, V, XII u XIV tal-ICES u fiż-żona 1F tan-NAFO</w:t>
            </w:r>
            <w:r>
              <w:rPr>
                <w:noProof/>
                <w:szCs w:val="24"/>
                <w:vertAlign w:val="superscript"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1.950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Redfish pelaġiku (REB) fis-Subżoni XII u XIV tal-ICES u fiż-żona 1F tan-NAFO, sakemm din it-tip ta’ ħuta ma tiġix mistada skont l-iskema ta’ flessibbiltà b’rabta mas-sajd għar-redfish pelaġiku msemmija fl-Appendiċi 5 tal-Anness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0</w:t>
            </w:r>
            <w:r>
              <w:rPr>
                <w:rStyle w:val="FootnoteReference"/>
                <w:noProof/>
                <w:szCs w:val="24"/>
              </w:rPr>
              <w:footnoteReference w:id="1"/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Redfish demersali (RED)</w:t>
            </w:r>
            <w:r>
              <w:rPr>
                <w:rStyle w:val="FootnoteReference"/>
                <w:noProof/>
                <w:szCs w:val="24"/>
              </w:rPr>
              <w:footnoteReference w:id="2"/>
            </w:r>
            <w:r>
              <w:rPr>
                <w:noProof/>
              </w:rPr>
              <w:t xml:space="preserve"> fis-Subżoni II, V, XII, XIV tal-ICES 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1.840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Ħalibatt ta’ Greenland fis-Subżona 1 tan-NAFO — fin-Nofsinhar ta’ 68° Tramuntana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2.250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Ħalibatt ta’ Greenland fis-subżoni II, V, XII u XIV tal-ICES</w:t>
            </w:r>
            <w:r>
              <w:rPr>
                <w:rStyle w:val="FootnoteReference"/>
                <w:noProof/>
                <w:szCs w:val="24"/>
              </w:rPr>
              <w:footnoteReference w:id="3"/>
            </w:r>
            <w:r>
              <w:rPr>
                <w:noProof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4.950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Gamblu tat-Tramuntana fis-Subżona 1 tan-NAFO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2.600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Gamblu tat-Tramuntana fis-Subżoni II, V, XII, XIV tal-ICES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4.850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Kapelin fis-Subżoni II, V, XII, XIV tal-ICES</w:t>
            </w:r>
            <w:r>
              <w:rPr>
                <w:rStyle w:val="FootnoteReference"/>
                <w:noProof/>
                <w:szCs w:val="24"/>
              </w:rPr>
              <w:footnoteReference w:id="4"/>
            </w:r>
            <w:r>
              <w:rPr>
                <w:noProof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13.000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Kavalli fis-Subżoni II, V, XII, XIV tal-ICES</w:t>
            </w:r>
            <w:r>
              <w:rPr>
                <w:rStyle w:val="FootnoteReference"/>
                <w:noProof/>
                <w:szCs w:val="24"/>
              </w:rPr>
              <w:footnoteReference w:id="5"/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Grenadier spp. fis-Subżoni II, V, XII, XIV tal-ICES</w:t>
            </w:r>
            <w:r>
              <w:rPr>
                <w:rStyle w:val="FootnoteReference"/>
                <w:noProof/>
                <w:szCs w:val="24"/>
              </w:rPr>
              <w:footnoteReference w:id="6"/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100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  <w:vertAlign w:val="superscript"/>
              </w:rPr>
            </w:pPr>
            <w:r>
              <w:rPr>
                <w:noProof/>
              </w:rPr>
              <w:t>Grenadier fis-Subżona 1 tan-NAFO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100</w:t>
            </w:r>
          </w:p>
        </w:tc>
      </w:tr>
      <w:tr>
        <w:trPr>
          <w:jc w:val="righ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Qabdiet inċidentali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righ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600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p>
      <w:pPr>
        <w:rPr>
          <w:noProof/>
        </w:rPr>
      </w:pPr>
      <w:r>
        <w:rPr>
          <w:noProof/>
        </w:rPr>
        <w:t xml:space="preserve"> 2. Għal kull sena li matulha jdum għaddej il-Protokoll u sa mhux aktar tard mill-1 ta' Diċembru tas-sena ta' qabel, il-Kumitat Konġunt għandu jadotta l-livell attwali tal-opportunitajiet tas-sajd għall-ispeċijiet imniżżlin hawn fuq abbażi tal-livell indikattiv stabbilit fil-paragrafu 1 u filwaqt li jqis il-pariri xjentifiċi disponibbli, il-pjanijiet rilevanti ta' ġestjoni adottati mill-Gvern ta’ Greenland jew minn Organizzazzjonijiet Reġjonali għall-Ġestjoni tas-sajd, l-approċċ ta' prekawzjoni u l-ħtiġijiet tal-industrija tas-sajd ta’ Greenland.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3"/>
      </w:tblGrid>
      <w:tr>
        <w:tc>
          <w:tcPr>
            <w:tcW w:w="11" w:type="pct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  <w:tc>
          <w:tcPr>
            <w:tcW w:w="4989" w:type="pct"/>
            <w:hideMark/>
          </w:tcPr>
          <w:p>
            <w:pPr>
              <w:pStyle w:val="Text1"/>
              <w:rPr>
                <w:noProof/>
              </w:rPr>
            </w:pPr>
            <w:r>
              <w:rPr>
                <w:noProof/>
              </w:rPr>
              <w:t>(a) Jekk fil-verità jkun hemm inqas opportunitajiet tas-sajd minn dawk indikati fil-paragrafu 1 għal ċerti speċijiet, il-Kumitat Konġunt jista’’ jikkumpensa għal dan billi joffri opportunitajiet tas-sajd oħra fl-istess sena. Jekk ma jiġi miftiehem l-ebda kumpens, il-Kumitat Konġunt għandu jaġġusta l-kontribuzzjoni finanzjarja msemmija fil-punt (a) tal-Artikolu 3(2) b’mod proporzjonat mal-opportunitajiet tas-sajd relattivi għall-opportunitajiet tas-sajd indikattivi fl-Artikolu 2(1).</w:t>
            </w:r>
          </w:p>
        </w:tc>
      </w:tr>
      <w:tr>
        <w:tc>
          <w:tcPr>
            <w:tcW w:w="11" w:type="pct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  <w:tc>
          <w:tcPr>
            <w:tcW w:w="4989" w:type="pct"/>
            <w:hideMark/>
          </w:tcPr>
          <w:p>
            <w:pPr>
              <w:pStyle w:val="Text1"/>
              <w:rPr>
                <w:noProof/>
              </w:rPr>
            </w:pPr>
            <w:r>
              <w:rPr>
                <w:noProof/>
              </w:rPr>
              <w:t>(b) Jekk fil-verità jkun hemm iktar opportunitajiet tas-sajd minn dawk indikati fil-paragrafu 1, il-Kumitat Konġunt għandu jaġġusta l-kontribuzzjoni finanzjarja msemmija fl-Artikolu 3(2)(a) b'mod proporzjonat.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Minbarra l-opportunitajiet tas-sajd mogħtija permezz tal-proċess annwali deskritt fil-paragrafu 2, skont l-Artikolu 2(2), l-awtoritajiet ta' Greenland jistgħu joffru opportunitajiet addizzjonali tas-sajd għall-ispeċijiet imniżżlin fil-paragrafu 1 lill-Unjoni, li tista' taċċettahom kollha kemm huma jew parzjalment. F'ċirkustanzi bħal dawn, il-Kumitat Konġunt għandu jadotta l-opportunitajiet addizzjonali tas-sajd waqt laqgħa speċjali u jaġġusta l-kontribuzzjoni finanzjarja msemmija fl-Artikolu 3(2)(a) b'mod proporzjonat. L-awtoritajiet kompetenti tal-Unjoni għandhom iwieġbu lil Greenland dwar dan sa mhux aktar tard minn sitt ġimgħat wara li jirċievu l-offerta.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Il-ġestjoni tal-qabdiet inċidentali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Il-bastimenti tas-sajd tal-Unjoni li jkunu qed jistadu fiż-ŻEE ta' Greenland għandhom iħarsu r-regoli applikabbli dwar il-qabdiet inċidentali, kemm għall-ispeċijiet irregolati kif ukoll għal dawk li mhumiex, u r-regoli applikabbli dwar il-projbizzjoni tar-rimi tal-ħut lura fil-baħar.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Il-qabdiet inċidentali huma l-qabdiet tal-organiżmi marittimi ħajjin kollha li ma jkunux indikati bħala speċijiet fil-mira fuq l-awtorizzazzjoni tas-sajd tal-bastiment jew li ma jkunux jissodisfaw ir-rekwiżiti minimi tad-daqs.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553"/>
            </w:tblGrid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Il-qabdiet inċidentali huma limitati għal rata ta' 5 % fil-każ tas-sajd għall-gambli tat-Tramuntana u għal rata ta' 10 % fil-każ tas-sajd għal ħut ieħor.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Ma tingħata l-ebda awtorizzazzjoni speċifika tas-sajd għall-qabdiet inċidentali.</w:t>
                  </w:r>
                </w:p>
              </w:tc>
            </w:tr>
          </w:tbl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Il-qabdiet kollha, inklużi l-qabdiet inċidentali u l-iskartar tal-ħut għandhom jiġu rreġistrati u rrappurtati skont l-ispeċi skont il-leġiżlazzjoni applikabbli ta’ Greenland.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0" w:after="160" w:line="256" w:lineRule="auto"/>
              <w:ind w:right="-4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Ma għandha titħallas l-ebda tariffa speċifika għall-awtorizzazzjoni tas-sajd għall-qabdiet inċidentali, peress li t-tariffi stipulati fl-Anness tal-Protokoll għall-ispeċijiet fil-mira ġew stabbiliti billi tqiesu r-regoli dwar il-qabdiet inċidentali awtorizzati.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7"/>
              <w:gridCol w:w="6"/>
            </w:tblGrid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(d) Barra minn hekk, u mingħajr preġudizzju għar-rati tal-qabdiet inċidentali u għar-regoli msemmija fil-punti (a) sa (c) t'hawn fuq, il-bastimenti tal-Unjoni għandhom jimplimentaw strateġiji tas-sajd li jiżguraw li l-qabdiet inċidentali tar-redfish u tal-merluzz fil-każ tas-sajd għall-ħalibatt ta’ Greenland, il-qabdiet inċidentali tar-redfish u tal-ħalibatt ta’ Greenland fil-każ tas-sajd għall-merluzz, u l-qabdiet inċidentali tal-merluzz u tal-ħalibatt ta’ Greenland fil-każ tas-sajd għar-redfish ma jaqbżux il-5 % tal-qabdiet awtorizzati tal-ispeċijiet fil-mira għal kull vjaġġ. Vjaġġ huwa l-</w:t>
                  </w:r>
                  <w:r>
                    <w:rPr>
                      <w:i/>
                      <w:noProof/>
                    </w:rPr>
                    <w:t>perjodu</w:t>
                  </w:r>
                  <w:r>
                    <w:rPr>
                      <w:noProof/>
                    </w:rPr>
                    <w:t xml:space="preserve"> bejn id-dħul fiż-ŻEE ta' Greenland u l-ħruġ minnha. F'każ li bastiment ikun inħatt kompletament f'port ta' Greenland, il-qabdiet ta' wara jiġu ttrattati bħala vjaġġ ġdid.</w:t>
                  </w:r>
                </w:p>
              </w:tc>
              <w:tc>
                <w:tcPr>
                  <w:tcW w:w="0" w:type="auto"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</w:p>
              </w:tc>
            </w:tr>
          </w:tbl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3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Kontribuzzjoni finanzjarja – Metodi tal-ħlas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Għall-perjodu msemmi fl-Artikolu 13 ta’ dan il-Protokoll, il-kontribuzzjoni finanzjarja tal-Unjoni msemmija fl-Artikolu 8 tal-Ftehim għandha tkun ta’ EUR 16 521 754 fis-sena.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Il-kontribuzzjoni finanzjarja tkun magħmula minn: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ammont annwali ta’ EUR 13 590 754 għall-aċċess għaż-ŻEE ta’ Greenland skont l-Artikolu 3(2) u (3) u l-Artikolu 7;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ammont speċifiku ta’ EUR 2 931 000 fis-sena bħala appoġġ għall-politika settorjali tas-sajd ta’ Greenland u għall-implimentazzjoni tagħha.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L-ammont totali mħallas mill-Unjoni għall-kontribuzzjoni finanzjarja ma għandux ikun iktar mid-doppju tal-ammont indikat fl-Artikolu 3(2)(a).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L-Unjoni għandha tħallas l-ammont stipulat fil-paragrafu 2(a) sa mhux aktar tard mit-30 ta’ ta' Ġunju fl-ewwel sena u sa mhux aktar tard mill-1 ta' Marzu fis-snin ta' wara. L-Unjoni għandha tħallas l-ammont speċifiku stipulat fil-paragrafu 2(b) sa mhux aktar tard mit-30 ta' Ġunju fl-ewwel sena u sa mhux aktar tard mill-1 ta' Ġunju fis-snin ta' wara.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 L-awtoritajiet ta' Greenland għandu jkollhom diskrezzjoni sħiħa fl-użu tal-kontribuzzjoni finanzjarja kif speċifikat fil-paragrafu 2(a).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 Il-kontribuzzjoni finanzjarja għandha titħallas f'kont tat-Teżor Pubbliku miftuħ ma' istituzzjoni finanzjarja speċifikata mill-awtoritajiet ta' Greenland.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4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Appoġġ settorjali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Il-kontribuzzjoni finanzjarja għall-appoġġ settorjali stipulata fl-Artikolu 3(2)(b) għandha tkun separata mill-pagamenti marbutin mal-ispejjeż tal-aċċess. Din tiddependi fuq il-kisba tal-għanijiet tal-politika settorjali tas-sajd ta' Greenland, identifikati mill-Kumitat Konġunt u fid-dawl tal-programmazzjoni annwali u pluriennali biex dawn jintlaħqu, u tiġi stabbilita abbażi ta' dan.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Malli jibda japplika dan il-Protokoll u sa mhux aktar tard minn tliet xhur wara dik id-</w:t>
      </w:r>
      <w:r>
        <w:rPr>
          <w:i/>
          <w:noProof/>
        </w:rPr>
        <w:t>data</w:t>
      </w:r>
      <w:r>
        <w:rPr>
          <w:noProof/>
        </w:rPr>
        <w:t>, il-Kumitat Konġunt għandu jiddeċiedi fuq programm settorjali pluriennali u fuq regoli ddettaljati ta' implimentazzjoni li jkunu jkopru, b'mod partikolari: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il-linji gwida annwali u pluriennali għall-użu tal-parti mill-kontribuzzjoni finanzjarja msemmija fl-Artikolu 3(2)(b) għall-inizjattivi li għandhom jitwettqu kull sena;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il-miri annwali u pluriennali li għandhom jintlaħqu sabiex biż-żmien ikompli s-sajd sostenibbli u responsabbli, filwaqt li jitqiesu l-prijoritajiet ta’ Greenland fil-politika nazzjonali tas-sajd tagħha u f'politiki oħrajn marbutin mal-kontinwazzjoni tas-sajd responsabbli u sostenibbli jew li għandhom impatt fuqu;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il-kriterji u l-proċeduri li għandhom jintużaw biex jiġu evalwati r-riżultati miksubin kull sena.</w:t>
            </w:r>
          </w:p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Il-Kumitat Konġunt irid jaqbel ma' kwalunkwe emenda proposta għall-programm settorjali pluriennali.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Il-ħlas tal-kontribuzzjoni finanzjarja għall-appoġġ settorjali għandu jsir abbażi ta' analiżi ddettaljata tar-riżultati tal-implimentazzjoni tal-appoġġ settorjali u tal-bżonnijiet identifikati matul il-programmazzjoni. L-Unjoni tista' tissospendi parti mill-ħlas ta' din il-kontribuzzjoni finanzjarja speċifika, jew tissospendih kollu kemm hu, fil-każijiet li ġejjin: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meta r-riżultati miksubin ma jkunux konformi mal-programmazzjoni wara li l-Kumitat Konġunt iwettaq evalwazzjoni;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784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(b)  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f'każ li din il-kontribuzzjoni finanzjarja ma tintużax skont il-programmazzjoni maqbula.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Meta jkun beħsiebha tissospendi pagament, l-Unjoni għandha tibgħat notifika bil-miktub dwar dan mill-inqas tliet xhur qabel id-</w:t>
      </w:r>
      <w:r>
        <w:rPr>
          <w:i/>
          <w:noProof/>
        </w:rPr>
        <w:t>data</w:t>
      </w:r>
      <w:r>
        <w:rPr>
          <w:noProof/>
        </w:rPr>
        <w:t xml:space="preserve"> meta tkun se tidħol fis-seħħ din is-sospensjoni.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Il-ħlas tal-kontribuzzjoni finanzjarja għandu jibda mill-ġdid wara konsultazzjoni bejn il-Partijiet u ftehim bejniethom, u/jew meta r-riżultati tal-implimentazzjoni finanzjarja msemmija fil-paragrafu 5 jiġġustifikaw dan. 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(c) fil-każ li l-protokoll jiġi sospiż skont l-Artikolu 8, l-ammont tal-kontribuzzjoni finanzjarja għandu jitnaqqas b'mod proporzjonat u </w:t>
      </w:r>
      <w:r>
        <w:rPr>
          <w:i/>
          <w:iCs/>
          <w:noProof/>
        </w:rPr>
        <w:t>pro rata temporis</w:t>
      </w:r>
      <w:r>
        <w:rPr>
          <w:noProof/>
        </w:rPr>
        <w:t xml:space="preserve"> skont iż-żmien li matulu kien sospiż il-Protokoll.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 Il-Kumitat Konġunt huwa responsabbli għas-segwitu tal-implimentazzjoni tal-programm ta' appoġġ settorjali pluriennali. Jekk ikun hemm bżonn, wara li jiskadi l-Protokoll, iż-żewġ Partijiet għandhom ikomplu dan is-segwitu permezz tal-Kumitat Konġunt sakemm il-kontroparti finanzjarja speċifika marbuta mal-appoġġ settorjali prevista fl-Artikolu 3(2)(b) tkun intużat kollha.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5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Kooperazzjoni xjentifika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Iż-żewġ Partijiet jintrabtu li jippromwovu l-kooperazzjoni f'dak li għandu x'jaqsam mas-sajd responsabbli, fosthom fil-livell reġjonali, b'mod partikolari fil-Kummissjoni tas-Sajd tal-Atlantiku tal-Grigal (in-NEAFC) u fl-Organizzazzjoni tas-Sajd fl-Atlantiku tal-Majjistral (in-NAFO), u f'kull entità sottoreġjonali jew internazzjonali oħra kkonċernata. Il-Kumitat Konġunt jista' jikkunsidra kif jiżgura l-użu sostenibbli tar-riżorsi tas-sajd fiż-żona tas-sajd ta' Greenland, f'konformità mal-miżuri ta' konservazzjoni u ta' ġestjoni rilevanti.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6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Is-sajd sperimentali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Il-Partijiet se jikkooperaw bejniethom, inkluż fil-qafas tal-Artikolu 4, biex jimplimentaw sajd sperimentali sostenibbli għal speċijiet u stokkijiet li mhumiex inklużi fl-Artikolu 2(1) permezz tal-proċess deskritt fil-Kapitolu VI tal-Anness u mingħajr konsegwenzi għall-kontribuzzjoni finanzjarja tal-Unjoni stipulata fl-Artikolu 3(2)(a).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noProof/>
        </w:rPr>
        <w:t xml:space="preserve"> </w:t>
      </w:r>
      <w:r>
        <w:rPr>
          <w:b/>
          <w:i/>
          <w:noProof/>
          <w:szCs w:val="24"/>
        </w:rPr>
        <w:t>Artikolu 7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Opportunitajiet ġodda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L-opportunitajiet il-ġodda tas-sajd huma opportunitajiet tas-sajd għal speċijiet u żoni ta’ ġestjoni rispettivi li għandhom jiddaħħlu fl-Artikolu 2(1), dejjem jekk ikun hemm żieda proporzjonali f'dik il-parti tal-kontribuzzjoni finanzjarja msemmija fl-Artikolu 3(2)(a).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Meta xi waħda mill-Partijiet tesprimi l-interess tagħha li tinkludi xi opportunità ġdida tas-sajd fl-Artikolu 2(1), il-Kumitat Konġunt għandu jqis dan abbażi tal-liġijiet u r-regolamenti ta' Greenland, tal-aqwa pariri xjentifiċi disponibbli, il-ħtieġa tal-industrija tas-sajd ta’ Greenland u tal-approċċ ta' prekawzjoni. Wara dan, l-opportunitajiet il-ġodda tas-sajd se jgħaddu mill-proċess imsemmi fl-Artikolu 2(2) u (3). Il-Kumitat Konġunt għandu jistabbilixxi wkoll il-prezz ta' referenza għall-ispeċi l-ġdida u t-tariffi għall-awtorizzazzjonijiet li għandhom japplikaw sa ma jiskadi dan il-Protokoll.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8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Sospensjoni tal-Protokoll u reviżjoni tal-kontribuzzjoni finanzjarja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L-applikazzjoni ta’ dan il-Protokoll, inkluż il-ħlas tal-kontribuzzjoni finanzjarja, tista’ tiġi sospiża, jew riveduta fir-rigward tal-kontribuzzjoni finanzjarja, fuq l-inizjattiva ta’ waħda mill-Partijiet taħt waħda jew aktar miċ-ċirkostanzi li ġejjin: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meta jkun hemm sitwazzjonijiet, minbarra l-fenomeni naturali, li l-Partijiet b’mod raġonevoli ma jkollhomx kontroll fuqhom u li jkunu tali li ma jippermettux li jsiru attivitajiet tas-sajd fiż-ŻEE ta’ Greenland; jew 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rPr>
          <w:trHeight w:val="1198"/>
        </w:trP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fejn, minħabba f’hekk ikunu saru bidliet sinifikanti fil-linji gwida tal-politika li jkunu wasslu għall-konklużjoni ta’ dan il-Protokoll u xi waħda mill-Partijiet titlob li jiġi riveduti d-dispożizzjonijiet tiegħu biex dawn ikunu jistgħu jiġu emendati; jew 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fejn ikun inqala’ tilwim serju mhux solvut fis-settur tas-sajd bejn il-Partijiet u/jew relatat mal-interpretazzjoni jew l-applikazzjoni tal-ftehim; jew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(d)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fejn waħda mill-Partijiet taċċerta ksur tad-drittijiet fundamentali kif garantiti mill-Konvenzjoni Ewropea għall-Protezzjoni tad-Drittijiet tal-Bniedem u l-Libertajiet Fundamentali u d-Dikjarazzjoni tan-Nazzjonijiet Uniti dwar id-Drittijiet tal-Popli Indiġeni (UNDRIP). </w:t>
            </w:r>
          </w:p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Dan is-subparagrafu ma għandux japplika jekk il-ksur iseħħ f'qasam ta' responsabbiltà jew ta' kompetenza li fih il-Gvern ta' Greenland, minħabba l-istatus ta' dan il-pajjiż bħala parti awtonoma mir-Renju tad-Danimarka, ma għandux responsabbiltajiet jew kompetenzi formali.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2. L-Unjoni tista' tissospendi l-ħlas tal-kontribuzzjoni finanzjarja għall-appoġġ settorjali previst fl-Artikolu 3(2)(b) ta' dan il-Protokoll skont l-Artikolu 4(4) tiegħu.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Meta jkun beħsiebha tissospendi pagament, l-Unjoni għandha tibgħat notifika bil-miktub dwar dan mill-inqas tliet xhur qabel id-</w:t>
      </w:r>
      <w:r>
        <w:rPr>
          <w:i/>
          <w:noProof/>
        </w:rPr>
        <w:t>data</w:t>
      </w:r>
      <w:r>
        <w:rPr>
          <w:noProof/>
        </w:rPr>
        <w:t xml:space="preserve"> meta tkun se tidħol fis-seħħ din is-sospensjoni, għajr f’każijiet ta’ urġenza speċifika.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4. L-implimentazzjoni ta' dan il-Protokoll, inkluż il-ħlas tal-kontribuzzjoni finanzjarja, għandha tibda mill-ġdid ladarba tkun tranġat is-sitwazzjoni wara li jkunu ttieħdu azzjonijiet biex jittaffew iċ-ċirkustanzi msemmija hawn fuq u wara li jkunu saru konsultazzjonijiet bejn il-Partijiet u jkun intlaħaq ftehim bejniethom. L-ammont tal-kontribuzzjoni finanzjarja għandu jitnaqqas b'mod proporzjonat u </w:t>
      </w:r>
      <w:r>
        <w:rPr>
          <w:i/>
          <w:iCs/>
          <w:noProof/>
        </w:rPr>
        <w:t>pro rata temporis</w:t>
      </w:r>
      <w:r>
        <w:rPr>
          <w:noProof/>
        </w:rPr>
        <w:t xml:space="preserve"> skont iż-żmien li matulu kien sospiż il-Protokoll.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9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Terminazzjoni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Jekk il-Protokoll jiġi tterminat bil-kundizzjonijiet stabbiliti fl-Artikolu 17(1) u (2) tal-Ftehim, l-ammont tal-kontribuzzjoni finanzjarja li għandha titħallas imsemmija fl-Artikolu 3(2) ta' dan il-Protokoll għandu jitnaqqas b'mod proporzjonat u </w:t>
      </w:r>
      <w:r>
        <w:rPr>
          <w:i/>
          <w:iCs/>
          <w:noProof/>
        </w:rPr>
        <w:t>pro rata temporis</w:t>
      </w:r>
      <w:r>
        <w:rPr>
          <w:noProof/>
        </w:rPr>
        <w:t xml:space="preserve"> għas-sena li matulha tidħol fis-seħħ it-terminazzjoni.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10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Liġijiet u regolamenti nazzjonali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 L-attivitajiet tal-bastimenti tas-sajd tal-Unjoni meta jkunu qed joperaw fiż-ŻEE ta’ Greenland għandhom ikunu rregolati mil-Liġijiet u r-Regolamenti applikabbli fi Greenland u fir-Renju tad-Danimarka mingħajr preġudizzju għar-responsabbiltajiet tal-bastimenti tas-sajd tal-UE fir-rigward tal-leġiżlazzjoni tal-UE, sakemm ma jkunx previst mod ieħor fil-Ftehim, fil-Protokoll u fl-Anness tiegħu.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L-awtoritajiet ta' Greenland għandhom jgħarrfu lill-Unjoni b'kull tibdil jew leġislazzjoni ġdida li hi rilevanti għall-bastimenti barranin li jistadu fiż-ŻEE ta’ Greenland fiż-żmien dovut qabel ma jidħol fis-seħħ dan it-tibdil jew din il-leġislazzjoni l-ġdida. Greenland se tagħmel ħilitha, kull meta jkun possibbli, biex tavża dwar il-bidliet fil-leġiżlazzjoni mill-inqas 3 xhur qabel l-implimentazzjoni.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11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Il-Protezzjoni tad-</w:t>
      </w:r>
      <w:r>
        <w:rPr>
          <w:b/>
          <w:i/>
          <w:iCs/>
          <w:noProof/>
          <w:szCs w:val="24"/>
        </w:rPr>
        <w:t>Data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   Greenland u l-Unjoni jintrabtu li jiżguraw li d-</w:t>
      </w:r>
      <w:r>
        <w:rPr>
          <w:i/>
          <w:noProof/>
        </w:rPr>
        <w:t>data</w:t>
      </w:r>
      <w:r>
        <w:rPr>
          <w:noProof/>
        </w:rPr>
        <w:t xml:space="preserve"> personali kollha dwar il-bastimenti tas-sajd tal-Unjoni u l-attivitajiet tas-sajd tagħhom miksuba fil-kuntest tal-Ftehim, il-Protokoll u l-Anness tiegħu jiġu ttrattati f'kull ħin skont il-prinċipji tal-kunfidenzjalità u tal-protezzjoni tad-</w:t>
      </w:r>
      <w:r>
        <w:rPr>
          <w:i/>
          <w:iCs/>
          <w:noProof/>
        </w:rPr>
        <w:t>data</w:t>
      </w:r>
      <w:r>
        <w:rPr>
          <w:noProof/>
        </w:rPr>
        <w:t>, inklużi dawk previsti f’dan l-Artikolu.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   Id-</w:t>
      </w:r>
      <w:r>
        <w:rPr>
          <w:i/>
          <w:noProof/>
        </w:rPr>
        <w:t>data</w:t>
      </w:r>
      <w:r>
        <w:rPr>
          <w:noProof/>
        </w:rPr>
        <w:t xml:space="preserve"> jew id-</w:t>
      </w:r>
      <w:r>
        <w:rPr>
          <w:i/>
          <w:noProof/>
        </w:rPr>
        <w:t>data</w:t>
      </w:r>
      <w:r>
        <w:rPr>
          <w:noProof/>
        </w:rPr>
        <w:t xml:space="preserve"> personali, li tista’ titqies bħala kunfidenzjali b’mod ieħor, għandha tintuża esklussivament għall-implimentazzjoni tal-Ftehim u tal-Protokoll. Il-partijiet jistgħu jużaw id-</w:t>
      </w:r>
      <w:r>
        <w:rPr>
          <w:i/>
          <w:noProof/>
        </w:rPr>
        <w:t>data</w:t>
      </w:r>
      <w:r>
        <w:rPr>
          <w:noProof/>
        </w:rPr>
        <w:t xml:space="preserve"> tal-VMS f’sitwazzjonijiet ta’ emerġenza għat-tiftix u s-salvataġġ jew għall-fini tas-sikurezza marittima. Id-</w:t>
      </w:r>
      <w:r>
        <w:rPr>
          <w:i/>
          <w:noProof/>
        </w:rPr>
        <w:t>data</w:t>
      </w:r>
      <w:r>
        <w:rPr>
          <w:noProof/>
        </w:rPr>
        <w:t xml:space="preserve"> personali ma tinżammx għal aktar żmien milli jkun meħtieġ għall-iskop li għalih tkun ġiet trasferita.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Id-</w:t>
      </w:r>
      <w:r>
        <w:rPr>
          <w:i/>
          <w:noProof/>
        </w:rPr>
        <w:t>data</w:t>
      </w:r>
      <w:r>
        <w:rPr>
          <w:noProof/>
        </w:rPr>
        <w:t xml:space="preserve"> personali relatata mal-bastimenti tas-sajd tal-Unjoni mhux se ssir pubblika. Id-</w:t>
      </w:r>
      <w:r>
        <w:rPr>
          <w:i/>
          <w:noProof/>
        </w:rPr>
        <w:t>data</w:t>
      </w:r>
      <w:r>
        <w:rPr>
          <w:noProof/>
        </w:rPr>
        <w:t xml:space="preserve"> personali ser tiġi pproċessata b’mod xieraq biex tiġi żgurata s-sigurtà tagħha, inkluża l-protezzjoni kontra l-ipproċessar mhux awtorizzat jew illegali. 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12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L-applikazzjoni proviżorja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Dan il-Protokoll għandu japplika b’mod provviżorju mid-</w:t>
      </w:r>
      <w:r>
        <w:rPr>
          <w:i/>
          <w:noProof/>
        </w:rPr>
        <w:t>data</w:t>
      </w:r>
      <w:r>
        <w:rPr>
          <w:noProof/>
        </w:rPr>
        <w:t xml:space="preserve"> tal-iffirmar tiegħu mill-Partijiet.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13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Perjodu</w:t>
      </w:r>
    </w:p>
    <w:p>
      <w:pPr>
        <w:spacing w:before="0" w:after="160" w:line="256" w:lineRule="auto"/>
        <w:jc w:val="left"/>
        <w:rPr>
          <w:rFonts w:eastAsia="Calibri"/>
          <w:b/>
          <w:i/>
          <w:noProof/>
          <w:szCs w:val="24"/>
        </w:rPr>
      </w:pPr>
      <w:r>
        <w:rPr>
          <w:noProof/>
        </w:rPr>
        <w:t>Dan il-Protokoll u l-Anness tiegħu għandhom japplikaw għal perjodu ta’ erba’’ snin mid-</w:t>
      </w:r>
      <w:r>
        <w:rPr>
          <w:i/>
          <w:noProof/>
        </w:rPr>
        <w:t>data</w:t>
      </w:r>
      <w:r>
        <w:rPr>
          <w:noProof/>
        </w:rPr>
        <w:t xml:space="preserve"> tal-bidu tal-applikazzjoni provviżorja tagħhom. Madankollu, jekk ikun hemm qbil miż-żewġ Partijiet, il-Protokoll għandu jiġi estiż għal perjodu addizzjonali ta’ sentejn.</w:t>
      </w:r>
    </w:p>
    <w:p>
      <w:pPr>
        <w:spacing w:before="0" w:after="160" w:line="256" w:lineRule="auto"/>
        <w:jc w:val="center"/>
        <w:rPr>
          <w:rFonts w:eastAsia="Calibri"/>
          <w:b/>
          <w:i/>
          <w:noProof/>
          <w:szCs w:val="24"/>
        </w:rPr>
      </w:pPr>
      <w:r>
        <w:rPr>
          <w:b/>
          <w:i/>
          <w:noProof/>
          <w:szCs w:val="24"/>
        </w:rPr>
        <w:t>Artikolu 14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Dħul fis-seħħ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Dan il-Protokoll u l-Anness tiegħu għandhom jidħlu fis-seħħ fid-</w:t>
      </w:r>
      <w:r>
        <w:rPr>
          <w:i/>
          <w:noProof/>
        </w:rPr>
        <w:t>data</w:t>
      </w:r>
      <w:r>
        <w:rPr>
          <w:noProof/>
        </w:rPr>
        <w:t xml:space="preserve"> meta l-Partijiet jinnotifikaw lil xulxin li lestew il-proċeduri meħtieġa għal dak il-għan.</w:t>
      </w:r>
    </w:p>
    <w:p>
      <w:pPr>
        <w:pStyle w:val="NormalCentered"/>
        <w:rPr>
          <w:b/>
          <w:noProof/>
        </w:rPr>
      </w:pPr>
      <w:r>
        <w:rPr>
          <w:noProof/>
        </w:rPr>
        <w:br w:type="page"/>
        <w:t xml:space="preserve"> </w:t>
      </w:r>
      <w:r>
        <w:rPr>
          <w:noProof/>
        </w:rPr>
        <w:br/>
      </w:r>
      <w:r>
        <w:rPr>
          <w:b/>
          <w:noProof/>
        </w:rPr>
        <w:t xml:space="preserve">ANNESS 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KUNDIZZJONIJIET LI JIRREGOLAW L-ATTIVITAJIET TAS-SAJD MINN BASTIMENTI TAL-UE SKONT IL-PROTOKOLL LI JIMPLIMENTA L-FTEHIM TA’ SĦUBIJA DWAR IS-SAJD SOSTENIBBLI BEJN L-UNJONI EWROPEA, MINN NAĦA WAĦDA, U L-GVERN TA’ GREENLAND U L-GVERN TAD-DANIMARKA, MIN-NAĦA L-OĦRA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KAPITOLU I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DISPOŻIZZJONIJIET ĠENERALI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Ħatra tal-awtorità kompetenti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Għall-finijiet ta' dan l-Anness u sakemm ma jkunx indikat mod ieħor, awtorità kompetenti tfisser: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8725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—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għall-Unjoni: il-Kummissjoni Ewropea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—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għal Greenland: il-Ministeru tas-Sajd, il-Kaċċa u l-Agrikoltura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2. Awtorizzazzjoni tas-sajd tfisser liċenzja maħruġa għal bastiment tas-sajd tal-UE li tagħtih id-dritt iwettaq attivitajiet speċifiċi tas-sajd fiż-Żona Ekonomika Esklussiva tas-sajd ta' Greenland identifikatia fil-paragrafu 3 matul </w:t>
      </w:r>
      <w:r>
        <w:rPr>
          <w:i/>
          <w:noProof/>
        </w:rPr>
        <w:t>perjodu</w:t>
      </w:r>
      <w:r>
        <w:rPr>
          <w:noProof/>
        </w:rPr>
        <w:t xml:space="preserve"> speċifiku.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Żona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3.1. Is-sajd għandu jsir fiż-ŻEE kif jipprevedi r-Regolament Nru 1020 tal-20 ta' Ottubru 2004 skont id-Digriet Irjali Nru 1005 tal-15 ta' Ottubru 2004 dwar id-Dħul fis-Seħħ ta' Att dwar Żoni Ekonomiċi Esklussivi għal Greenland li jdaħħal fis-seħħ l-Att Nru 411 tat-22 ta' Mejju 1996 dwar iż-Żoni Ekonomiċi Esklussivi.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3.2. Is-sajd għandu jsir talanqas 12-il mil nawtiku lil hinn mil-linja ta' bażi skont § 7 Taqsima 2 tal-Att Nru 18 tal-31 ta' Ottubru 1996 dwar is-Sajd maħruġa mil-Landsting ta’ Greenland kif emen</w:t>
      </w:r>
      <w:r>
        <w:rPr>
          <w:i/>
          <w:noProof/>
        </w:rPr>
        <w:t>data</w:t>
      </w:r>
      <w:r>
        <w:rPr>
          <w:noProof/>
        </w:rPr>
        <w:t xml:space="preserve"> l-aħħar mill-Att ta’ Inatsisartut Nru 28 tat-28 ta' Novembru 2016, sakemm mhux speċifikament ipprovdut mod ieħor.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3.3. Il-linja ta' bażi hija ddefinita skont id-Digriet Irjali Nru 1004 tal-15 ta' Ottubru 2004 dwar emenda tad-Digriet Irjali dwar id-delimitazzjoni tal-ilmijiet territorjali ta' Greenland.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KAPITOLU II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 xml:space="preserve">APPLIKAZZJONI GĦAL AWTORIZZAZZJONIJIET TAS-SAJD U ĦRUĠ TAGĦHOM 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1. Kundizzjonijiet biex jinkisbu awtorizzazzjonijiet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1.1. Awtorizzazzjoni tas-sajd imsemmija fl-Artikolu 2 tal-Ftehim tista’ tingħata biss lis-sidien tal-bastimenti tas-sajd tal-Unjoni li jkunu fir-reġistru tal-bastimenti tas-sajd tal-UE. Sabiex isir sajd taħt l-iskema ta’ flessibbiltà tar-redfish pelaġiku, il-bastimenti jridu jiġu nnotifikati wkoll lin-NEAFC skont ir-regoli tagħha. Barra minn hekk, dawn ma għandhomx ikunu fuq xi lista tal-IUU ta’ bastimenti tal-Organizzazzjoni Reġjonali tal-Ġestjoni tas-Sajd (RFMO).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1.2. Biex bastiment ikun eliġibbli għal awtorizzazzjoni, la s-sid, la l-kaptan u lanqas il-bastiment innifsu ma jridu jkunu pprojbiti milli jistadu fiż-żona tas-sajd ta' Greenland. Dawn għandhom ikunu ssodisfaw l-obbligi preċedenti kollha li jkunu ġejjin mill-Ftehim. 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2. Applikazzjonijiet għal awtorizzazzjonijiet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2.1. L-applikazzjonijiet u l-awtorizzazzjonijiet tas-sajd għandhom jintbagħtu bil-mod li ġej sa ma ż-żewġ Partijiet jimplimentaw sistema ta' liċenzji elettroniċi b'mod konġunt.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2.2. L-awtoritajiet kompetenti tal-UE għandhom iressqu, b'mod elettroniku, talba (kollettiva) għall-awtorizzazzjonijiet tas-sajd għall-bastiment(i) li jkunu</w:t>
      </w:r>
      <w:r>
        <w:rPr>
          <w:noProof/>
          <w:color w:val="FF0000"/>
          <w:szCs w:val="24"/>
        </w:rPr>
        <w:t xml:space="preserve"> </w:t>
      </w:r>
      <w:r>
        <w:rPr>
          <w:noProof/>
        </w:rPr>
        <w:t>jixtiequ</w:t>
      </w:r>
      <w:r>
        <w:rPr>
          <w:noProof/>
          <w:color w:val="FF0000"/>
          <w:szCs w:val="24"/>
        </w:rPr>
        <w:t xml:space="preserve"> </w:t>
      </w:r>
      <w:r>
        <w:rPr>
          <w:noProof/>
        </w:rPr>
        <w:t>jistadu skont il-Ftehim lill-awtorità kompetenti ta' Greenland. L-applikazzjoni għandha ssir fuq il-formola pprovduta fl-Appendiċi 1. Tista' tintbagħat applikazzjoni kollettiva għall-awtorizzazzjoni tas-sajd fil-każ ta' bastimenti tal-UE li jkunu tal-istess sid jew aġent, dejjem jekk dawn il-bastimenti jkunu jtajru l-bandiera tal-istess Stat Membru.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2.3. Kull applikazzjoni għal awtorizzazzjoni tas-sajd għandu jkollha magħha prova li tħallset it-tariffa għall-ispeċijiet u għall-kwantitajiet mitlubin, skont id-dispożizzjonijiet tal-paragrafu 7 ta' dan il-Kapitolu.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2.4. Jekk l-awtorità kompetenti ta' Greenland tqis li xi applikazzjoni ma tkunx kompluta jew li din ma tissodisfax il-kundizzjonijiet mogħtija fil-paragrafi 1, 2.2 u 2.3, din għandha tgħarraf lill-awtorità kompetenti tal-UE malajr kemm jista' jkun bir-raġunijiet għal dan, u f'kull każ fi żmien sebat ijiem tax-xogħol minn meta tirċievi l-applikazzjoni.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3. Ħruġ tal-awtorizzazzjoni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3.1. L-awtorità kompetenti ta' Greenland għandha tibgħat l-awtorizzazzjoni tas-sajd, b'mod elettroniku, lill-awtorità kompententi tal-UE fi żmien għaxart ijiem tax-xogħol minn meta tintbagħat l-applikazzjoni. Din l-awtorizzazzjoni tas-sajd mibgħuta b'mod elettroniku għandu jkollha l-istess valur bħal dik oriġinali għall-finijiet tal-Protokoll u tal-Anness tiegħu.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3.2. Kull awtorizzazzjoni tas-sajd għandu jkollha fuqha l-kwantità awtorizzata li tista' tinqabad. Awtorizzazzjoni tas-sajd maħruġa taħt applikazzjoni kollettiva għandha tindika l-kwantità totali tal-ispeċijiet li għalihom tkun tħallset it-tariffa għall-awtorizzazzjoni tas-sajd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3.3. L-awtorizzazzjoni tas-sajd, jew kopja tagħha, għandha tinżamm abbord il-ħin kollu u għandha tintwera fuq talba tal-awtorità kompetenti ta' Greenland.</w:t>
      </w:r>
    </w:p>
    <w:p>
      <w:pPr>
        <w:spacing w:before="100" w:beforeAutospacing="1" w:after="100" w:afterAutospacing="1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3.4 Awtorizzazzjoni tas-sajd għandha tinħareġ lil sid wieħed ta’ bastiment tas-sajd, u għandha tindika liema bastimenti tas-sajd jistgħu jistadu skont dik l-awtorizzazzjoni. L-awtorizzazzjonijiet tas-sajd m’għandhomx ikunu trasferibbli.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3.5. Bastiment jista’ jopera biss </w:t>
      </w:r>
      <w:r>
        <w:rPr>
          <w:noProof/>
          <w:szCs w:val="24"/>
          <w:shd w:val="clear" w:color="auto" w:fill="FFFFFF"/>
        </w:rPr>
        <w:t>bl-awtorizzazzjoni (jiet) ta’ sid wieħed ta’ bastiment tas-sajd</w:t>
      </w:r>
      <w:r>
        <w:rPr>
          <w:noProof/>
        </w:rPr>
        <w:t xml:space="preserve"> għal kwalunkwe vjaġġ tas-sajd.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4. Emenda tal-awtorizzazzjonijiet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4.1. Trid issir applikazzjoni ġdida biex tkun tista' tiġi emen</w:t>
      </w:r>
      <w:r>
        <w:rPr>
          <w:i/>
          <w:noProof/>
        </w:rPr>
        <w:t>data</w:t>
      </w:r>
      <w:r>
        <w:rPr>
          <w:noProof/>
        </w:rPr>
        <w:t xml:space="preserve"> xi waħda mill-kwantitajiet awtorizzati indikata fuq l-awtorizzazzjoni(jiet) tas-sajd.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4.2. Mingħajr ħsara għall-paragrafu 4.3, f'każ li l-emenda ta' awtorizzazzjoni tas-sajd ikollha x'taqsam ma' każijiet fejn il-kwantità li tkun inqabdet tkun iktar mill-kwantità diġà awtorizzata, sid il-bastiment għandu jħallas tariffa li tkun tliet darbiet iktar mill-ammont previst fil-paragrafu 7.1 għall-kwantità li tkun inqabdet li tkun iktar mill-kwantità awtorizzata. Dak il-bastiment ma għandha tinħariġlu l-ebda awtorizzazzjoni tas-sajd ġdida sakemm ma jkunux tħallsu t-tariffi li jikkorrispondu għall-kwantitajiet żejda li jkunu nqabdu.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4.3. F'każijiet eċċezzjonali fejn l-opportunitajiet tas-sajd tal-UE għall-ispeċijiet rilevanti ma jkunux intużaw kollha, u sabiex tiġi evitata interruzzjoni tal-attivitajiet tas-sajd ta' bastiment tas-sajd tal-UE li jistad fiż-ŻEE ta' Greenland abbażi ta' awtorizzazzjoni tas-sajd maħruġa skont il-Protokoll biss, jekk dak il-bastiment x'aktarx li jkun se jaqbeż il-kwantità awtorizzata, l-Istat tal-bandiera għandu jgħarraf mill-ewwel lill-awtorità kompetenti ta' Greenland li huwa jkun beħsiebu jibgħat applikazzjoni formali għal awtorizzazzjoni tas-sajd ġdida għall-kwantitajiet addizzjonali tal-istess speċi, u huwa għandu jibgħat kopja ta' dan l-avviż lill-awtorità kompetenti tal-UE. Il-bastiment għandu jitħalla jkompli jistad sakemm sid il-bastiment jibgħat prova lill-awtorità kompetenti ta' Greenland li tħallsu t-tariffi rilevanti fi żmien 24 siegħa minn meta l-Istat tal-bandiera jibgħat l-avviż tiegħu, u sakemm l-applikazzjoni korrispondenti għal awtorizzazzjoni ġdida tas-sajd tintbagħat lill-awtorità kompetenti ta' Greenland fi żmien ħamest ijiem tax-xogħol minn meta l-Istat tal-bandiera jibgħat l-avviż tiegħu, f'konformità mal-proċedura mogħtija fil-paragrafu 2. Jekk ma jitħarsux dawn id-dispożizzjonijiet, il-bastiment ikollu jgħaddi mill-proċedura mogħtija fil-paragrafu 4.2.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4.4. F'għadd limitat ta' każijiet u fuq talba tal-awtorità kompetenti tal-UE, l-awtorizzazzjoni tas-sajd ta' bastiment tista' tinbidel b'awtorizzazzjoni(jiet) tas-sajd ġdida maħruġa f'isem bastiment ieħor tal-UE. Is-sostituzzjoni għandha sseħħ abbażi ta' applikazzjoni mibgħuta mill-awtorità kompetenti tal-UE. L-awtorizzazzjoni(jiet) tas-sajd il-ġdida għandu jkollha fuqha l-kwantità awtorizzata li tista' tinqabad li tikkorrispondi għall-kwantità tal-ispeċijiet li għalihom ikunu diġà tħallsu t-tariffi għall-awtorizzazzjoni tas-sajd u li minnha tkun tnaqqset kull qabda li tkun diġà saret mill-ewwel bastiment.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4.5. Awtorizzazzjoni tas-sajd il-ġdida għandha tidħol fis-seħħ fil-jum li fih l-awtorizzazzjoni l-ġdida tinħareġ mill-awtorità kompetenti ta' Greenland.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5. Perjodu ta' validità tal-awtorizzazzjonijiet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5.1. L-awtorizzazzjonijiet tas-sajd għandhom ikunu validi mid-</w:t>
      </w:r>
      <w:r>
        <w:rPr>
          <w:i/>
          <w:noProof/>
        </w:rPr>
        <w:t>data</w:t>
      </w:r>
      <w:r>
        <w:rPr>
          <w:noProof/>
        </w:rPr>
        <w:t xml:space="preserve"> meta jinħarġu sa tmiem is-sena kalendarja li matulha jkunu nħarġu.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5.2. F’dak li għandu x’jaqsam mas-sajd tal-capelin, l-awtorizzazzjonijiet tas-sajd għandhom jinħarġu skont id-dati miftiehma mill-Istati Kostali fl-arranġamenti qafas tagħhom u f’konformità mad-dispożizzjonijiet tal-Artikolu 2(2) u 2 (3).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5.3. F'każ li l-leġislazzjoni tal-UE li tistabbilixxi l-opportunitajiet tas-sajd għal sena partikolari għall-bastimenti tal-UE, f'ilmijiet fejn ikun hemm bżonn ta' limitazzjonijiet tal-qbid, ikun għadha ma ġietx adottata sal-bidu tas-sena tas-sajd, il-bastimenti tas-sajd tal-UE li kienu awtorizzati jistadu fil-31 ta' Diċembru tas-sena tas-sajd ta' qabel jistgħu jirċievu awtorizzazzjoni tas-sajd fis-sena li għaliha tkun għadha ma ġietx adottata l-leġislazzjoni, dejjem jekk il-pariri xjentifiċi jippermettu dan. Se jkun permess użu provviżorju ta' 1/12 tal-kwota mogħtija fl-awtorizzazzjoni tas-sajd tas-sena ta' qabel, għal kull xahar, dejjem jekk titħallas it-tariffa għall-awtorizzazzjoni tas-sajd applikabbli għall-kwota. Il-kwota provviżorja tista' tiġi aġġustata skont il-pariri xjentifiċi u l-kundizzjonijiet speċifiċi tas-sajd.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5.4. Il-kwantità mhux użata ta’ awtorizzazzjoni tas-sajd għall-gamblu tat-Tramuntana tista’ tiġi ttrasferita, fuq talba tal-awtorità kompetenti tal-UE, fil-31 ta’ Diċembru ta’ sena partikolari, għas-sena ta’ wara għal massimu ta’ 5 % tal-kwantità totali allokata għall-awtorizzazzjoni tas-sajd għas-sena partikolari, jekk il-parir xjentifiku jippermetti dak it-trasferiment. Dan l-ammont ma jinkludix trasferimenti mis-sena preċedenti. Il-kwantità ttrasferita għandha tintuża sat-30 ta' April tas-sena ta' wara. Il-kwantitajiet ittrasferiti mhux użati se jiġu ttrasferiti lura għas-sena ta’ qabel bħala kwantità tas-sajd mhux utilizzata wara t-30 ta’ April.  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6. Sospensjoni ta' awtorizzazzjonijiet tas-sajd u stabbiliment mill-ġdid tagħhom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L-awtoritajiet ta' Greenland jistgħu jissospendu l-awtorizzazzjonijiet tas-sajd previsti fl-Anness f'każ li: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a) bastiment speċifiku jkun qed iwettaq ksur serju tal-liġijiet u r-regolamenti ta’ dan il-pajjiż; jew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b) sid bastiment ma jkunx ħares inġunzjoni maħruġa b'rabta ma' ksur min-naħa ta' dak il-bastiment speċifiku. Ladarba titħares l-inġunzjoni, għandha terġa' tiġi stabbilita l-awtorizzazzjoni tas-sajd għall-bastiment għall-</w:t>
      </w:r>
      <w:r>
        <w:rPr>
          <w:i/>
          <w:noProof/>
        </w:rPr>
        <w:t>perjodu</w:t>
      </w:r>
      <w:r>
        <w:rPr>
          <w:noProof/>
        </w:rPr>
        <w:t xml:space="preserve"> li jkun baqa' tal-awtorizzazzjoni tas-sajd. 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7. It-tariffa għall-awtorizzazzjoni tas-sajd, il-ħlas tagħha u r-rifużjoni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7.1.   Il-bastimenti tal-UE għandhom iħallsu t-tariffi għall-awtorizzazzjonijiet tas-sajd li ġejjin:</w:t>
      </w:r>
    </w:p>
    <w:tbl>
      <w:tblPr>
        <w:tblpPr w:leftFromText="180" w:rightFromText="180" w:bottomFromText="160" w:vertAnchor="page" w:horzAnchor="margin" w:tblpY="953"/>
        <w:tblW w:w="47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151"/>
        <w:gridCol w:w="2164"/>
        <w:gridCol w:w="2159"/>
      </w:tblGrid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Speċi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EUR kull tunnellata 2021/2022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EUR kull tunnellata 2023/2024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EUR kull tunnellata 2025/2026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Bakkaljaw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160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241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Redfish pelaġiku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93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131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169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Redfish tal-qiegħ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93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131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169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Ħalibatt ta’ Greenland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216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309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402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Gamblu tat-Tramuntana — fin-naħa tal-Punent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159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240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322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Gamblu tat-Tramuntana — fin-naħa tal-Lvant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100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181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263</w:t>
            </w:r>
          </w:p>
        </w:tc>
      </w:tr>
      <w:tr>
        <w:trPr>
          <w:trHeight w:val="383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Kapelin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7.2. Qabel ma jibda japplika dan il-Protokoll, l-awtorità kompetenti ta' Greenland għandha tibgħat lill-UE d-dettalji tal-kontijiet bankarji li s-sidien tal-bastimenti għandhom jużaw għall-ħlasijiet kollha għal kemm idum għaddej il-Protokoll. L-awtorità kompetenti ta' Greenland għandha tavża lill-awtorità kompetenti tal-UE b'kull tibdil f'dawn id-dettalji mill-inqas xahrejn qabel ma dan it-tibdil jidħol fis-seħħ.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7.3. Il-ħlas tat-tariffa għandu jinkludi l-imposti nazzjonali u lokali kollha marbutin mal-aċċess għall-attivitajiet tas-sajd, kif ukoll l-imposti mitlubin mill-banek għat-trasferimenti tal-flus. Jekk bastiment ma jkunx ħallas l-imposta għat-trasferiment bankarju, dan l-ammont ikollu jitħallas mal-applikazzjoni li jkun imiss għal awtorizzazzjoni tas-sajd għal dan il-bastiment, u dan il-ħlas għandu jkun prerekwiżit għall-ħruġ ta' awtorizzazzjoni tas-sajd ġdida.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7.4. Jekk ma tinqabadx il-kwantità awtorizzata, it-tariffa li tikkorrispondi għal din il-kwantità awtorizzata ma titħallasx lura lil sid il-bastiment.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7.5. Madankollu, f'każ li jibdew japplikaw jew l-Artikolu 8 jew l-Artikolu 9 tal-Protokoll u b'hekk bastiment ma jkunx jista' jistad għal xi parti mill-qabda awtorizzata għal dik is-sena kalendarja, jew f'każ li l-applikazzjoni għall-awtorizzazzjoni tas-sajd ma tiġix aċċettata, l-awtorità kompetenti ta' Greenland għandha tħallas lura t-tariffa kollha għall-awtorizzazzjoni tas-sajd lil sid il-bastiment fi żmien 60 jum kalendarju minn meta jintalab il-ħlas lura.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7.6. Ma għandha titħallas l-ebda tariffa għall-awtorizzazzjoni tas-sajd għall-qabdiet inċidentali.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8. Il-prezzijiet ta' referenza għall-ispeċijiet huma dawn li ġejjin: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000"/>
      </w:tblGrid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Speċi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Prezz f'Euro għal kull tunnellata ta' piż tal-ħut ħaj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Bakkaljaw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2 023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Ir-redfish pelaġiku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1 890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Ir-redfish tal-qiegħ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1 890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Il-ħalibatt ta’ Greenland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4 640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Il-gamblu tat-Tramuntana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4 080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Kavalli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PM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Kapelin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364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Grenadier spp.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1 735</w:t>
            </w:r>
          </w:p>
        </w:tc>
      </w:tr>
      <w:t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Qabdiet inċidentali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2 260</w:t>
            </w:r>
          </w:p>
        </w:tc>
      </w:tr>
    </w:tbl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KAPITOLU III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MIŻURI TEKNIĊI TA’ KONSERVAZZJONI</w:t>
      </w:r>
    </w:p>
    <w:p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 xml:space="preserve">1. L-awtorità kompetenti ta' Greenland għandha tqiegħed għad-dispożizzjoni tal-awtorità kompetenti tal-UE verżjoni bl-Ingliż tal-leġislazzjoni rilevanti ta' Greenland dwar il-miżuri tekniċi ta' konservazzjoni, monitoraġġ, kontroll u sorveljanza qabel ma l-Protokoll jibda jiġi applikat b'mod provviżorju. 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KAPITOLU IV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MONITORAĠĠ, KONTROLL U SORVELJANZA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1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Reġistrazzjoni u rappurtar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 L-attivitajiet tal-bastimenti tas-sajd tal-Unjoni meta jkunu qed joperaw fiż-ŻEE ta’ Greenland għandhom ikunu rregolati mil-Liġijiet u r-Regolamenti applikabbli fi Greenland u fir-Renju tad-Danimarka mingħajr preġudizzju għar-responsabbiltajiet tal-bastimenti tas-sajd tal-UE fir-rigward tal-leġiżlazzjoni tal-UE, sakemm ma jkunx previst mod ieħor fil-Ftehim, fil-Protokoll u fl-Anness tiegħu. </w:t>
      </w:r>
    </w:p>
    <w:p>
      <w:pPr>
        <w:overflowPunct w:val="0"/>
        <w:spacing w:before="0" w:after="240"/>
        <w:jc w:val="left"/>
        <w:rPr>
          <w:rFonts w:eastAsia="Calibri"/>
          <w:noProof/>
          <w:szCs w:val="24"/>
        </w:rPr>
      </w:pPr>
      <w:r>
        <w:rPr>
          <w:noProof/>
        </w:rPr>
        <w:t>2. Mingħajr preġudizzju għar-rekwiżiti ta’ rappurtar taċ-Ċentru tal-Monitoraġġ tas-Sajd (FMC) tal-Istat tal-bandiera tagħhom, il-bastimenti tal-UE li huma awtorizzati jistadu skont il-Ftehim għandhom jikkomunikaw l-obbligi tagħhom ta’ reġistrazzjoni u rappurtar fir-rigward tal-attivitajiet tas-sajd skont dan il-Ftehim lill-awtorità kompetenti ta’ Greenland skont il-liġi applikabbli ta’ Greenland. Mad-dħul fis-seħħ tas-Sistema ta’ Rappurtar Elettroniku (ERS) din se tissostitwixxi d-dispożizzjonijiet ta’ rappurtar elettroniku tal-Kapitolu IV, Taqsima 1.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3. Fuq talba tal-awtorità kompetenti ta' Greenland, għandhom jingħataw il-ġurnali fuq il-karta rilevanti ta' abbord, skont l-ispeċi u l-irkaptu fil-mira, u dawn għandhom jintbagħtu lir-rappreżentant (lill-aġent) tal-bastiment, kif indikat fil-formola tal-applikazzjoni għal awtorizzazzjoni tas-sajd mogħtija fl-Appendiċi 1. L-awtorità kompetenti tal-UE u ċ-ĊMS tal-Istat tal-bandiera applikabbli għandhom jingħataw ukoll eżempju ta' kull tip ta' ġurnal ta' abbord.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Il-Kontroll mill-Istat tal-Port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Bastimenti tas-sajd barranin b’qabda abbord li ma jkunux ġew żbarkati jew trasbordati qabel f’port għandhom ikunu soġġetti għall-proċedura li ġejja qabel ma jidħlu fil-portijiet ta’ Greenland.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Greenland għażlet il-portijiet li ġejjin fejn il-ħatt l-art jew l-operazzjonijiet ta’ trażbord u l-forniment tas-servizzi portwarji huma permessi: Nuuk.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Notifika għad-dħul fil-portijiet ta’ Greenland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Il-kaptani tal-bastimenti jew ir-rappreżentant tagħhom li beħsiebhom jidħlu f’port ta’ Greenland għandhom jinnotifikaw lill-Awtorità għall-Kontroll tal-Liċenzji tas-Sajd ta’ Greenland (GFLK) fil-port li jixtiequ jużaw mill-inqas 3 ijiem tax-xogħol qabel il-ħin stmat tal-wasla.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In-notifika minn qabel imsemmija fil-paragrafu 1 għandha ssir billi jintużaw il-formati u l-ispeċifikazzjonijiet fl-iskema ta’ Kontroll u Infurzar tan-NEAFC fl-Anness XV kif ġej: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(a) L-Anness XV (a) Parti A għandha timtela meta l-bastiment ikun qed iġorr il-qabda tiegħu stess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(b) L-Anness XV (b) Parti A għandha tintuża meta l-bastiment ikun involut f'operazzjonijiet ta' trażbord, biex jingħata tagħrif separat għall-qabdiet minn kull bastiment donatur.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(c) In-notifika minn qabel tista’ tiġi kkanċellata mill-mittent billi l-GFLK tiġi nnotifikata sa mhux aktar tard minn 24 siegħa qabel il-ħin stmat tal-wasla fil-port.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(d) Il-GLFK għandu jibgħat kopja tal-formola kif imsemmi fil-paragrafi 2 u 3 minnufih lill-Istat tal-bandiera tal-bastiment, u lill-Istat(i) tal-bandiera tal-bastimenti donaturi meta l-bastiment tas-sajd kien involut f'operazzjonijiet ta' trasbord.</w:t>
      </w: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Mal-validazzjoni mill-Istat tal-bandiera tal-bastiment(i) l-GFLK għandu jawtorizza jew jiċħad lill-bastiment li jkun qed ifittex aċċess għall-port.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Jekk titwettaq spezzjoni, il-waqfa fil-port għandha tiġi ddokumentata billi jimtela rapport tal-ispezzjoni tal-Kontroll mill-Istat tal-Port (PSC 3) kif stipulat fl-Anness XVI tal-iskema ta’ Kontroll u Infurzar tan-NEAFC.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 Sakemm iż-żewġ Partijiet jimplimentaw b’mod konġunt Sistema Elettronika ta’ Rappurtar (ERS), għandhom jintużaw il-miżuri eżistenti għall-ġbir u t-trażmissjoni tad-</w:t>
      </w:r>
      <w:r>
        <w:rPr>
          <w:i/>
          <w:noProof/>
        </w:rPr>
        <w:t>data</w:t>
      </w:r>
      <w:r>
        <w:rPr>
          <w:noProof/>
        </w:rPr>
        <w:t xml:space="preserve"> dwar il-qabdiet. Il-ġurnali ta’ abbord u l-avviżi stampati eżistenti għandhom jimtlew skont il-liġi ta’ Greenland. 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Sistema Elettronika ta’ Rappurtar</w:t>
      </w:r>
    </w:p>
    <w:p>
      <w:pPr>
        <w:overflowPunct w:val="0"/>
        <w:jc w:val="left"/>
        <w:rPr>
          <w:rFonts w:eastAsia="Calibri"/>
          <w:noProof/>
          <w:szCs w:val="24"/>
        </w:rPr>
      </w:pPr>
      <w:r>
        <w:rPr>
          <w:noProof/>
        </w:rPr>
        <w:t>1. Il-partijiet jimpenjaw ruħhom li jimplimentaw u jżommu s-sistemi tal-IT li huma meħtieġa biex jiżguraw l-iskambju elettroniku tal-informazzjoni kollha relatata mal-implimentazzjoni tal-Ftehim.</w:t>
      </w:r>
    </w:p>
    <w:p>
      <w:pPr>
        <w:tabs>
          <w:tab w:val="left" w:pos="961"/>
        </w:tabs>
        <w:overflowPunct w:val="0"/>
        <w:spacing w:before="0" w:after="240"/>
        <w:ind w:right="117"/>
        <w:rPr>
          <w:rFonts w:eastAsia="Calibri"/>
          <w:noProof/>
          <w:szCs w:val="24"/>
        </w:rPr>
      </w:pPr>
      <w:r>
        <w:rPr>
          <w:noProof/>
        </w:rPr>
        <w:t>2. L-arranġamenti dettaljati dwar l-implimentazzjoni tad-diversi skambji elettroniċi għandhom jiġu definiti u approvati miż-żewġ Partijiet fil-Kumitat Konġunt, b’mod partikolari għar-rappurtar tal-qabdiet permezz tas-sistema elettronika ta’ reġistrazzjoni u ta’ rappurtar (ERS) u l-proċeduri f’każ ta’ ħsara.</w:t>
      </w:r>
    </w:p>
    <w:p>
      <w:pPr>
        <w:overflowPunct w:val="0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3. Il-partijiet jaqblu li l-istandard UN/FLUX (International/Fisheries Language for Universal eXchange) u n-network ta’ skambju FLUX tal-UE huwa maħsub li jiġi implimentat għall-iskambju tal-pożizzjonijiet tal-bastimenti, il-ġurnal ta’ abbord elettroniku u possibbilment, fil-futur, il-ġestjoni tal-awtorizzazzjonijiet tas-sajd. </w:t>
      </w:r>
    </w:p>
    <w:p>
      <w:pPr>
        <w:overflowPunct w:val="0"/>
        <w:jc w:val="left"/>
        <w:rPr>
          <w:rFonts w:eastAsia="Calibri"/>
          <w:noProof/>
          <w:szCs w:val="24"/>
        </w:rPr>
      </w:pPr>
      <w:r>
        <w:rPr>
          <w:noProof/>
        </w:rPr>
        <w:t>4. L-ERS għandha tiġi implimentata f’perjodu ta’ żmien definit mill-Kumitat Konġunt abbażi tad-dispożizzjonijiet tekniċi li għandhom jiġu definiti. Il-partijiet għandhom jipproponu lill-Kumitat Konġunt il-perjodu meħtieġ għat-tranżizzjoni u l-implimentazzjoni tal-ERS, filwaqt li jqisu r-restrizzjonijiet tekniċi possibbli.</w:t>
      </w:r>
    </w:p>
    <w:p>
      <w:pPr>
        <w:overflowPunct w:val="0"/>
        <w:spacing w:before="0" w:after="240"/>
        <w:jc w:val="left"/>
        <w:rPr>
          <w:rFonts w:eastAsia="Calibri"/>
          <w:noProof/>
          <w:szCs w:val="24"/>
        </w:rPr>
      </w:pPr>
      <w:r>
        <w:rPr>
          <w:noProof/>
        </w:rPr>
        <w:t>5. Iż-żewġ Partijiet għandhom jiddefinixxu l-perjodu ta’ prova meħtieġ qabel ma tkun tista’ ssir tranżizzjoni għall-użu effettiv tal-istandard FLUX. Ladarba dawn il-provi jitlestew b’suċċess, il-Partijiet għandhom jistabbilixxu, malajr kemm jista’ jkun, id-</w:t>
      </w:r>
      <w:r>
        <w:rPr>
          <w:i/>
          <w:noProof/>
        </w:rPr>
        <w:t>data</w:t>
      </w:r>
      <w:r>
        <w:rPr>
          <w:noProof/>
        </w:rPr>
        <w:t xml:space="preserve"> effettiva għat-tranżizzjoni lejn l-ERS. </w:t>
      </w:r>
    </w:p>
    <w:p>
      <w:pPr>
        <w:tabs>
          <w:tab w:val="left" w:pos="961"/>
        </w:tabs>
        <w:overflowPunct w:val="0"/>
        <w:spacing w:before="0" w:after="240"/>
        <w:ind w:right="117"/>
        <w:rPr>
          <w:rFonts w:eastAsia="Calibri"/>
          <w:noProof/>
          <w:szCs w:val="24"/>
        </w:rPr>
      </w:pPr>
      <w:r>
        <w:rPr>
          <w:noProof/>
        </w:rPr>
        <w:t>6. Ladarba s-sistema ERS tkun kompletament funzjonali, bastiment li ma jkunx mgħammar b’sistema ERS ma għandux ikun awtorizzat iwettaq attivitajiet tas-sajd skont dan il-Protokoll.</w:t>
      </w:r>
    </w:p>
    <w:p>
      <w:pPr>
        <w:overflowPunct w:val="0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7. Greenland u l-Unjoni għandhom jinfurmaw lil xulxin minnufih b’kull ħsara fis-sistema tal-IT li tipprevjeni l-komunikazzjoni bejn iċ-ĊMS.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8. Sakemm iż-żewġ Partijiet jimplimentaw b’ mod konġunt Sistema Elettronika ta’ Rappurtar (ERS), fi tmiem kull vjaġġ tas-sajd għandha tintbagħat kopja tal-ġurnal ta’ abbord tas-sajd lill-awtorità kompetenti ta’ Greenland minnufih wara l-wasla fil-port bil-posta jew bil-posta elettronika .</w:t>
      </w:r>
    </w:p>
    <w:p>
      <w:pPr>
        <w:keepNext/>
        <w:overflowPunct w:val="0"/>
        <w:spacing w:before="0" w:after="173"/>
        <w:ind w:left="480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Ħatt l-art u trażbord</w:t>
      </w:r>
    </w:p>
    <w:p>
      <w:pPr>
        <w:spacing w:before="0" w:after="0"/>
        <w:jc w:val="left"/>
        <w:rPr>
          <w:rFonts w:eastAsia="Calibri"/>
          <w:noProof/>
          <w:szCs w:val="24"/>
        </w:rPr>
      </w:pPr>
      <w:r>
        <w:rPr>
          <w:noProof/>
        </w:rPr>
        <w:t>Il-kaptan għandu jittrażmetti d-</w:t>
      </w:r>
      <w:r>
        <w:rPr>
          <w:i/>
          <w:noProof/>
        </w:rPr>
        <w:t>data</w:t>
      </w:r>
      <w:r>
        <w:rPr>
          <w:noProof/>
        </w:rPr>
        <w:t xml:space="preserve"> dwar il-ħatt l-art meħtieġa minn dan il-Ftehim permezz tas-sistema elettronika ta’ reġistrazzjoni u ta’ rappurtar (ERS) lill-awtorità kompetenti ta’ Greenland. Dan għandu jinkludi l-ħatt l-art li jsir f’portijiet barra minn Greenland ta’ qabdiet li jkunu nqabdu taħt awtorizzazzjoni(jiet) tas-sajd ta’ Greenland. Matul il-perjodu ta’ tranżizzjoni, u sakemm tiġi implimentata s-sistema ERS, il-kaptan għandu jagħmel ħiltu biex jittrażmetti d-</w:t>
      </w:r>
      <w:r>
        <w:rPr>
          <w:i/>
          <w:noProof/>
        </w:rPr>
        <w:t>data</w:t>
      </w:r>
      <w:r>
        <w:rPr>
          <w:noProof/>
        </w:rPr>
        <w:t xml:space="preserve"> dwar il-ħatt l-art bil-mezzi xierqa kif miftiehem mill-Partijiet.  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2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Sistema ta' monitoraġġ bis-satellita (VMS)</w:t>
      </w:r>
    </w:p>
    <w:p>
      <w:pPr>
        <w:tabs>
          <w:tab w:val="num" w:pos="720"/>
        </w:tabs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Kull bastiment tal-Unjoni awtorizzat skont dan il-Protokoll għandu jkun mgħammar b’sistema ta’ monitoraġġ tal-bastimenti bis-satellita (VMS) li taħdem b’mod sħiħ installata abbord u li tkun kapaċi tittrażmetti b’mod awtomatiku u kontinwu l-pożizzjoni tiegħu lil ĊMS tal-Istat tal-bandiera tiegħu li jkun ibbażat fuq l-art.</w:t>
      </w:r>
    </w:p>
    <w:p>
      <w:pPr>
        <w:tabs>
          <w:tab w:val="num" w:pos="720"/>
        </w:tabs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Is-sistema tal-VMS tal-bastimenti soġġetti għall-monitoraġġ bis-satellita skont dan il-Protokoll għandha tittrażmetti awtomatikament il-pożizzjonijiet tal-bastimenti liċ-ĊMS tal-Istat tal-bandiera tagħhom, li għandu jittrażmettihom minnufih liċ-ĊMS ta’ Greenland. Jekk iż-żewġ Partijiet jaqblu, il-pożizzjonijiet tal-bastiment għandhom jiġu trażmessi permezz tan-nodu ċentrali tal-UE. Barra minn hekk, iċ-ĊMS tal-Istat tal-bandiera għandu jibgħat kopja ta’ kull pożizzjoni tal-bastiment lill-Kummissjoni Ewropea.</w:t>
      </w:r>
    </w:p>
    <w:p>
      <w:pPr>
        <w:tabs>
          <w:tab w:val="num" w:pos="720"/>
        </w:tabs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L-Istat tal-bandiera u l-awtoritajiet ta’ Greenland għandhom jagħżlu korrispondent VMS kull wieħed li għandu jaġixxi bħala l-punt ta’ kuntatt. Kull modifika fil-koordinati tal-korrispondent VMS għandha tiġi kkomunikata mingħajr dewmien.</w:t>
      </w:r>
    </w:p>
    <w:p>
      <w:pPr>
        <w:tabs>
          <w:tab w:val="num" w:pos="720"/>
        </w:tabs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Qabel id-</w:t>
      </w:r>
      <w:r>
        <w:rPr>
          <w:i/>
          <w:noProof/>
        </w:rPr>
        <w:t>data</w:t>
      </w:r>
      <w:r>
        <w:rPr>
          <w:noProof/>
        </w:rPr>
        <w:t xml:space="preserve"> ta’ applikazzjoni tal-Protokoll, iċ-CSCP tal-Istat tal-bandiera u ta’ Greenland għandhom jikkomunikaw id-dettalji ta’ kuntatt (l-isem, l-indirizz, it-telefown, il-posta elettronika) tal-korrispondent VMS rispettiv tagħhom.</w:t>
      </w:r>
    </w:p>
    <w:p>
      <w:pPr>
        <w:tabs>
          <w:tab w:val="num" w:pos="720"/>
        </w:tabs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 Il-punti ta’ kuntatt VMS għandhom jiskambjaw l-informazzjoni rilevanti kollha dwar it-tagħmir tal-bastimenti, il-protokolli ta’ trażmissjoni u kwalunkwe funzjoni oħra meħtieġa għall-monitoraġġ bis-satellita.</w:t>
      </w:r>
    </w:p>
    <w:p>
      <w:pPr>
        <w:tabs>
          <w:tab w:val="num" w:pos="720"/>
        </w:tabs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6. L-arranġamenti għall-implimentazzjoni tal-VMS u l-proċeduri f’każ ta’ malfunzjonament huma stabbiliti fl-Appendiċi 3. 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3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Spezzjoni fuq il-baħar jew fil-port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L-ispezzjonijiet fiż-ŻEE ta’ Greenland jew fil-portijiet tal-bastimenti tal-UE li jkollhom awtorizzazzjoni tas-sajd għandhom jitwettqu minn bastimenti u spetturi ta’ Greenland identifikati b’mod ċar skont il-konvenzjoni internazzjonali u għandhom jitwettqu skont il-miżuri tal-FAO u kwalunkwe miżura rilevanti tal-Istat tal-Port tal-RFMOs.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 L-awtorità kompetenti ta’ kull parti tista’ tistieden rappreżentant mill-parti l-oħra biex josservaw spezzjoni.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L-awtorità kompetenti ta’ kull parti li twettaq spezzjoni internazzjonali fiż-żoni regolatorji tan-NEAFC u tan-NAFO tista’ tistieden spetturi mill-parti l-oħra biex jimbarkaw bastiment ta’ spezzjoni li jkun qed iwettaq spezzjoni internazzjonali.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4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Skema ta' osservaturi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 L-attivitajiet tas-sajd fiż-ŻEE ta’ Greenland hija suġġetta għall-iskema ta’ l-osservaturi skond il-liġi ta’ Greenland. Il-kaptani tal-bastimenti tas-sajd tal-UE li għandhom awtorizzazzjoni tas-sajd biex jistadu fiż-ŻEE ta' Greenland għandhom jikkooperaw mal-awtoritajiet kompetenti ta' Greenland biex l-osservaturi jitħallew jitilgħu abbord.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L-awtoritajiet kompetenti ta' Greenland għandhom iħallsu l-paga u l-kontribuzzjonijiet soċjali tal-osservatur.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 Meta jkunu abbord, l-osservaturi għandhom: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8785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jieħdu l-miżuri xierqa kollha sabiex la jinterrompu u lanqas itellfu l-ħidmiet tas-sajd;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  <w:gridCol w:w="8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 jirrispettaw il-proprjetà u t-tagħmir li jkun hemm abbord; kif ukoll</w:t>
            </w:r>
          </w:p>
        </w:tc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681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iħarsu n-natura kunfidenzjali ta’ kull dokument tal-bastiment.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noProof/>
        </w:rPr>
        <w:t>4. L-osservatur għandu jimbarka f’port jew f’post speċifiku fuq il-baħar miftiehem bejn l-awtorità kompetenti ta’ Greenland u l-kaptan. Jekk l-osservatur ma jasalx għall-imbark fi żmien tliet sigħat mid-</w:t>
      </w:r>
      <w:r>
        <w:rPr>
          <w:i/>
          <w:noProof/>
        </w:rPr>
        <w:t>data</w:t>
      </w:r>
      <w:r>
        <w:rPr>
          <w:noProof/>
        </w:rPr>
        <w:t xml:space="preserve"> u l-ħin previsti, sid il-bastiment għandu jinħeles awtomatikament mill-obbligu tiegħu li jħalli lill-osservatur jimbarka u l-bastiment għandu jitħalla liberu li jsalpa mill-port u jibda l-attivitajiet tas-sajd.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5. Ir-rapport tal-osservatur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5.1. Qabel ma jħalli l-bastiment, l-osservatur għandu jissottometti rapport tal-osservazzjonijiet tiegħu lill-kaptan tal-bastiment. Il-kaptan tal-bastiment għandu jkollu d-dritt jagħmel kummenti fir-rapport tal-osservatur. Ir-rapport għandu jiġi ffirmat mill-osservatur u mill-kaptan. Il-kaptan għandu jirċievi kopja elettronika tar-rapport tal-osservatur.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5.2. Malli l-awtorità kompetenti ta' Greenland tirċievi talba għal dan mingħand l-awtorità kompetenti tal-UE jew l-Istat Membru tal-bandiera, hija għandha tibagħtilhom kopja tar-rapport tal-osservatur fi żmien tmint ijiem tax-xogħol minn meta tirċievi t-talba.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5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Ksur tar-regoli</w:t>
      </w:r>
    </w:p>
    <w:p>
      <w:pPr>
        <w:spacing w:before="0" w:after="240" w:line="256" w:lineRule="auto"/>
        <w:ind w:right="119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1. Vjolazzjonijiet u ksur</w:t>
      </w:r>
    </w:p>
    <w:p>
      <w:pPr>
        <w:spacing w:before="0" w:after="240" w:line="256" w:lineRule="auto"/>
        <w:ind w:right="119"/>
        <w:rPr>
          <w:rFonts w:eastAsia="Calibri"/>
          <w:noProof/>
          <w:szCs w:val="24"/>
        </w:rPr>
      </w:pPr>
      <w:r>
        <w:rPr>
          <w:noProof/>
        </w:rPr>
        <w:t>Meta bastiment tal-UE ma jkunx issodisfa d-dispożizzjonijiet ta’ dan il-Protokoll, b’mod partikolari r-rappurtar dwar il-qbid, jitqies bħala ksur serju skont il-Kapitolu II, 6(a) tal-Anness tal-Protokoll. L-awtorità kompetenti ta’ Greenland hija intitolata tissospendi awtorizzazzjoni tas-sajd eżistenti sakemm jiġu ssodisfati d-dispożizzjonijiet dwar ir-rappurtar tal-qabdiet. Jekk dawn id-dispożizzjonijiet jerġgħu jinkisru, l-awtorità kompetenti ta' Greenland tista' tirrifjuta li ġġedded l-awtorizzazzjoni tas-sajd tal-bastiment ikkonċernat. L-awtorità kompetenti tal-UE u l-Istat tal-bandiera għandhom jinżammu infurmati kif xieraq u bla ebda dewmien dwar dan.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2. Trattament tal-ksur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2.1. Kwalunkwe ksur imwettaq fiż-ŻEE ta’ Greenland minn bastiment tas-sajd tal-UE li jkollu awtorizzazzjoni tas-sajd skont id-dispożizzjonijiet ta’ dan l-Anness għandu jissemma f’rapport tal-ispezzjoni.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2.2. L-iffirmar tar-rapport tal-ispezzjoni min-naħa tal-kaptan għandu jkun mingħajr ħsara għad-dritt tal-kaptan u/jew ta' sid il-bastiment li jiddefendu ruħhom mill-akkuża tal-ksur.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2.3. Għal kull ksur imwettaq fiż-ŻEE ta' Greenland minn bastiment tal-Unjoni Ewropea li jkollu awtorizzazzjoni tas-sajd skont il-Ftehim, l-avviż tal-ksur iddefinit u s-sanzjonijiet marbutin miegħu imposti fuq il-kaptan jew fuq il-kumpanija tas-sajd għandhom jintbagħtu direttament lis-sidien tal-bastimenti skont il-proċeduri stabbiliti fil-Liġijiet ta' Greenland li huma fis-seħħ.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2.4. L-awtorità kompetenti ta' Greenland għandha tibgħat kopja tar-rapport tal-ispezzjoni u tal-avviż tal-ksur lill-awtorità kompetenti tal-UE u lill-Istat tal-bandiera bil-posta elettronika malajr kemm jista' jkun.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2.5. Meta s-soluzzjoni għall-ksur tkun tinvolvi proċedimenti legali, qabel jingħata bidu għalihom, u sakemm il-ksur ma jkunx jinvolvi att kriminali, għandha tinbeda proċedura biex tinstab soluzzjoni amikevoli għall-ksur allegat fi żmien erbat ijiem minn meta jintbagħat l-avviż tal-ksur. Jekk ma tkunx tista' tinstab soluzzjoni amikevoli bħal din, għandhom jinbdew il-proċedimenti legali normali.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3. Detenzjoni ta’ bastiment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3.1. L-awtoritajiet ta' Greenland għandhom javżaw lill-awtorità kompetenti tal-UE u lill-Istat tal-bandiera minnufih b'kull detenzjoni ta' bastiment tas-sajd tal-Unjoni Ewropea li jkollu awtorizzazzjoni tas-sajd skont il-Ftehim. F'dan l-avviż għandhom jingħataw ir-raġunijiet għad-detenzjoni u miegħu għandha tintbagħat l-evidenza ddokumentata tal-ksur allegat.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3.2. Qabel ma jieħdu kwalunkwe miżura oħra kontra l-bastiment tal-Unjoni Ewropea miżmum jew kontra l-kaptan, l-ekwipaġġ jew il-merkanzija tiegħu, ħlief għal miżuri mmirati biex titħares l-evidenza, l-awtoritajiet ta' Greenland għandhom jaħtru uffiċjal li jkun responsabbli għall-investigazzjoni u għandhom jorganizzaw, fuq talba tal-awtorità tal-UE, fi żmien jum wieħed tax-xogħol minn meta jintbagħat l-avviż dwar id-detenzjoni tal-bastiment, laqgħa ta' informazzjoni. Rappreżentant tal-Istat tal-bandiera u ta' sid il-bastiment jista' jattendi din il-laqgħa.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4. Penali għall-ksur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4.1. L-awtoritajiet ta' Greenland għandhom jistabbilixxu l-penali għall-ksur skont id-dispożizzjonijiet tal-leġislazzjoni nazzjonali fis-seħħ tagħhom.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4.2. F'każ li tinstab soluzzjoni amikevoli għall-ksur allegat, kull penali li għandha titħallas għandha tiġi stabbilita billi wieħed jirreferi għal-leġislazzjoni nazzjonali ta' Greenland.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5. Proċedimenti legali — Garanzija bankarja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5.1. Jekk ma tkunx tista' tinstab soluzzjoni amikevoli u l-ksur jitressaq quddiem il-qorti kompetenti, sid il-bastiment tas-sajd tal-Unjoni Ewropea li jkun wettaq il-ksur għandu jiddepożita garanzija bankarja f'bank magħżul mill-awtorità kompetenti ta' Greenland, li l-ammont tagħha, kif stabbilit mill-awtorità kompetenti ta' Greenland, ikun ikopri l-ispejjeż marbutin mad-detenzjoni tal-bastiment tas-sajd tal-Unjoni Ewropea, il-multa stmata u kwalunkwe kumpens li jista' jkun hemm 'il quddiem. Il-garanzija bankarja ma tistax tiġi rkuprata qabel ma jkunu ġew konklużi l-proċeduri legali. Madankollu, f'każ li l-proċedimenti legali jdumu għaddejjin iktar minn erba' snin, l-awtorità kompetenti ta' Greenland għandha taġġorna lill-awtorità kompetenti tal-UE u lill-Istat tal-bandiera kkonċernat b'mod regolari dwar il-passi li qed jittieħdu biex jiġu konklużi l-proċedimenti legali.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5.2. Il-garanzija bankarja għandha tiġi rrilaxxata u tingħata lura lil sid il-bastiment mingħajr dewmien wara li tinqata' s-sentenza: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11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 kollha kemm hi, jekk ma tingħata l-ebda sanzjoni</w:t>
            </w:r>
          </w:p>
        </w:tc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skont l-ammont tal-bilanċ li jkun għad fadal, jekk il-piena tkun multa li tkun iżjed baxxa mill-ammont tal-garanzija bankarja.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5.3. Il-proċedimenti legali għandhom jinfetħu malajr kemm jista' jkun skont il-liġijiet nazzjonali.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5.4. L-awtoritajiet ta' Greenland għandhom jgħarrfu lill-UE bir-riżultat tal-proċedimenti legali fi żmien 14-il jum minn meta tinqata' s-sentenza.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6. Rilaxx tal-bastiment u tal-ekwipaġġ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6.1. Il-bastiment tas-sajd tal-Unjoni Ewropea għandu jiġi awtorizzat iħalli l-port u jkompli jistad ladarba tkun ġiet iddepożitata l-garanzija bankarja, jew ladarba tkun tħallset il-multa jew ikunu ġew issodisfati l-obbligi li joħorġu mis-soluzzjoni amikevoli misjuba.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KAPITOLU V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IMPRIŻI KONĠUNTI TEMPORANJI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1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Metodu u kriterji għall-valutazzjoni ta' PROĠETTI għal impriżi konġunti temporanji u għal impriżi konġunti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 L-attivitajiet tal-bastimenti tas-sajd tal-Unjoni meta jkunu qed joperaw fiż-ŻEE ta’ Greenland għandhom ikunu rregolati mil-Liġijiet u r-Regolamenti applikabbli fi Greenland u fir-Renju tad-Danimarka mingħajr preġudizzju għar-responsabbiltajiet tal-bastimenti tas-sajd tal-UE fir-rigward tal-leġiżlazzjoni tal-UE, sakemm ma jkunx previst mod ieħor fil-Ftehim, fil-Protokoll u fl-Anness tiegħu.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L-awtoritajiet ta' Greenland għandhom jgħarrfu lill-awtorità kompetenti tal-UE minnufih jekk tinqala' xi opportunità għal impriża konġunta temporanja jew għal impriża konġunta ma' kumpaniji minn dan il-pajjiż. Imbagħad l-awtorità kompetenti tal-UE se tgħarraf lill-Istati Membri kollha tal-UE b'dan kif xieraq. F'każ li titwaqqaf xi impriża konġunta, il-proġetti se jitressqu u jiġu vvalutati skont id-dispożizzjonijiet ta' dan il-Kapitolu.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B'applikazzjoni tal-Artikolu 12(f) tal-Ftehim, l-UE għandha tibgħat lill-awtoritajiet ta' Greenland, malajr kemm jista' jkun u fi kwalunkwe każ sa mhux aktar tard minn għaxart ijiem tax-xogħol qabel il-laqgħa tal-Kumitat Konġunt, dossier tekniku għall-proġetti għal impriżi konġunti temporanji u għal impriżi konġunti li jinvolvu operaturi tal-UE. Il-proġetti għandhom jintbagħtu lill-awtorità kompetenti tal-UE mill-awtoritajiet tal-Istati Membri tal-UE kkonċernati.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Bħala prijorità, il-Kumitat Konġunt għandu jinkoraġġixxi l-użu sħiħ tal-kwoti indikattivi għall-ispeċijiet imniżżlin fl-Artikolu 2(1) tal-Protokoll min-naħa tal-bastimenti tal-UE. Għall-ispeċijiet li għalihom il-Kumitat Konġunt ikun qabel dwar livell iktar baxx ta' opportunitajiet annwali tas-sajd minn dak indikat fl-Artikolu 2(1) tal-Protokoll mingħajr ma dan kien iġġustifikat abbażi tal-pariri xjentifiċi, mhumiex se jitqiesu proġetti għal impriżi konġunti temporanji u għal impriżi konġunti għall-istess speċi u għall-istess sena kalendarja.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 Il-Kumitat Konġunt għandu jivvaluta l-proġetti skont il-kriterji li ġejjin: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  <w:gridCol w:w="14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 l-ispeċijiet u ż-żoni tas-sajd fil-mira;</w:t>
            </w:r>
          </w:p>
        </w:tc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il-qagħda tal-istokkijiet abbażi tal-aqwa pariri xjentifiċi disponibbli u tal-approċċ ta' prekawzjoni;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877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id-dettalji tal-bastimenti u t-teknoloġija adattata għall-attivitajiet tas-sajd proposti;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(d)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fil-każ tal-impriżi konġunti temporanji, it-tul kollu taż-żmien tagħhom u dak tal-attivitajiet tas-sajd; kif ukoll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872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(e)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l-esperjenza li sid il-bastiment u sieħbu għandhom fil-qasam tas-sajd.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 Il-Kumitat Konġunt għandu joħroġ opinjoni dwar il-proġetti wara li ssir il-valutazzjoni msemmija fil-paragrafu 3.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 Għall-ispeċijiet imniżżlin fl-Artikolu 2(1) tal-Protokoll, il-qabdiet li jagħmlu l-bastimenti tal-UE fil-qafas tal-impriżi konġunti temporanji jew tal-impriżi konġunti għandhom ikunu mingħajr ħsara għall-arranġamenti ta' kondiviżjoni li jeżistu bejn l-Istati Membri tal-UE.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2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Kundizzjonijiet marbutin mal-aċċess fil-qafas tal-impriżi konġunti temporanji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1. Awtorizzazzjonijiet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1.1. Fil-każ tal-impriżi konġunti temporanji, ladarba l-Kumitat Konġunt ikun ħareġ opinjoni pożittiva dwar proġett, il-bastimenti tal-UE kkonċernati għandhom japplikaw għal awtorizzazzjoni tas-sajd skont id-dispożizzjonijiet tal-Kapitolu II. It-tali applikazzjoni għandha tindika biċ-ċar li tikkonċerna Impriża Konġunta Temporanja.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1.2. L-awtorizzazzjoni tas-sajd għandha tinħareġ għat-tul taż-żmien li matulu se ddum għaddejja l-impriża konġunta temporanja, iżda fi kwalunkwe każ għal </w:t>
      </w:r>
      <w:r>
        <w:rPr>
          <w:i/>
          <w:noProof/>
        </w:rPr>
        <w:t>perjodu</w:t>
      </w:r>
      <w:r>
        <w:rPr>
          <w:noProof/>
        </w:rPr>
        <w:t xml:space="preserve"> li ma jkunx ta' iktar minn sena kalendarja.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1.3. Fuq l-awtorizzazzjoni tas-sajd għandu jiġi indikat b'mod ċar li l-qabdiet se jsiru abbażi ta' opportunitajiet tas-sajd allokati mill-awtoritajiet ta' Greenland fil-limiti tat-TACs rispettivi ta' dan il-pajjiż iżda li ma jidħlux fl-opportunitajiet tas-sajd mogħtija skont l-Artikolu 2(1) tal-Protokoll.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2. Sostituzzjoni ta' bastimenti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Bastiment tal-UE li jkun qed jistad fil-qafas ta' impriża konġunta temporanja jista' jinbidel b'bastiment ieħor tal-UE li jkollu kapaċità u speċifikazzjonijiet tekniċi simili għalih biss għal raġunijiet iġġustifikati kif xieraq u bil-qbil tal-Partijiet.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3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 xml:space="preserve">Arranġamenti għat-trasferiment tal-kwota tal-Gamblu tat-Tramuntana bejn id-detenturi tal-awtorizzazzjoni 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1. Arranġamenti għat-trasferiment</w:t>
      </w:r>
    </w:p>
    <w:p>
      <w:pPr>
        <w:spacing w:before="0" w:after="160" w:line="25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  <w:szCs w:val="24"/>
        </w:rPr>
        <w:t>1.1. Is-sidien tal-bastimenti minn Greenland u l-Unjoni Ewropea jistgħu jistabbilixxu, fuq bażi ta’ kumpanija, arranġamenti għall-iskambju ta’ kwoti tal-opportunitajiet tas-sajd għall-Gamblu tat-Tramuntana fis-Subżoni II, V, XII u XIV tal-ICES b’opportunitajiet tas-sajd għall-Gamblu tat-Tramuntana fis-subżona 1 tan-NAFO.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1.2. L-awtoritajiet ta' Greenland għandhom jintrabtu li jiffaċilitaw it-tali arranġamenti hekk kif jirċievu talba mill-awtoritajiet kompetenti tal-Unjoni Ewropea dwar dan f'isem l-Istati Membri kkonċernati.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1.3. L-ammont massimu annwali li għandu jiġi ttrasferit għandu jkun ta' 2 000 tunnellata, dejjem skont il-pariri xjentifiċi.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1.4. Il-bastimenti tal-Unjoni għandhom jistadu bl-istess kundizzjonijiet bħal dawk previsti fil-każ ta' awtorizzazzjoni tas-sajd maħruġa lil sid ta' bastiment minn Greenland, dejjem skont id-dispożizzjonijet tal-Kapitolu II tal-Anness.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KAPITOLU VI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IS-SAJD SPERIMENTALI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 B'applikazzjoni tal-Artikolu 11 u tal-Artikolu 12(g) tal-Ftehim, meta l-awtorità kompetenti tal-UE tkun esprimiet l-interess tagħha lill-awtoritajiet ta' Greenland li twettaq sajd sperimentali għal speċijiet u stokkijiet li mhumiex imniżżlin fl-Artikolu 2(1) tal-Protokoll: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1.1. L-awtorità kompetenti tal-UE għandha tibgħat lil Greenland, sa mhux aktar tard minn 15-il jum qabel il-laqgħa tal-Kumitat Konġunt, dossiers tekniċi li jispeċifikaw: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5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 l-ispeċijiet fil-mira;</w:t>
            </w:r>
          </w:p>
        </w:tc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proposta għall-parametri tekniċi tal-kampanja (it-teknoloġija li għandha tintuża għall-attività, it-tul ta’ żmien tagħha, iż-żoni tas-sajd fejn din għandha ssir, eċċ.); kif ukoll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il-benefiċċji li mistennija jkun hemm għar-riċerka xjentifika u għall-iżvilupp tal-qasam tas-sajd permezz tal-parteċipazzjoni tal-UE fil-kampanja sperimentali.</w:t>
            </w:r>
          </w:p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(d) Valutazzjoni tal-impatti potenzjali tal-attivitajiet tas-sajd maħsuba tal-bastimenti li juru li attivitajiet bħal dawn x’aktarx ma jkollhomx impatti avversi sinifikanti fuq l-ekosistemi vulnerabbli tal-baħar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1.2. L-awtoritajiet ta' Greenland għandhom jgħarrfu lill-Kumitat Konġunt dwar: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id-dettalji u l-kundizzjonijiet tal-kampanji tas-sajd sperimentali rilevanti mwettqin minn bastimenti nazzjonali u minn bastimenti ta' pajjiżi terzi;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8780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ir-riżultati ta’ kwalunkwe kampanja sperimentali preċedenti għall-istess speċi; kif ukoll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(c) l-informazzjoni xjentifika eżistenti u informazzjoni oħra rilevanti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  <w:tc>
          <w:tcPr>
            <w:tcW w:w="0" w:type="auto"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 Il-Kumitat Konġunt għandu jivvaluta d-dossiers tekniċi filwaqt li jqis kif xieraq l-aqwa pariri xjentifiċi disponibbli u l-approċċ ta' prekawzjoni.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Ladarba l-Kumitat Konġunt joħroġ opinjoni pożittiva dwar il-parteċipazzjoni tal-UE, il-livell ta' din il-parteċipazzjoni u l-parametri tekniċi tal-kampanja tas-sajd sperimentali, il-bastimenti tal-UE għandhom japplikaw għall-awtorizzazzjonijiet tas-sajd skont id-dispożizzjonijiet tal-Kapitolu II. L-awtorizzazzjonijiet tas-sajd ma għandhomx jaqbżu tmiem is-sena kalendarja.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 Id-dispożizzjonijiet kollha tal-Kapitolu IV għandhom japplikaw għall-bastimenti tal-UE li jkunu qed iwettqu sajd sperimentali.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 Mingħajr ħsara għall-paragrafu 4, waqt il-kampanja sperimentali fuq il-baħar, il-bastimenti tal-UE kkonċernati għandhom: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jgħarrfu lill-awtorità kompetenti ta' Greenland li jkunu bdew il-kampanja u jibagħtulha dikjarazzjoni ta' kwalunkwe qabda li jkollhom abbord qabel ma jinbeda s-sajd sperimentali;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jibagħtu, ta' kull ġimgħa, rapport dwar il-qabdiet li jkunu saru kuljum u għal kull refgħa lill-Istitut tar-Riżorsi Naturali ta' Greenland, lill-awtorità kompetenti ta' Greenland u lill-Kummissjoni Ewropea, li jkun jinkludi deskrizzjoni tal-parametri tekniċi tal-kampanja (il-pożizzjoni, il-fond, id-</w:t>
            </w:r>
            <w:r>
              <w:rPr>
                <w:i/>
                <w:noProof/>
              </w:rPr>
              <w:t>data</w:t>
            </w:r>
            <w:r>
              <w:rPr>
                <w:noProof/>
              </w:rPr>
              <w:t xml:space="preserve"> u l-ħin, il-qabdiet u osservazzjonijiet jew kummenti oħrajn);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jiżguraw li abbord ikun hemm osservatur wieħed minn Greenland jew osservatur magħżul mill-awtorità kompetenti ta' Greenland. Ir-rwol tal-osservatur huwa li jiġbor informazzjoni xjentifika mill-qabdiet kif ukoll li jieħu kampjuni minnhom. L-osservatur għandu jiġi ttrattat bħala uffiċjal tal-bastiment, u sid il-bastiment għandu jkopri l-ispejjeż tal-għajxien tal-osservatur għal kemm idum abbord il-bastiment. L-awtoritajiet ta’ Greenland għandhom jiddeċiedu dwar iż-żmien li l-osservatur iqatta’ abbord, dwar kemm għandu jdum abbord u dwar il-portijiet tal-imbark u tal-iżbark tiegħu; kif ukoll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(d)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jgħarrfu lill-awtorità kompetenti ta' Greenland li jkunu temmew il-kampanja sperimentali u jissottomettu l-bastimenti għal spezzjoni qabel ma joħorġu miż-żona tas-sajd ta' Greenland jekk l-Awtorità Kompententi ta' Greenland titlob dan.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 Il-qabdiet li jkunu konsistenti mal-kampanja sperimentali u li jkunu nkisbu matulha jibqgħu l-proprjetà ta' sid il-bastiment.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 L-awtorità kompetenti ta' Greenland għandha taħtar persuna ta' kuntatt li tkun inkarigata tittratta kull problema mhux prevista li tista' tinqala li tista' ttellef l-iżvilupp tas-sajd sperimentali.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8. Abbażi tar-rakkomandazzjonijiet tal-entitajiet konsultattivi xjentifiċi rilevanti, l-awtoritajiet ta' Greenland jistgħu jitolbu li jiġu implimentati miżuri ta' konservazzjoni u ta' ġestjoni b'rabta mas-sajd sperimentali, fosthom l-għeluq ta' ċerti żoni għas-sajd jew l-għeluq tas-sajd matul perijodi taż-żmien partikolari.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9. Il-bastimenti tal-UE kkonċernati għandhom jippreżentaw liż-żewġ Partijiet mhux aktar tard minn 30 jum wara l-konklużjoni tas-sajd sperimentali, rapport ta’ evalwazzjoni li jindirizza bħala minimu;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a) jekk is-sajd ikunx sar skont il-parametri tekniċi proposti; kif ukoll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b) jekk il-benefiċċji mistennija għar-riċerka xjentifika u l-iżviluppi tas-settur tas-sajd kif speċifikat fid-dossier(s) tekniku(ċi) ġewx sodisfatti, u għaliex le jekk inhu hekk;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c) jekk il-bastiment iltaqax ma’ problemi mhux previsti, inklużi qabdiet inċidentali;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d) jekk il-bastiment ikunx issodisfa d-dispożizzjonijiet tal-paragrafu 5 u jekk le, dan għandu jiġi ġġustifikat b’mod xieraq.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10.  Meta l-Partijiet jikkonkludu li sajd sperimentali jkun kiseb riżultati pożittivi u jekk il-Kumitat Konġunt jistabbilixxi opportunitajiet tas-sajd ġodda f’konformità mad-dispożizzjonijiet tal-Artikolu 2(2), l-Artikolu 2(4) u l-Artikolu 7, l-awtoritajiet ta’ Greenland jistgħu joffru opportunitajiet tas-sajd li jkunu proporzjonati għall-użu relattiv tal-kwota mill-bastimenti tal-UE li jkunu pparteċipaw fis-sajd sperimentali fil-ħames (5) snin preċedenti. Il-kwantità allokata lill-UE ma tistax taqbeż il-50 % sakemm Greenland ma tiddeċidix li toffri aktar. Din id-dispożizzjoni għandha tapplika sakemm jiskadi l-protokoll. 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br w:type="page"/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Appendiċijiet ta' dan l-Anness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Appendiċi 1. Formola tal-applikazzjoni għal awtorizzazzjoni għas-sajd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Appendiċi 2. Id-dettalji ta’ kuntatt tal-awtoritajiet kompetenti ta’ Greenland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Appendiċi 3 Proċeduri ta’ Implimentazzjoni tal-Monitoraġġ bis-Satellita (Sistema ta’ Monitoraġġ tal-Bastimenti — VMS)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Appendiċi 4 Il-format tad-</w:t>
      </w:r>
      <w:r>
        <w:rPr>
          <w:i/>
          <w:noProof/>
        </w:rPr>
        <w:t>Data</w:t>
      </w:r>
      <w:r>
        <w:rPr>
          <w:noProof/>
        </w:rPr>
        <w:t xml:space="preserve"> tal-VMS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Appendiċi 5. L-iskema ta' flessibbiltà b'rabta mas-sajd għar-redfish pelaġiku fl-ilmijiet ta' Greenland u fl-ilmijiet taż-żoni tan-NEAFC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br w:type="page"/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Appendiċi 1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Applikazzjoni għal awtorizzazzjoni tas-sajd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Formola tal-applikazzjoni għal awtorizzazzjoni tas-sajd fiż-ŻEE ta’ Greenland u dwar il-kwota ta’ Greenland barra miż-ŻEE ta’ Greenland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784"/>
        <w:gridCol w:w="3828"/>
        <w:gridCol w:w="2222"/>
      </w:tblGrid>
      <w:tr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M/O/C (obbligatorju/fakultattiv/Kundizzjonali)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ind w:left="113"/>
              <w:jc w:val="center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Dettall tal-liċenzja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Tip ta’ liċenzja għall-applikazzjoni (speċi u żona)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Kwantità li saret applikazzjoni għaliha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Perjodu taż-żmien għal awtorizzazzjoni tas-sajd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L-indirizz fejn għandha tintbagħat l-applikazzjoni għall-awtorizzazzjoni tas-sajd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European Commission, Directorate-General for Maritime Affairs and Fisheries, Rue de la Loi 200, B-1049 Brussels, Fax +32 2 2962338 E-mail Mare-licences@ec.europa.eu</w:t>
            </w:r>
          </w:p>
        </w:tc>
      </w:tr>
      <w:t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ind w:left="113"/>
              <w:jc w:val="center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Informazzjoni dwar il-Bastiment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L-Istat tal-Bandiera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Isem il-bastiment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Ittri u numru esterni tal-identifikazzjoni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Sinjal internazzjonali tas-sejħiet bir-radju (IRCS)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Numru tal-OMI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Jekk il-bastiment ikun ġie assenjat numru IMO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Numru ta’ referenza intern tal-Istat tal-bandiera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Sena tal-kostruzzjoni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Port tar-reġistrazzjoni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Tip ta’ Bastiment (kodiċi FAO)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Tip primarju ta’ rkaptu tas-sajd (kodiċi FAO)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Isem/ismijiet preċedenti (stat tal-bandiera, isem, IRCS, u dati għall-bidla)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(c) 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Jekk teżisti informazzjoni preċedenti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Numru tal-Inmarsat/Numru tal-Iridju (Telefown, E-mail)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(c) 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Telefown, E-mail mhux obbligatorju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17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Sidien, indirizz tal-persuna fiżika jew ġuridika, numru tat-telefown, numru tal-Faks u indirizz tal-posta elettronika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(c) 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Faks (mhux obbligatorju)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Ir-rappreżentant (l-aġent), l-isem u l-indirizz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Qawwa tal-magna (f'kW)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Tul totali (L.O.A.)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Tunnellaġġ gross f'TG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Kapaċità tal-friża f'tunnellati kuljum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Kapaċità ta’ tankijiet tal-ilma baħar refriġerati jew imkessħa (RSW, CSW) f’metri kubi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2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20" w:afterLines="20" w:after="48"/>
              <w:ind w:left="113"/>
              <w:jc w:val="left"/>
              <w:rPr>
                <w:rFonts w:eastAsia="Calibri"/>
                <w:noProof/>
                <w:color w:val="FF0000"/>
                <w:szCs w:val="24"/>
              </w:rPr>
            </w:pPr>
            <w:r>
              <w:rPr>
                <w:noProof/>
              </w:rPr>
              <w:t>Ritratt diġitali bil-kulur tal-bastiment, li jkollu riżoluzzjoni adegwata (Mass. 0.5 MB) u li jkun juri l-ġenb tal-bastiment fid-dettall, inkluż isem il-bastiment u n-numru ta’ identifikazzjoni tiegħu li jidhru fuq il-buq.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spacing w:before="20" w:afterLines="20" w:after="48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</w:t>
            </w:r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spacing w:before="20" w:afterLines="20" w:after="48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br w:type="page"/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Appendiċi 2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Id-dettalji ta' kuntatt tal-awtoritajiet kompetenti ta' Greenland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Trażmissjoni tar-rapporti u l-avviżi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Ir-rapporti u l-avviżi li għandhom jingħataw skont it-taqsima 1 tal-Kapitolu IV għandhom jintbagħtu bid-Daniż, bil-Greenlandiż jew bl-Ingliż.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L-avviżi għandhom jintbagħtu permezz tar-radju kostali, tal-faks jew tal-posta elettronika lill-Awtorità tal-kontroll tal-liċenzji tas-sajd ta' Greenland (GFLK) u lill-Kmand Konġunt tal-Artiku (AKO):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GFLK, numru tat-telefown: +299 34 50 00, numru tal-faks: +299 34 63 60,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E-mail: GFLK@NANOQ.GL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AKO, numru tat-telefown: +299 364000, numru tal-faks: +299 364099,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E-mail: JRCC@JRCC.GL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Il-ġurnali ta' abbord tas-sajd għandhom jintbagħtu fl-indirizz li ġej: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L-Awtorità tal-Kontroll tal-Liċenzji tas-Sajd ta’ Greenland (GFLK)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P.O.Box 501, 3900 Nuuk, Greenland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L-applikazzjoni għall-awtorizzazzjoni tas-sajd u għal permessi oħra għandha tiġi kkomunikata lil: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Ministeru tas-Sajd, il-Kaċċa u l-Agrikoltura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Nru tal-faks + 299 346355 jew,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E-mail: APNN@NANOQ.GL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noProof/>
        </w:rPr>
        <w:br w:type="page"/>
      </w:r>
    </w:p>
    <w:p>
      <w:pPr>
        <w:spacing w:before="0" w:after="0"/>
        <w:jc w:val="center"/>
        <w:rPr>
          <w:rFonts w:eastAsia="NSimSun"/>
          <w:b/>
          <w:noProof/>
          <w:spacing w:val="-3"/>
          <w:kern w:val="2"/>
          <w:szCs w:val="24"/>
        </w:rPr>
      </w:pPr>
      <w:r>
        <w:rPr>
          <w:b/>
          <w:noProof/>
          <w:szCs w:val="24"/>
        </w:rPr>
        <w:t>Appendiċi 3</w:t>
      </w:r>
    </w:p>
    <w:p>
      <w:pPr>
        <w:spacing w:before="0" w:after="0"/>
        <w:jc w:val="center"/>
        <w:rPr>
          <w:rFonts w:eastAsia="NSimSun"/>
          <w:b/>
          <w:noProof/>
          <w:spacing w:val="-3"/>
          <w:kern w:val="2"/>
          <w:szCs w:val="24"/>
          <w:lang w:eastAsia="zh-CN" w:bidi="hi-IN"/>
        </w:rPr>
      </w:pPr>
    </w:p>
    <w:p>
      <w:pPr>
        <w:spacing w:before="0" w:after="0"/>
        <w:jc w:val="center"/>
        <w:rPr>
          <w:rFonts w:eastAsia="NSimSun"/>
          <w:b/>
          <w:noProof/>
          <w:spacing w:val="-3"/>
          <w:kern w:val="2"/>
          <w:szCs w:val="24"/>
        </w:rPr>
      </w:pPr>
      <w:r>
        <w:rPr>
          <w:b/>
          <w:noProof/>
          <w:szCs w:val="24"/>
        </w:rPr>
        <w:t xml:space="preserve">Proċeduri li jimplimetaw </w:t>
      </w:r>
    </w:p>
    <w:p>
      <w:pPr>
        <w:spacing w:before="0" w:after="0"/>
        <w:jc w:val="center"/>
        <w:rPr>
          <w:rFonts w:eastAsia="NSimSun"/>
          <w:b/>
          <w:noProof/>
          <w:spacing w:val="-3"/>
          <w:kern w:val="2"/>
          <w:szCs w:val="24"/>
        </w:rPr>
      </w:pPr>
      <w:r>
        <w:rPr>
          <w:b/>
          <w:noProof/>
          <w:szCs w:val="24"/>
        </w:rPr>
        <w:t xml:space="preserve">MONITORAĠĠ BIS-SATELLITA (SISTEMA TA’ MONITORAĠĠ TAL-BASTIMENTI - VMS) </w:t>
      </w:r>
    </w:p>
    <w:p>
      <w:pPr>
        <w:keepNext/>
        <w:tabs>
          <w:tab w:val="left" w:pos="1700"/>
        </w:tabs>
        <w:spacing w:before="360"/>
        <w:jc w:val="left"/>
        <w:outlineLvl w:val="0"/>
        <w:rPr>
          <w:rFonts w:eastAsia="NSimSun"/>
          <w:b/>
          <w:smallCaps/>
          <w:noProof/>
          <w:kern w:val="2"/>
          <w:szCs w:val="24"/>
        </w:rPr>
      </w:pPr>
      <w:r>
        <w:rPr>
          <w:b/>
          <w:smallCaps/>
          <w:noProof/>
          <w:szCs w:val="24"/>
        </w:rPr>
        <w:t>1. Messaġġi dwar il-pożizzjoni tal-bastimenti — il-VMS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1.1. Il-bastimenti tal-UE li jkollhom awtorizzazzjoni tas-sajd maħruġa skont il-Ftehim u li jkunu qed jistadu fiż-żona tas-sajd ta' Greenland jew li jkunu qed jistadu għal kwoti ta' Greenland fl-ilmijiet taż-żoni tan-NEAFC (kif deskritt fl-Appendiċi 5) għandhom ikunu mgħammra b'tagħmir ta' lokalizzazzjoni bis-satellita (Sistema għall-Monitoraġġ tal-Bastimenti — VMS) li tkun qed tiffunzjona għalkollox u li tkun installata abbord il-bastiment u tkun kapaċi tibgħat il-pożizzjoni tagħhom b'mod awtomatiku u kontinwu tal-inqas darba fis-siegħa waqt li jkunu preżenti fiż-żona tas-sajd liċ-Ċentru tal-Monitoraġġ tas-Sajd (ĊMS) tal-Istat tal-bandiera tagħhom li jkun jinsab fuq l-art.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1.2. Meta bastiment li jkun qed jistad skont il-Ftehim dwar is-Sajd u huwa soġġett għall-monitoraġġ bis-satellita skont dan il-Protokoll jidħol fiż-żona tas-sajd, ir-rapporti susseggwenti tal-pożizzjoni għandhom jiġu kkomunikati immedjatament miċ-CSCP tal-Istat tal-bandiera liċ-CSCP ta’ Greenland. Jekk iż-żewġ Partijiet jaqblu, ir-rapporti kollha dwar il-pożizzjoni għandhom jiġu trażmessi permezz tan-nodu ċentrali tal-UE. Dawn il-messaġġi għandhom jintbagħtu kif ġej: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a) b’mod elettroniku bl-użu ta’ protokoll ta’ skambju sikur;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b) fil-mument tad-dħul fiż-żona tas-sajd u ħruġ minnha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c) fil-format indikat fl-Appendiċi 4.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1.3. Kull messaġġ ta’ pożizzjoni għandu jinkludi: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a) l-identifikazzjoni tal-bastiment;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b) il-pożizzjoni ġeografika l-iżjed riċenti tal-bastiment, b'marġni ta' żball tal-pożizzjoni ta' inqas minn 500 metru, u b'intervall ta' fiduċja ta' 99 %;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c) id-</w:t>
      </w:r>
      <w:r>
        <w:rPr>
          <w:i/>
          <w:noProof/>
        </w:rPr>
        <w:t>data</w:t>
      </w:r>
      <w:r>
        <w:rPr>
          <w:noProof/>
        </w:rPr>
        <w:t xml:space="preserve"> u l-ħin f’UTC li fihom tkun ġiet irreġistrata l-pożizzjoni;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d) il-veloċità u r-rotta instantanji tal-bastiment fil-ħin li tiġi rreġistrata l-pożizzjoni.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1.4. Iċ-ĊMS tal-Istat tal-bandiera għandu jiżgura l-ipproċessar awtomatiku u t-trażmissjoni elettronika tal-messaġġi ta' pożizzjoni. Il-messaġġi dwar il-pożizzjoni għandhom jiġu rreġistrati b’mod sigur u maħżuna f’bażi tad-</w:t>
      </w:r>
      <w:r>
        <w:rPr>
          <w:i/>
          <w:noProof/>
        </w:rPr>
        <w:t>data</w:t>
      </w:r>
      <w:r>
        <w:rPr>
          <w:noProof/>
        </w:rPr>
        <w:t xml:space="preserve"> għas-sena kurrenti u s-sena ta’ qabel. Madankollu, f'każ ta' restrizzjonijiet tekniċi, dan il-perjodu jista' jitqassar, bi ftehim reċiproku.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1.5. Il-komponenti tat-tagħmir u tas-softwer tal-VMS għandhom jitħarsu mit-tbagħbis, jiġifieri ma għandhomx jippermettu li jiddaħħlu jew jinħarġu pożizzjonijiet foloz, u ma għandhomx ikunu jistgħu jiġu kkontrollati manwalment. Is-sistema għandha tkun awtomatika għalkollox, u għandha tiffunzjona l-ħin kollu, ikunu xi jkunu l-kundizzjonijiet ambjentali. Għandu jiġi pprojbit li wieħed ikisser it-tagħmir ta' lokalizzazzjoni bis-satellita, li jagħmillu l-ħsara, li ma jħallihx fi stat operattiv jew li jbagħbsu mod ieħor.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1.6. Meta jkun mitlub jew meħtieġ, il-Partijiet jaqblu, għal finijiet ta’ monitoraġġ u spezzjoni, li jiskambjaw informazzjoni dwar it-tagħmir użat.</w:t>
      </w:r>
    </w:p>
    <w:p>
      <w:pPr>
        <w:keepNext/>
        <w:tabs>
          <w:tab w:val="left" w:pos="568"/>
          <w:tab w:val="left" w:pos="1700"/>
        </w:tabs>
        <w:spacing w:before="360" w:line="276" w:lineRule="auto"/>
        <w:ind w:left="284" w:hanging="284"/>
        <w:jc w:val="left"/>
        <w:outlineLvl w:val="0"/>
        <w:rPr>
          <w:rFonts w:eastAsia="NSimSun"/>
          <w:b/>
          <w:smallCaps/>
          <w:noProof/>
          <w:kern w:val="2"/>
          <w:szCs w:val="24"/>
        </w:rPr>
      </w:pPr>
      <w:r>
        <w:rPr>
          <w:b/>
          <w:smallCaps/>
          <w:noProof/>
          <w:szCs w:val="24"/>
        </w:rPr>
        <w:t>2. Nuqqas tekniku jew ħsara li jaffettwaw l-apparat ta’ monitoraġġ abbord il-bastiment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2.1. Fil-każ ta’ nuqqas tekniku jew ħsara li taffettwa l-apparat użat għall-monitoraġġ kontinwu bis-satellita installat abbord il-bastiment tas-sajd, Greenland u l-awtoritajiet tal-Unjoni jridu jkunu infurmati minnufih mill-Istat tal-bandiera.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2.2. It-tagħmir difettuż għandu jiġi sostitwit jew imsewwi mill-ewwel port ta’ waqfa meta s-servizz ikun disponibbli u mill-inqas fi żmien 30 jum tax-xogħol minn meta l-Istat tal-bandiera jkun għarraf liċ-ĊMS ta’ Greenland. Wara dan il-perjodu, il-bastiment inkwistjoni jrid ikun daħal f’port innomimat mill-awtoritajiet ta’ Greenland għal segwitu regolatorju u tiswija, jew jitlaq miż-żona sakemm l-Istat tal-bandiera ma jkunx bagħat ir-rapport ta’ spezzjoni dwar l-apparat difettuż liċ-ĊPS ta’ Greenland u infurmah bir-raġunijiet li wasslu għall-ħsara.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2.3. Sakemm l-apparat jissewwa jew jinbidel, il-kaptan tal-bastiment għandu jibgħat manwalment, bil-posta elettronika, bir-radju jew bil-faks, liċ-ĊPS tal-Istat tal-bandiera, rapport tal-pożizzjoni globali kull erba’ sigħat, inkluż ir-rapporti dwar il-pożizzjoni hekk kif irreġistrata mill-kaptan tal-bastiment skont il-kundizzjonijiet imsemmija fil-paragrafu 1.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2.4. Dawn il-messaġġi manwali għandhom jiġu rreġistrati immedjatament miċ-ĊPS tal-Istat tal-bandiera fil-bażi tad-</w:t>
      </w:r>
      <w:r>
        <w:rPr>
          <w:i/>
          <w:noProof/>
        </w:rPr>
        <w:t>data</w:t>
      </w:r>
      <w:r>
        <w:rPr>
          <w:noProof/>
        </w:rPr>
        <w:t xml:space="preserve"> msemmija fil-paragrafu 1.4 u trażmessi minnufih miċ-ĊPS tal-Istat tal-bandiera lis-ĊPSĊ ta’ Greenland, bl-użu tal-istess format tal-protokoll kif deskritt fl-Appendiċi 4.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2.5. Wara l-perjodu li jirreferi għalih il-paragrafu 2.2, il-bastiment ma jibqax awtorizzat iwettaq attivitajiet tas-sajd fiż-żona tas-sajd ta' Greenland</w:t>
      </w:r>
    </w:p>
    <w:p>
      <w:pPr>
        <w:keepNext/>
        <w:tabs>
          <w:tab w:val="left" w:pos="568"/>
          <w:tab w:val="left" w:pos="1700"/>
        </w:tabs>
        <w:spacing w:before="360" w:line="276" w:lineRule="auto"/>
        <w:ind w:left="284" w:hanging="284"/>
        <w:jc w:val="left"/>
        <w:outlineLvl w:val="0"/>
        <w:rPr>
          <w:rFonts w:eastAsia="NSimSun"/>
          <w:b/>
          <w:smallCaps/>
          <w:noProof/>
          <w:kern w:val="2"/>
          <w:szCs w:val="24"/>
        </w:rPr>
      </w:pPr>
      <w:r>
        <w:rPr>
          <w:b/>
          <w:smallCaps/>
          <w:noProof/>
          <w:szCs w:val="24"/>
        </w:rPr>
        <w:t>3. Komunikazzjoni sigura tal-messaġġi dwar il-pożizzjoni bejn iċ-ĊMS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3.1. Iċ-ĊMS tal-Istat tal-bandiera għandu jibgħat b'mod awtomatiku l-messaġġi dwar il-pożizzjoni tal-bastimenti kkonċernati liċ-ĊMS ta' Greenland.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3.2. Iċ-ĊMS taż-żewġ Partijiet għandhom jiskambjaw id-dettalji ta' kuntatt tagħhom, jiġifieri l-indirizzi tal-posta elettronika u n-numri tal-faks, tat-teleks u tat-telefown tagħhom, u għandhom jgħarrfu minnufih lil xulxin b'kull tibdil f'dawn id-dettalji.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3.3. Mingħajr ħsara għall-implimentazzjoni ta' titjib fil-ġejjieni, it-trażmissjoni tal-messaġġi dwar il-pożizzjoni bejn iċ-ĊMS ikkonċernati u l-Istati tal-bandiera għandha ssir b'mod elettroniku permezz tal-protokoll HTTPS. L-iskambju taċ-ċertifikati għandu jseħħ bejn l-awtoritajiet ta' Greenland u ċ-ĊMS tal-Istat tal-bandiera rilevanti.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3.4. Id-</w:t>
      </w:r>
      <w:r>
        <w:rPr>
          <w:i/>
          <w:noProof/>
        </w:rPr>
        <w:t>data</w:t>
      </w:r>
      <w:r>
        <w:rPr>
          <w:noProof/>
        </w:rPr>
        <w:t xml:space="preserve"> tal-VMS se tintuża skont l-Artikolu 11 ta’ dan il-Protokoll. </w:t>
      </w:r>
    </w:p>
    <w:p>
      <w:pPr>
        <w:keepNext/>
        <w:tabs>
          <w:tab w:val="left" w:pos="568"/>
          <w:tab w:val="left" w:pos="1700"/>
        </w:tabs>
        <w:spacing w:before="360" w:line="276" w:lineRule="auto"/>
        <w:ind w:left="284" w:hanging="284"/>
        <w:jc w:val="left"/>
        <w:outlineLvl w:val="0"/>
        <w:rPr>
          <w:rFonts w:eastAsia="NSimSun"/>
          <w:b/>
          <w:smallCaps/>
          <w:noProof/>
          <w:kern w:val="2"/>
          <w:szCs w:val="24"/>
        </w:rPr>
      </w:pPr>
      <w:r>
        <w:rPr>
          <w:b/>
          <w:smallCaps/>
          <w:noProof/>
          <w:szCs w:val="24"/>
        </w:rPr>
        <w:t>4. Ħsarat fis-sistema tal-komunikazzjoni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4.1. L-awtorità kompetenti ta' Greenland u ċ-ĊMS tal-Istati tal-bandiera tal-UE għandhom jiżguraw li t-tagħmir elettroniku tagħhom ikun kompatibbli u għandhom jgħarrfu lil xulxin minnufih b'kull funzjonament ħażin fil-komunikazzjoni u l-wasla tal-messaġġi dwar il-pożizzjoni bil-għan li tinstab soluzzjoni teknika mill-aktar fis possibbli.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4.2. In-nuqqas ta' komunikazzjoni bejn iċ-ĊMS ma għandux jaffettwa l-operat tal-bastimenti.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4.3. Il-messaġġi kollha li ma jiġux trażmessi waqt li s-sistema ma tkunx qed taħdem, għandhom jintbagħtu malli terġa' tiġi stabbilita l-komunikazzjoni bejn iċ-ĊMS ikkonċernati.</w:t>
      </w:r>
    </w:p>
    <w:p>
      <w:pPr>
        <w:keepNext/>
        <w:tabs>
          <w:tab w:val="left" w:pos="568"/>
          <w:tab w:val="left" w:pos="1700"/>
        </w:tabs>
        <w:spacing w:before="360" w:line="276" w:lineRule="auto"/>
        <w:ind w:left="284" w:hanging="284"/>
        <w:jc w:val="left"/>
        <w:outlineLvl w:val="0"/>
        <w:rPr>
          <w:rFonts w:eastAsia="NSimSun"/>
          <w:b/>
          <w:smallCaps/>
          <w:noProof/>
          <w:kern w:val="2"/>
          <w:szCs w:val="24"/>
        </w:rPr>
      </w:pPr>
      <w:r>
        <w:rPr>
          <w:b/>
          <w:smallCaps/>
          <w:noProof/>
          <w:szCs w:val="24"/>
        </w:rPr>
        <w:t>5. Manutenzjoni ta' ĊMS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5.1. Iċ-ĊMS għandu jiġi mgħarraf bl-operazzjonijiet ippjanati ta' manutenzjoni taċ-ĊMS l-ieħor (programm ta' manutenzjoni) li jistgħu jaffettwaw l-iskambju tad-</w:t>
      </w:r>
      <w:r>
        <w:rPr>
          <w:i/>
          <w:noProof/>
        </w:rPr>
        <w:t>data</w:t>
      </w:r>
      <w:r>
        <w:rPr>
          <w:noProof/>
        </w:rPr>
        <w:t xml:space="preserve"> tal-VMS, mill-inqas 72 siegħa qabel, b'indikazzjoni, jekk ikun possibbli, tad-</w:t>
      </w:r>
      <w:r>
        <w:rPr>
          <w:i/>
          <w:noProof/>
        </w:rPr>
        <w:t>data</w:t>
      </w:r>
      <w:r>
        <w:rPr>
          <w:noProof/>
        </w:rPr>
        <w:t xml:space="preserve"> tal-manutenzjoni u tat-tul ta' żmien tagħha. Għall-operazzjonijiet ta' manutenzjoni li ma jkunux ippjanati, din l-informazzjoni għandha tintbagħat liċ-ĊMS l-ieħor mill-aktar fis possibbli.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5.2. Matul l-operazzjoni ta' manutenzjoni, id-disponibbiltà tad-</w:t>
      </w:r>
      <w:r>
        <w:rPr>
          <w:i/>
          <w:noProof/>
        </w:rPr>
        <w:t>data</w:t>
      </w:r>
      <w:r>
        <w:rPr>
          <w:noProof/>
        </w:rPr>
        <w:t xml:space="preserve"> tal-VMS tista' titpoġġa fi stat ta' stennija sakemm is-sistema terġa' ssir operattiva. Id-</w:t>
      </w:r>
      <w:r>
        <w:rPr>
          <w:i/>
          <w:noProof/>
        </w:rPr>
        <w:t>data</w:t>
      </w:r>
      <w:r>
        <w:rPr>
          <w:noProof/>
        </w:rPr>
        <w:t xml:space="preserve"> tal-VMS ikkonċernata għandha tintbagħat immedjatament wara li tintemm l-operazzjoni ta' manutenzjoni.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5.3. Jekk l-operazzjoni ta' manutenzjoni ddum iktar minn 24 siegħa, id-</w:t>
      </w:r>
      <w:r>
        <w:rPr>
          <w:i/>
          <w:noProof/>
        </w:rPr>
        <w:t>data</w:t>
      </w:r>
      <w:r>
        <w:rPr>
          <w:noProof/>
        </w:rPr>
        <w:t xml:space="preserve"> tal-VMS għandha tintbagħat liċ-ĊMS l-ieħor b'mezz elettroniku alternattiv maqbul b'mod reċiproku.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5.4. Greenland għandu javża lill-awtoritajiet ta' monitoraġġ, kontroll u sorveljanza kompetenti tiegħu sabiex iċ-ĊMS tiegħu ma jqisx li l-bastimenti tal-UE qed jiksru l-obbligi tagħhom minħabba li ma jkunux qed jittrażmettu d-</w:t>
      </w:r>
      <w:r>
        <w:rPr>
          <w:i/>
          <w:noProof/>
        </w:rPr>
        <w:t>data</w:t>
      </w:r>
      <w:r>
        <w:rPr>
          <w:noProof/>
        </w:rPr>
        <w:t xml:space="preserve"> tal-VMS minħabba operazzjoni ta' manutenzjoni ta' ĊMS.</w:t>
      </w:r>
    </w:p>
    <w:p>
      <w:pPr>
        <w:keepNext/>
        <w:tabs>
          <w:tab w:val="left" w:pos="568"/>
          <w:tab w:val="left" w:pos="1700"/>
        </w:tabs>
        <w:spacing w:before="360" w:line="276" w:lineRule="auto"/>
        <w:ind w:left="850" w:hanging="850"/>
        <w:jc w:val="left"/>
        <w:outlineLvl w:val="0"/>
        <w:rPr>
          <w:rFonts w:eastAsia="NSimSun"/>
          <w:b/>
          <w:smallCaps/>
          <w:noProof/>
          <w:kern w:val="2"/>
          <w:szCs w:val="24"/>
        </w:rPr>
      </w:pPr>
      <w:r>
        <w:rPr>
          <w:b/>
          <w:smallCaps/>
          <w:noProof/>
          <w:szCs w:val="24"/>
        </w:rPr>
        <w:t>6. Bidla fil-frekwenza tal-messaġġi dwar il-pożizzjoni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6.1. Abbażi ta’ evidenza dokumentata li tipprova ksur, l-awtoritajiet ta’ Greenland jistgħu jistaqsu liċ-ĊMS tal-Istat tal-bandiera, filwaqt li jibagħtu kopja wkoll lill-Unjoni, li jnaqqas l-intervall biex il-bastiment jibgħat il-messaġġi dwar il-pożizzjoni tiegħu għal kull 30 minuta għal perjodu partikulari tal-investigazzjoni. Greenland għandha tibgħat din l-evidenza dokumentata lill-ĊMS tal-Istat tal-bandiera u lill-Unjoni. Iċ-ĊMS tal-Istat tal-bandiera għandu jibgħat minnufih il-messaġġi dwar il-pożizzjoni lil Greenland fuq il-frekwenza l-ġdida.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6.2. Fi tmiem il-perjodu stabbilit tal-investigazzjoni, Greenland għandha tgħarraf liċ-ĊMS tal-Istat tal-bandiera u lill-Unjoni b’kull monitoraġġ li jista’ jkun meħtieġ.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noProof/>
        </w:rPr>
        <w:br w:type="page"/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Appendiċi 4</w:t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Taqsima 1 — Format NAF VMS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Il-format tad-</w:t>
      </w:r>
      <w:r>
        <w:rPr>
          <w:b/>
          <w:i/>
          <w:noProof/>
          <w:szCs w:val="24"/>
        </w:rPr>
        <w:t>data</w:t>
      </w:r>
      <w:r>
        <w:rPr>
          <w:b/>
          <w:noProof/>
          <w:szCs w:val="24"/>
        </w:rPr>
        <w:t xml:space="preserve"> tal-VMS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Il-format għall-komunikazzjoni tal-messaġġi tal-VMS liċ-Ċentru għall-Monitoraġġ tas-Sajd tal-Parti l-oħra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(1)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Messaġġ ta' “DĦUL”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893"/>
              <w:gridCol w:w="2349"/>
              <w:gridCol w:w="2388"/>
            </w:tblGrid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Element tad-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>: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Kodiċi tal-Qasam: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Obbligatorju/Fakultattiv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Osservazzjonijiet: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Bidu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SR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is-sistema; jindika l-bidu tar-reġistrazzjoni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Indirizz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AD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kodiċi ALFA-3 tal-ISO tal-pajjiż tal-Parti destinatarja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Minn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FR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kodiċi ALFA-3 tal-ISO tal-pajjiż tal-Parti emittenti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RN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in-numru tas-serje tar-reġistrazzjoni fis-sena rilevanti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RD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 xml:space="preserve">Dettall dwar il-messaġġ; 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tat-trażmissjoni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Ħin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RT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ħin tat-trażmissjoni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Tip ta' Messaġġ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TM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it-tip ta’ messaġġ, “ENT”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Kodiċi tar-radju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RC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il-bastiment; is-sinjal internazzjonali tas-sejħa bir-radju tal-bastiment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ta' Referenza Intern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il-bastiment. In-numru uniku tal-bastiment tal-Parti, mogħti bħala l-kodiċi ALFA-3 tal-ISO tal-pajjiż tal-bandiera segwit min-numru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Estern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XR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il-bastiment; in-numru mmarkat fuq il-ġenb tal-bastiment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Il-latitudni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LT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il-pożizzjoni ± 99.999 (WGS-84)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Il-lonġitudni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LG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il-pożizzjoni ±999.999 (WGS-84)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Veloċità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SP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Il-veloċità tal-bastiment f’wieħed minn kull għaxar mili nawtiċi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Ir-rotta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CO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ir-rotta tal-bastiment fuq skala ta’ 360°grad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i/>
                      <w:noProof/>
                    </w:rPr>
                    <w:t>Data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DA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tal-pożizzjoni f’UTC (SSSSXXJJ)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Ħin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TI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il-ħin tal-pożizzjoni f’UTC (SSMM)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Tmiem ir-Reġistrazzjoni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ER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is-sistema; jindika tmiem ir-reġistrazzjoni</w:t>
                  </w:r>
                </w:p>
              </w:tc>
            </w:tr>
          </w:tbl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(2)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Messaġġ/rapport ta' “POŻIZZJONI”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893"/>
              <w:gridCol w:w="2349"/>
              <w:gridCol w:w="2388"/>
            </w:tblGrid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Element tad-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>: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Kodiċi tal-Qasam: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Obbligatorju/Fakultattiv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Osservazzjonijiet: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Bidu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SR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is-sistema; jindika l-bidu tar-reġistrazzjoni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Indirizz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AD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kodiċi ALFA-3 tal-ISO tal-pajjiż tal-Parti destinatarja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Minn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FR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kodiċi ALFA-3 tal-ISO tal-pajjiż tal-Parti emittenti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RN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in-numru tas-serje tar-reġistrazzjoni fis-sena rilevanti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RD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 xml:space="preserve">Dettall dwar il-messaġġ; 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tat-trażmissjoni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Ħin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RT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ħin tat-trażmissjoni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Tip ta' Messaġġ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TM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tip ta’ messaġġ, ‘POS’</w:t>
                  </w:r>
                  <w:hyperlink r:id="rId15" w:anchor="ntr1-L_2015305EN.01002501-E0001" w:history="1">
                    <w:r>
                      <w:rPr>
                        <w:noProof/>
                        <w:szCs w:val="24"/>
                        <w:u w:val="single"/>
                      </w:rPr>
                      <w:t> (1)</w:t>
                    </w:r>
                  </w:hyperlink>
                  <w:r>
                    <w:rPr>
                      <w:noProof/>
                    </w:rPr>
                    <w:t xml:space="preserve"> 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Kodiċi tas-Sejħiet bir-radju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RC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il-bastiment; is-sinjal internazzjonali tas-sejħiet bir-radju tal-bastiment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ta' Referenza Intern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il-bastiment. In-numru uniku tal-bastiment tal-Parti, mogħti bħala l-kodiċi ALFA-3 tal-ISO tal-pajjiż tal-bandiera segwit min-numru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Estern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XR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il-bastiment; in-numru mmarkat fuq il-ġenb tal-bastiment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Il-latitudni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LT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il-pożizzjoni ± 99.999 (WGS-84)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Il-lonġitudni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LG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il-pożizzjoni ±999.999 (WGS-84)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Attività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AC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  <w:hyperlink r:id="rId16" w:anchor="ntr2-L_2015305EN.01002501-E0002" w:history="1">
                    <w:r>
                      <w:rPr>
                        <w:noProof/>
                        <w:szCs w:val="24"/>
                        <w:u w:val="single"/>
                      </w:rPr>
                      <w:t> (2)</w:t>
                    </w:r>
                  </w:hyperlink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“ANC” jindika qagħda ta’ rappurtar imnaqqas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Veloċità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SP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Il-veloċità tal-bastiment f’wieħed minn kull għaxar mili nawtiċi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Ir-rotta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CO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ir-rotta tal-bastiment fuq skala ta’ 360°grad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i/>
                      <w:noProof/>
                    </w:rPr>
                    <w:t>Data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DA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tal-pożizzjoni f’UTC (SSSSXXJJ)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Ħin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TI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il-ħin tal-pożizzjoni f’UTC (SSMM)</w:t>
                  </w:r>
                </w:p>
              </w:tc>
            </w:tr>
            <w:tr>
              <w:tc>
                <w:tcPr>
                  <w:tcW w:w="1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Tmiem ir-Reġistrazzjoni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ER</w:t>
                  </w:r>
                </w:p>
              </w:tc>
              <w:tc>
                <w:tcPr>
                  <w:tcW w:w="11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is-sistema; jindika tmiem ir-reġistrazzjoni</w:t>
                  </w:r>
                </w:p>
              </w:tc>
            </w:tr>
          </w:tbl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(3)</w:t>
            </w:r>
          </w:p>
        </w:tc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Messaġġ ta' “ĦRUĠ”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1892"/>
              <w:gridCol w:w="2349"/>
              <w:gridCol w:w="2387"/>
            </w:tblGrid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Element tad-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>: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Kodiċi tal-Qasam: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Obbligatorju/Fakultattiv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Osservazzjonijiet: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Bidu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SR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is-sistema; jindika l-bidu tar-reġistrazzjoni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Indirizz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AD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kodiċi ALFA-3 tal-ISO tal-pajjiż tal-Parti destinatarja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Minn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FR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kodiċi ALFA-3 tal-ISO tal-pajjiż tal-Parti emittenti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RN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in-numru tas-serje tar-reġistrazzjoni fis-sena rilevanti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RD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 xml:space="preserve">Dettall dwar il-messaġġ; 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tat-trażmissjoni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Ħin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RT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ħin tat-trażmissjoni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Tip ta' Messaġġ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TM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il-messaġġ; it-tip ta’ messaġġ, “EXI”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Kodiċi tar-radju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RC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il-bastiment; is-sinjal internazzjonali tas-sejħiet bir-radju tal-bastiment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ta' Referenza Intern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IR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il-bastiment. In-numru uniku tal-bastiment tal-Parti, mogħti bħala l-kodiċi ALFA-3 tal-ISO tal-pajjiż tal-bandiera segwit min-numru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Numru Estern tar-Reġistrazzjoni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XR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O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il-bastiment; in-numru mmarkat fuq il-ġenb tal-bastiment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i/>
                      <w:noProof/>
                    </w:rPr>
                    <w:t>Data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DA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tal-pożizzjoni f’UTC (SSSSXXJJ)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Ħin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TI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il-pożizzjoni; il-ħin tal-pożizzjoni f’UTC (SSMM)</w:t>
                  </w:r>
                </w:p>
              </w:tc>
            </w:tr>
            <w:tr>
              <w:tc>
                <w:tcPr>
                  <w:tcW w:w="1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Tmiem ir-Reġistrazzjoni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ER</w:t>
                  </w:r>
                </w:p>
              </w:tc>
              <w:tc>
                <w:tcPr>
                  <w:tcW w:w="11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M</w:t>
                  </w:r>
                </w:p>
              </w:tc>
              <w:tc>
                <w:tcPr>
                  <w:tcW w:w="14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Dettall dwar is-sistema; jindika tmiem ir-reġistrazzjoni</w:t>
                  </w:r>
                </w:p>
              </w:tc>
            </w:tr>
          </w:tbl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770"/>
      </w:tblGrid>
      <w:tr>
        <w:tc>
          <w:tcPr>
            <w:tcW w:w="0" w:type="auto"/>
            <w:hideMark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(4)</w:t>
            </w:r>
          </w:p>
        </w:tc>
        <w:tc>
          <w:tcPr>
            <w:tcW w:w="0" w:type="auto"/>
          </w:tcPr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Dettalji tal-format</w:t>
            </w:r>
          </w:p>
          <w:p>
            <w:pPr>
              <w:spacing w:before="0" w:after="16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Kull messaġġ fi trażmissjoni tad-</w:t>
            </w:r>
            <w:r>
              <w:rPr>
                <w:i/>
                <w:noProof/>
              </w:rPr>
              <w:t>data</w:t>
            </w:r>
            <w:r>
              <w:rPr>
                <w:noProof/>
              </w:rPr>
              <w:t xml:space="preserve"> huwa strutturat kif ġej: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510"/>
            </w:tblGrid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linja mmejla doppja (//) u l-kodiċi “SR” jindikaw il-bidu tal-messaġġ,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linja mmejla doppja (//) u l-kodiċi tal-qasam jindikaw il-bidu ta' element tad-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linja mmejla waħda (/) tissepara l-kodiċi tal-qasam minn mad-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il-pari tad-</w:t>
                  </w:r>
                  <w:r>
                    <w:rPr>
                      <w:i/>
                      <w:noProof/>
                    </w:rPr>
                    <w:t>data</w:t>
                  </w:r>
                  <w:r>
                    <w:rPr>
                      <w:noProof/>
                    </w:rPr>
                    <w:t xml:space="preserve"> huma mifrudin bi spazju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0" w:after="160" w:line="256" w:lineRule="auto"/>
                    <w:jc w:val="left"/>
                    <w:rPr>
                      <w:rFonts w:eastAsia="Calibri"/>
                      <w:noProof/>
                      <w:szCs w:val="24"/>
                    </w:rPr>
                  </w:pPr>
                  <w:r>
                    <w:rPr>
                      <w:noProof/>
                    </w:rPr>
                    <w:t>il-kodiċi “ER” u linja mmejla doppja (//) jindikaw tmiem ir-reġistrazzjoni.</w:t>
                  </w:r>
                </w:p>
              </w:tc>
            </w:tr>
          </w:tbl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Il-kodiċijiet tal-qasam kollha mogħtija f'dan l-Anness huma fil-Format tal-Atlantiku tat-Tramuntana, kif deskritt fl-Iskema ta' Kontroll u Infurzar tan-NEAFC.</w:t>
      </w:r>
    </w:p>
    <w:p>
      <w:pPr>
        <w:spacing w:before="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pict>
          <v:rect id="_x0000_i1026" style="width:90.75pt;height:1pt" o:hrpct="200" o:hrstd="t" o:hrnoshade="t" o:hr="t" fillcolor="black" stroked="f"/>
        </w:pic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hyperlink r:id="rId17" w:anchor="ntc1-L_2015305EN.01002501-E0001" w:history="1">
        <w:r>
          <w:rPr>
            <w:noProof/>
            <w:szCs w:val="24"/>
            <w:u w:val="single"/>
          </w:rPr>
          <w:t>(1)</w:t>
        </w:r>
      </w:hyperlink>
      <w:r>
        <w:rPr>
          <w:noProof/>
        </w:rPr>
        <w:t> It-tip ta' messaġġ għandu jiġi mmarkat bl-ittri “MAN” fil-każ ta' rapporti mibgħuta minn bastimenti b'tagħmir difettuż ta' lokalizzazzjoni bis-satellita.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hyperlink r:id="rId18" w:anchor="ntc2-L_2015305EN.01002501-E0002" w:history="1">
        <w:r>
          <w:rPr>
            <w:noProof/>
            <w:szCs w:val="24"/>
            <w:u w:val="single"/>
          </w:rPr>
          <w:t>(2)</w:t>
        </w:r>
      </w:hyperlink>
      <w:r>
        <w:rPr>
          <w:noProof/>
        </w:rPr>
        <w:t>  Dan japplika biss jekk il-bastiment ikun qed jittrażmetti messaġġi tal-“POS” bi frekwenza mnaqqsa.</w:t>
      </w:r>
    </w:p>
    <w:p>
      <w:pPr>
        <w:spacing w:before="0" w:after="160" w:line="256" w:lineRule="auto"/>
        <w:jc w:val="left"/>
        <w:rPr>
          <w:rFonts w:eastAsia="Calibri"/>
          <w:b/>
          <w:noProof/>
          <w:szCs w:val="24"/>
        </w:rPr>
      </w:pPr>
      <w:r>
        <w:rPr>
          <w:noProof/>
        </w:rPr>
        <w:br w:type="page"/>
      </w:r>
    </w:p>
    <w:p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Appendiċi 5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L-iskema ta' flessibbiltà b'rabta mas-sajd għar-redfish pelaġiku fl-ilmijiet ta' Greenland u fl-ilmijiet taż-żoni tan-NEAFC 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1.   Biex bastiment jistad għar-redfish pelaġiku fil-qafas tal-iskema ta' flessibbiltà b'rabta mas-sajd għal din it-tip ta' ħuta fl-ilmijiet ta' Greenland u fl-ilmijiet taż-żoni tan-NEAFC, huwa għandu jkollu awtorizzazzjoni tas-sajd maħruġa minn Greenland skont id-dispożizzjonijiet tal-Kapitolu II tal-Anness tal-Protokoll. L-applikazzjoni u l-awtorizzazzjoni tas-sajd se jirreferu biċ-ċar għall-attivitajiet 'il barra miż-ŻEE ta' Greenland.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2.   Fiż-żona regolatorja tan-NEAFC għandhom jitħarsu l-miżuri kollha adottati min-NEAFC b'rabta ma' dan it-tip ta' sajd.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   Bastiment jista' jistad għar-redfish fil-qafas tal-kwota tiegħu ta' Greenland għal din it-tip ta' ħuta biss ladarba jkun uża sehmu mill-kwota tal-UE għar-redfish tan-NEAFC allokat mill-Istat tal-bandiera.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4.   Bastiment jista’ jistad il-kwota tiegħu ta’ Greenland fl-istess żona tan-NEAFC, fejn tkun inqabdet il-kwota tan-NEAFC, suġġett għall-paragrafu 5 hawn taħt.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5.   Bastiment jista' jistad għall-ħut fil-qafas tal-kwota tiegħu ta' Greenland fiż-żona ta' konservazzjoni tar-redfish bil-kundizzjonijiet stipulati fir-rakkomandazzjoni tan-NEAFC dwar il-ġestjoni tar-redfish fil-baħar Irminger u fl-ilmijiet ta' madwaru, minbarra fi kwalunkwe parti li tinsab fiż-żona tas-sajd tal-Iżlanda.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6.   Bastiment li jkun qed iwettaq attivitajiet tas-sajd fiż-żona regolatorja tan-NEAFC għandu jibgħat rapport tal-VMS dwar il-pożizzjoni tiegħu lin-NEAFC permezz taċ-ĊMS tal-Istat tal-bandiera tiegħu skont ir-rekwiżiti regolatorji. Waqt li bastiment ikun qed jistad għall-ħut fiż-żona ta' konservazzjoni tar-redfish tan-NEAFC fil-qafas tal-kwota ta' Greenland, iċ-ĊMS tal-Istat tal-bandiera għandu jirranġa b'mod speċifiku biex ir-riżultati tat-teħid tar-rapport tal-VMS dwar il-pożizzjoni tal-bastiment ta' kull siegħa jintbagħtu liċ-ĊMS ta' Greenland kważi f'ħin reali.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7.   Il-kaptan tal-bastiment għandu jiżgura li meta jkun qed jibgħat ir-rapporti lin-NEAFC u lill-awtoritajiet ta' Greenland, il-qabdiet tar-redfish li jkunu nqabdu fiż-żona regolatorja tan-NEAFC abbażi tal-iskema ta' flessibbiltà ta' Greenland jiġu identifikati biċ-ċar bħala qabdiet li saru abbażi tal-awtorizzazzjoni tas-sajd ta' Greenland maħruġa fil-qafas tal-iskema ta' flessibbiltà.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(a)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Qabel ma bastiment jibda jistad abbażi tal-awtorizzazzjoni tas-sajd ta' Greenland tiegħu, huwa għandu jibgħat rapport ta' AVVIŻ TA' AZZJONI.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3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(b)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Meta bastiment ikun qed jistad abbażi ta' awtorizzazzjoni tas-sajd ta' Greenland, huwa għandu jibgħat ta' kuljum rapport TAL-QABDIET TA' KULJUM sa mhux aktar tard minn 23:59 UTC.</w:t>
            </w:r>
          </w:p>
        </w:tc>
      </w:tr>
    </w:tbl>
    <w:p>
      <w:pPr>
        <w:spacing w:before="0" w:after="0" w:line="256" w:lineRule="auto"/>
        <w:jc w:val="left"/>
        <w:rPr>
          <w:rFonts w:eastAsia="Calibri"/>
          <w:noProof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6"/>
      </w:tblGrid>
      <w:tr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(c)</w:t>
            </w:r>
          </w:p>
        </w:tc>
        <w:tc>
          <w:tcPr>
            <w:tcW w:w="0" w:type="auto"/>
            <w:hideMark/>
          </w:tcPr>
          <w:p>
            <w:pPr>
              <w:spacing w:before="0" w:after="0" w:line="256" w:lineRule="auto"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Malli bastiment jieqaf mill-attivitajiet tas-sajd tiegħu marbutin mal-kwota ta' Greenland, huwa għandu jibgħat rapport TA' TMIEM L-AZZJONI.</w:t>
            </w:r>
          </w:p>
        </w:tc>
      </w:tr>
    </w:tbl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(e) Ir-RAPPORT TA' AVVIŻ TA' AZZJONI, ir-RAPPORT TAL-QABDIET TA' KULJUM u r-RAPPORT TA' TMIEM L-AZZJONI għandhom isiru skont it-Taqsima 2 tal-Kapitolu IV tal-Anness.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8.   Sabiex jitħarsu iktar iż-żoni ta' estrużjoni tal-larva, l-attivitajiet tas-sajd ma għandhomx jibdew qabel id-</w:t>
      </w:r>
      <w:r>
        <w:rPr>
          <w:i/>
          <w:noProof/>
        </w:rPr>
        <w:t>data</w:t>
      </w:r>
      <w:r>
        <w:rPr>
          <w:noProof/>
        </w:rPr>
        <w:t xml:space="preserve"> stipulata fir-rakkomandazzjoni tan-NEAFC dwar il-ġestjoni tar-redfish fil-baħar Irminger u fl-ilmijiet ta' madwaru.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9.   L-Istat tal-bandiera għandu jibgħat rapporti dwar il-qabdiet li jkunu saru abbażi tal-kwota ta' Greenland fl-ilmijiet ta' Greenland u fiż-żona regolatorja tan-NEAFC lill-awtoritajiet tal-UE. Dawn għandhom jinkludu l-qabdiet kollha li jkunu saru fil-qafas tal-iskema ta' flessibbiltà u għandhom jidentifikaw biċ-ċar il-qabdiet u l-awtorizzazzjonijiet tas-sajd korrispondenti.</w:t>
      </w:r>
    </w:p>
    <w:p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10.   Fi tmiem l-istaġun tas-sajd kull ĊMS ta' Stat tal-bandiera għandu jibgħat lill-awtoritajiet ta' Greenland l-istatistika dwar il-qabdiet marbuta mas-sajd għar-redfish pelaġiku li jkun sar fil-qafas ta' din l-iskema ta' flessibbiltà.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 xml:space="preserve">Kwalunkwe allokazzjoni ta’ Redfish għandha tkun konformi mal-ftehim ta’ ġestjoni u d-deċiżjonijiet meħuda fil-livell tan-NEAFC. </w:t>
      </w:r>
    </w:p>
    <w:p>
      <w:pPr>
        <w:pStyle w:val="FootnoteText"/>
        <w:rPr>
          <w:sz w:val="16"/>
          <w:szCs w:val="16"/>
        </w:rPr>
      </w:pPr>
    </w:p>
  </w:footnote>
  <w:footnote w:id="2">
    <w:p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>RED huwa l-kodiċi tal-FAO għas-Sebastes spp. Madankollu, għar-rapportar tal-qabdiet l-ispeċijiet għandhom jiġu kkodifikati skont l-ispeċi (REG, REB).</w:t>
      </w:r>
    </w:p>
    <w:p>
      <w:pPr>
        <w:pStyle w:val="FootnoteText"/>
        <w:rPr>
          <w:sz w:val="16"/>
          <w:szCs w:val="16"/>
        </w:rPr>
      </w:pPr>
    </w:p>
  </w:footnote>
  <w:footnote w:id="3">
    <w:p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 xml:space="preserve">Is-sajd għandu jsir minn mhux iktar minn 6 bastimenti jistadu fl-istess ħin. </w:t>
      </w:r>
    </w:p>
  </w:footnote>
  <w:footnote w:id="4">
    <w:p>
      <w:pPr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 xml:space="preserve">Meta jinqabad, wara kwota minima għal Greenland ta’ 25.000 tunnellata skont it-TAC inizjali, intermedju u finali, l-Unjoni għandha tiġi offruta opportunitajiet tas-sajd kif disponibbli sa massimu ta’ 7.7 % tat-TAC applikabbli tal-capelin matul l-istaġun tas-sajd u f’konformità mad-dispożizzjonijiet tal-Artikolu 2(2) u 2(3).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>Kwalunkwe kwota ta’ Kavalli trasferita minn Greenland ser tiddependi fuq il-parteċipazzjoni ta’ Greenland bħala firmatarja, mal-UE, għall-Arranġament ta’ Qsim tal-Istati Kostali dwar il-ġestjoni tal-Kavalli</w:t>
      </w:r>
    </w:p>
  </w:footnote>
  <w:footnote w:id="6">
    <w:p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 xml:space="preserve">Ir-roundnose grenadier u r-roughhead grenadier m'għandhomx ikunu fil-mira tas-sajd u għandhom jinqabdu biss bħala qabdiet inċidentali flimkien ma' speċijiet oħrajn fil-mira u l-qabdiet tagħhom għandhom jiġu rrappurtati b'mod separat. 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8415E7"/>
    <w:multiLevelType w:val="multilevel"/>
    <w:tmpl w:val="7DD26302"/>
    <w:lvl w:ilvl="0">
      <w:start w:val="1"/>
      <w:numFmt w:val="decimal"/>
      <w:pStyle w:val="ListNumber"/>
      <w:lvlText w:val="(%1)"/>
      <w:lvlJc w:val="left"/>
      <w:pPr>
        <w:tabs>
          <w:tab w:val="num" w:pos="851"/>
        </w:tabs>
        <w:ind w:left="851" w:hanging="709"/>
      </w:pPr>
      <w:rPr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559"/>
        </w:tabs>
        <w:ind w:left="155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268"/>
        </w:tabs>
        <w:ind w:left="2268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9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25"/>
  </w:num>
  <w:num w:numId="9">
    <w:abstractNumId w:val="27"/>
  </w:num>
  <w:num w:numId="10">
    <w:abstractNumId w:val="26"/>
  </w:num>
  <w:num w:numId="11">
    <w:abstractNumId w:val="29"/>
  </w:num>
  <w:num w:numId="12">
    <w:abstractNumId w:val="7"/>
  </w:num>
  <w:num w:numId="13">
    <w:abstractNumId w:val="13"/>
  </w:num>
  <w:num w:numId="14">
    <w:abstractNumId w:val="2"/>
  </w:num>
  <w:num w:numId="15">
    <w:abstractNumId w:val="18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2"/>
  </w:num>
  <w:num w:numId="37">
    <w:abstractNumId w:val="28"/>
  </w:num>
  <w:num w:numId="38">
    <w:abstractNumId w:val="10"/>
  </w:num>
  <w:num w:numId="39">
    <w:abstractNumId w:val="14"/>
  </w:num>
  <w:num w:numId="40">
    <w:abstractNumId w:val="6"/>
  </w:num>
  <w:num w:numId="41">
    <w:abstractNumId w:val="24"/>
  </w:num>
  <w:num w:numId="42">
    <w:abstractNumId w:val="5"/>
  </w:num>
  <w:num w:numId="43">
    <w:abstractNumId w:val="16"/>
  </w:num>
  <w:num w:numId="44">
    <w:abstractNumId w:val="21"/>
  </w:num>
  <w:num w:numId="45">
    <w:abstractNumId w:val="22"/>
  </w:num>
  <w:num w:numId="46">
    <w:abstractNumId w:val="9"/>
  </w:num>
  <w:num w:numId="47">
    <w:abstractNumId w:val="20"/>
  </w:num>
  <w:num w:numId="4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pt-PT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a-DK" w:vendorID="64" w:dllVersion="131078" w:nlCheck="1" w:checkStyle="0"/>
  <w:activeWritingStyle w:appName="MSWord" w:lang="en-IE" w:vendorID="64" w:dllVersion="131078" w:nlCheck="1" w:checkStyle="1"/>
  <w:activeWritingStyle w:appName="MSWord" w:lang="nl-BE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03 23:24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9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CDF52E8-99EB-43B1-B37E-7B5AD038D1EE"/>
    <w:docVar w:name="LW_COVERPAGE_TYPE" w:val="1"/>
    <w:docVar w:name="LW_CROSSREFERENCE" w:val="&lt;UNUSED&gt;"/>
    <w:docVar w:name="LW_DocType" w:val="ANNEX"/>
    <w:docVar w:name="LW_EMISSION" w:val="16.2.2021"/>
    <w:docVar w:name="LW_EMISSION_ISODATE" w:val="2021-02-16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l-iffirmar, f'isem l-Unjoni Ewropea, u l-applikazzjoni provvi\u380?orja ta' Ftehim ta' S\u295?ubija dwar is-Sajd Sostenibbli bejn l-Unjoni Ewropea, minn na\u295?a wa\u295?da, u l-Gvern ta' Greenland u l-Gvern tad-Danimarka, min-na\u295?a l-o\u295?ra u l-Protokoll ta' Implimentazzjoni tieg\u295?u"/>
    <w:docVar w:name="LW_OBJETACTEPRINCIPAL.CP" w:val="dwar l-iffirmar, f'isem l-Unjoni Ewropea, u l-applikazzjoni provvi\u380?orja ta' Ftehim ta' S\u295?ubija dwar is-Sajd Sostenibbli bejn l-Unjoni Ewropea, minn na\u295?a wa\u295?da, u l-Gvern ta' Greenland u l-Gvern tad-Danimarka, min-na\u295?a l-o\u295?ra u l-Protokoll ta' Implimentazzjoni tieg\u295?u"/>
    <w:docVar w:name="LW_PART_NBR" w:val="1"/>
    <w:docVar w:name="LW_PART_NBR_TOTAL" w:val="1"/>
    <w:docVar w:name="LW_REF.INST.NEW" w:val="COM"/>
    <w:docVar w:name="LW_REF.INST.NEW_ADOPTED" w:val="final"/>
    <w:docVar w:name="LW_REF.INST.NEW_TEXT" w:val="(2021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left="4748" w:hanging="708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left="5456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left="6164" w:hanging="708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mt-MT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365F91" w:themeColor="accent1" w:themeShade="BF"/>
      <w:lang w:val="mt-MT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color w:val="243F60" w:themeColor="accent1" w:themeShade="7F"/>
      <w:lang w:val="mt-MT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eastAsia="Times New Roman" w:hAnsi="Arial" w:cs="Times New Roman"/>
      <w:sz w:val="20"/>
      <w:szCs w:val="20"/>
      <w:lang w:val="mt-MT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eastAsia="Times New Roman" w:hAnsi="Arial" w:cs="Times New Roman"/>
      <w:i/>
      <w:sz w:val="20"/>
      <w:szCs w:val="20"/>
      <w:lang w:val="mt-MT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="Times New Roman" w:hAnsi="Arial" w:cs="Times New Roman"/>
      <w:i/>
      <w:sz w:val="18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  <w:lang w:val="mt-MT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pPr>
      <w:spacing w:before="0" w:after="140" w:line="276" w:lineRule="auto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">
    <w:name w:val="List"/>
    <w:basedOn w:val="Normal"/>
    <w:uiPriority w:val="99"/>
    <w:unhideWhenUsed/>
    <w:pPr>
      <w:spacing w:before="0" w:after="160" w:line="259" w:lineRule="auto"/>
      <w:ind w:left="283" w:hanging="283"/>
      <w:contextualSpacing/>
      <w:jc w:val="left"/>
    </w:pPr>
    <w:rPr>
      <w:rFonts w:asciiTheme="minorHAnsi" w:hAnsiTheme="minorHAnsi" w:cstheme="minorBidi"/>
      <w:sz w:val="22"/>
    </w:rPr>
  </w:style>
  <w:style w:type="paragraph" w:styleId="List2">
    <w:name w:val="List 2"/>
    <w:basedOn w:val="Normal"/>
    <w:uiPriority w:val="99"/>
    <w:unhideWhenUsed/>
    <w:pPr>
      <w:spacing w:before="0" w:after="160" w:line="259" w:lineRule="auto"/>
      <w:ind w:left="566" w:hanging="283"/>
      <w:contextualSpacing/>
      <w:jc w:val="left"/>
    </w:pPr>
    <w:rPr>
      <w:rFonts w:asciiTheme="minorHAnsi" w:hAnsiTheme="minorHAnsi" w:cstheme="minorBidi"/>
      <w:sz w:val="22"/>
    </w:rPr>
  </w:style>
  <w:style w:type="paragraph" w:styleId="List3">
    <w:name w:val="List 3"/>
    <w:basedOn w:val="Normal"/>
    <w:uiPriority w:val="99"/>
    <w:unhideWhenUsed/>
    <w:pPr>
      <w:spacing w:before="0" w:after="160" w:line="259" w:lineRule="auto"/>
      <w:ind w:left="849" w:hanging="283"/>
      <w:contextualSpacing/>
      <w:jc w:val="left"/>
    </w:pPr>
    <w:rPr>
      <w:rFonts w:asciiTheme="minorHAnsi" w:hAnsiTheme="minorHAnsi" w:cstheme="minorBidi"/>
      <w:sz w:val="22"/>
    </w:rPr>
  </w:style>
  <w:style w:type="paragraph" w:styleId="ListContinue">
    <w:name w:val="List Continue"/>
    <w:basedOn w:val="Normal"/>
    <w:uiPriority w:val="99"/>
    <w:unhideWhenUsed/>
    <w:pPr>
      <w:spacing w:before="0" w:line="259" w:lineRule="auto"/>
      <w:ind w:left="283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nhideWhenUsed/>
    <w:qFormat/>
    <w:pPr>
      <w:spacing w:before="0" w:after="200"/>
      <w:jc w:val="left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noteCharacters">
    <w:name w:val="Footnote Characters"/>
    <w:uiPriority w:val="99"/>
    <w:qFormat/>
  </w:style>
  <w:style w:type="character" w:customStyle="1" w:styleId="FootnoteAnchor">
    <w:name w:val="Footnote Anchor"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mt-MT"/>
    </w:rPr>
  </w:style>
  <w:style w:type="paragraph" w:customStyle="1" w:styleId="AddressTL">
    <w:name w:val="AddressTL"/>
    <w:basedOn w:val="Normal"/>
    <w:next w:val="Normal"/>
    <w:uiPriority w:val="99"/>
    <w:pPr>
      <w:spacing w:before="0" w:after="720"/>
      <w:jc w:val="left"/>
    </w:pPr>
    <w:rPr>
      <w:rFonts w:eastAsia="Times New Roman"/>
      <w:szCs w:val="20"/>
    </w:rPr>
  </w:style>
  <w:style w:type="paragraph" w:customStyle="1" w:styleId="AddressTR">
    <w:name w:val="AddressTR"/>
    <w:basedOn w:val="Normal"/>
    <w:next w:val="Normal"/>
    <w:uiPriority w:val="99"/>
    <w:pPr>
      <w:spacing w:before="0" w:after="720"/>
      <w:ind w:left="5103"/>
      <w:jc w:val="left"/>
    </w:pPr>
    <w:rPr>
      <w:rFonts w:eastAsia="Times New Roman"/>
      <w:szCs w:val="20"/>
    </w:rPr>
  </w:style>
  <w:style w:type="paragraph" w:styleId="BlockText">
    <w:name w:val="Block Text"/>
    <w:basedOn w:val="Normal"/>
    <w:uiPriority w:val="99"/>
    <w:pPr>
      <w:spacing w:before="0"/>
      <w:ind w:left="1440" w:right="144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uiPriority w:val="99"/>
    <w:pPr>
      <w:spacing w:before="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3">
    <w:name w:val="Body Text 3"/>
    <w:basedOn w:val="Normal"/>
    <w:link w:val="BodyText3Char"/>
    <w:uiPriority w:val="99"/>
    <w:pPr>
      <w:spacing w:before="0"/>
    </w:pPr>
    <w:rPr>
      <w:rFonts w:eastAsia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20"/>
      <w:lang w:val="mt-MT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 w:line="240" w:lineRule="auto"/>
      <w:ind w:firstLine="210"/>
      <w:jc w:val="both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eastAsia="Times New Roman" w:hAnsi="Times New Roman" w:cs="Times New Roman"/>
      <w:kern w:val="2"/>
      <w:sz w:val="24"/>
      <w:szCs w:val="20"/>
      <w:lang w:val="mt-MT" w:eastAsia="zh-CN" w:bidi="hi-IN"/>
    </w:rPr>
  </w:style>
  <w:style w:type="paragraph" w:styleId="BodyTextIndent">
    <w:name w:val="Body Text Indent"/>
    <w:basedOn w:val="Normal"/>
    <w:link w:val="BodyTextIndentChar"/>
    <w:uiPriority w:val="99"/>
    <w:pPr>
      <w:spacing w:before="0"/>
      <w:ind w:left="283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Indent2">
    <w:name w:val="Body Text Indent 2"/>
    <w:basedOn w:val="Normal"/>
    <w:link w:val="BodyTextIndent2Char"/>
    <w:uiPriority w:val="99"/>
    <w:pPr>
      <w:spacing w:before="0"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Indent3">
    <w:name w:val="Body Text Indent 3"/>
    <w:basedOn w:val="Normal"/>
    <w:link w:val="BodyTextIndent3Char"/>
    <w:uiPriority w:val="99"/>
    <w:pPr>
      <w:spacing w:before="0"/>
      <w:ind w:left="283"/>
    </w:pPr>
    <w:rPr>
      <w:rFonts w:eastAsia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20"/>
      <w:lang w:val="mt-MT"/>
    </w:rPr>
  </w:style>
  <w:style w:type="paragraph" w:styleId="Closing">
    <w:name w:val="Closing"/>
    <w:basedOn w:val="Normal"/>
    <w:next w:val="Signature"/>
    <w:link w:val="ClosingChar"/>
    <w:uiPriority w:val="99"/>
    <w:pPr>
      <w:tabs>
        <w:tab w:val="left" w:pos="5103"/>
      </w:tabs>
      <w:spacing w:before="240" w:after="240"/>
      <w:ind w:left="5103"/>
      <w:jc w:val="left"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  <w:rPr>
      <w:rFonts w:eastAsia="Times New Roman"/>
      <w:szCs w:val="20"/>
    </w:r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customStyle="1" w:styleId="Participants">
    <w:name w:val="Participants"/>
    <w:basedOn w:val="Normal"/>
    <w:next w:val="Copies"/>
    <w:uiPriority w:val="99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customStyle="1" w:styleId="Copies">
    <w:name w:val="Copies"/>
    <w:basedOn w:val="Normal"/>
    <w:next w:val="Normal"/>
    <w:uiPriority w:val="99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styleId="Date">
    <w:name w:val="Date"/>
    <w:basedOn w:val="Normal"/>
    <w:next w:val="References"/>
    <w:link w:val="DateChar"/>
    <w:uiPriority w:val="99"/>
    <w:pPr>
      <w:spacing w:before="0" w:after="0"/>
      <w:ind w:left="5103" w:right="-567"/>
      <w:jc w:val="left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customStyle="1" w:styleId="References">
    <w:name w:val="References"/>
    <w:basedOn w:val="Normal"/>
    <w:next w:val="AddressTR"/>
    <w:uiPriority w:val="99"/>
    <w:pPr>
      <w:spacing w:before="0" w:after="240"/>
      <w:ind w:left="5103"/>
      <w:jc w:val="left"/>
    </w:pPr>
    <w:rPr>
      <w:rFonts w:eastAsia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  <w:spacing w:before="0" w:after="240"/>
    </w:pPr>
    <w:rPr>
      <w:rFonts w:ascii="Tahoma" w:eastAsia="Times New Roman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imes New Roman"/>
      <w:sz w:val="24"/>
      <w:szCs w:val="20"/>
      <w:shd w:val="clear" w:color="auto" w:fill="000080"/>
      <w:lang w:val="mt-MT"/>
    </w:rPr>
  </w:style>
  <w:style w:type="paragraph" w:customStyle="1" w:styleId="DoubSign">
    <w:name w:val="DoubSign"/>
    <w:basedOn w:val="Normal"/>
    <w:next w:val="Contact"/>
    <w:uiPriority w:val="99"/>
    <w:pPr>
      <w:tabs>
        <w:tab w:val="left" w:pos="5103"/>
      </w:tabs>
      <w:spacing w:before="1200" w:after="0"/>
      <w:jc w:val="left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mt-MT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 w:after="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pPr>
      <w:spacing w:before="0" w:after="0"/>
    </w:pPr>
    <w:rPr>
      <w:rFonts w:eastAsia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spacing w:before="0" w:after="240"/>
      <w:ind w:left="240" w:hanging="240"/>
    </w:pPr>
    <w:rPr>
      <w:rFonts w:eastAsia="Times New Roman"/>
      <w:szCs w:val="20"/>
    </w:rPr>
  </w:style>
  <w:style w:type="paragraph" w:styleId="Index2">
    <w:name w:val="index 2"/>
    <w:basedOn w:val="Normal"/>
    <w:next w:val="Normal"/>
    <w:autoRedefine/>
    <w:uiPriority w:val="99"/>
    <w:semiHidden/>
    <w:pPr>
      <w:spacing w:before="0" w:after="240"/>
      <w:ind w:left="480" w:hanging="240"/>
    </w:pPr>
    <w:rPr>
      <w:rFonts w:eastAsia="Times New Roman"/>
      <w:szCs w:val="20"/>
    </w:rPr>
  </w:style>
  <w:style w:type="paragraph" w:styleId="Index3">
    <w:name w:val="index 3"/>
    <w:basedOn w:val="Normal"/>
    <w:next w:val="Normal"/>
    <w:autoRedefine/>
    <w:uiPriority w:val="99"/>
    <w:semiHidden/>
    <w:pPr>
      <w:spacing w:before="0" w:after="240"/>
      <w:ind w:left="720" w:hanging="240"/>
    </w:pPr>
    <w:rPr>
      <w:rFonts w:eastAsia="Times New Roman"/>
      <w:szCs w:val="20"/>
    </w:rPr>
  </w:style>
  <w:style w:type="paragraph" w:styleId="Index4">
    <w:name w:val="index 4"/>
    <w:basedOn w:val="Normal"/>
    <w:next w:val="Normal"/>
    <w:autoRedefine/>
    <w:uiPriority w:val="99"/>
    <w:semiHidden/>
    <w:pPr>
      <w:spacing w:before="0" w:after="240"/>
      <w:ind w:left="960" w:hanging="240"/>
    </w:pPr>
    <w:rPr>
      <w:rFonts w:eastAsia="Times New Roman"/>
      <w:szCs w:val="20"/>
    </w:rPr>
  </w:style>
  <w:style w:type="paragraph" w:styleId="Index5">
    <w:name w:val="index 5"/>
    <w:basedOn w:val="Normal"/>
    <w:next w:val="Normal"/>
    <w:autoRedefine/>
    <w:uiPriority w:val="99"/>
    <w:semiHidden/>
    <w:pPr>
      <w:spacing w:before="0" w:after="240"/>
      <w:ind w:left="1200" w:hanging="240"/>
    </w:pPr>
    <w:rPr>
      <w:rFonts w:eastAsia="Times New Roman"/>
      <w:szCs w:val="20"/>
    </w:rPr>
  </w:style>
  <w:style w:type="paragraph" w:styleId="Index6">
    <w:name w:val="index 6"/>
    <w:basedOn w:val="Normal"/>
    <w:next w:val="Normal"/>
    <w:autoRedefine/>
    <w:uiPriority w:val="99"/>
    <w:semiHidden/>
    <w:pPr>
      <w:spacing w:before="0" w:after="240"/>
      <w:ind w:left="1440" w:hanging="240"/>
    </w:pPr>
    <w:rPr>
      <w:rFonts w:eastAsia="Times New Roman"/>
      <w:szCs w:val="20"/>
    </w:rPr>
  </w:style>
  <w:style w:type="paragraph" w:styleId="Index7">
    <w:name w:val="index 7"/>
    <w:basedOn w:val="Normal"/>
    <w:next w:val="Normal"/>
    <w:autoRedefine/>
    <w:uiPriority w:val="99"/>
    <w:semiHidden/>
    <w:pPr>
      <w:spacing w:before="0" w:after="240"/>
      <w:ind w:left="1680" w:hanging="240"/>
    </w:pPr>
    <w:rPr>
      <w:rFonts w:eastAsia="Times New Roman"/>
      <w:szCs w:val="20"/>
    </w:rPr>
  </w:style>
  <w:style w:type="paragraph" w:styleId="Index8">
    <w:name w:val="index 8"/>
    <w:basedOn w:val="Normal"/>
    <w:next w:val="Normal"/>
    <w:autoRedefine/>
    <w:uiPriority w:val="99"/>
    <w:semiHidden/>
    <w:pPr>
      <w:spacing w:before="0" w:after="240"/>
      <w:ind w:left="1920" w:hanging="240"/>
    </w:pPr>
    <w:rPr>
      <w:rFonts w:eastAsia="Times New Roman"/>
      <w:szCs w:val="20"/>
    </w:rPr>
  </w:style>
  <w:style w:type="paragraph" w:styleId="Index9">
    <w:name w:val="index 9"/>
    <w:basedOn w:val="Normal"/>
    <w:next w:val="Normal"/>
    <w:autoRedefine/>
    <w:uiPriority w:val="99"/>
    <w:semiHidden/>
    <w:pPr>
      <w:spacing w:before="0" w:after="240"/>
      <w:ind w:left="2160" w:hanging="240"/>
    </w:pPr>
    <w:rPr>
      <w:rFonts w:eastAsia="Times New Roman"/>
      <w:szCs w:val="20"/>
    </w:rPr>
  </w:style>
  <w:style w:type="paragraph" w:styleId="IndexHeading">
    <w:name w:val="index heading"/>
    <w:basedOn w:val="Normal"/>
    <w:next w:val="Index1"/>
    <w:uiPriority w:val="99"/>
    <w:semiHidden/>
    <w:pPr>
      <w:spacing w:before="0" w:after="240"/>
    </w:pPr>
    <w:rPr>
      <w:rFonts w:ascii="Arial" w:eastAsia="Times New Roman" w:hAnsi="Arial"/>
      <w:b/>
      <w:szCs w:val="20"/>
    </w:rPr>
  </w:style>
  <w:style w:type="paragraph" w:styleId="List4">
    <w:name w:val="List 4"/>
    <w:basedOn w:val="Normal"/>
    <w:uiPriority w:val="99"/>
    <w:pPr>
      <w:spacing w:before="0" w:after="240"/>
      <w:ind w:left="1132" w:hanging="283"/>
    </w:pPr>
    <w:rPr>
      <w:rFonts w:eastAsia="Times New Roman"/>
      <w:szCs w:val="20"/>
    </w:rPr>
  </w:style>
  <w:style w:type="paragraph" w:styleId="List5">
    <w:name w:val="List 5"/>
    <w:basedOn w:val="Normal"/>
    <w:uiPriority w:val="99"/>
    <w:pPr>
      <w:spacing w:before="0" w:after="240"/>
      <w:ind w:left="1415" w:hanging="283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3"/>
      </w:numPr>
      <w:spacing w:before="0" w:after="240"/>
    </w:pPr>
    <w:rPr>
      <w:rFonts w:eastAsia="Times New Roman"/>
      <w:szCs w:val="20"/>
    </w:rPr>
  </w:style>
  <w:style w:type="paragraph" w:styleId="ListBullet2">
    <w:name w:val="List Bullet 2"/>
    <w:basedOn w:val="Text2"/>
    <w:uiPriority w:val="99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ListBullet3">
    <w:name w:val="List Bullet 3"/>
    <w:basedOn w:val="Text3"/>
    <w:uiPriority w:val="99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ListBullet4">
    <w:name w:val="List Bullet 4"/>
    <w:basedOn w:val="Text4"/>
    <w:uiPriority w:val="99"/>
    <w:pPr>
      <w:numPr>
        <w:numId w:val="7"/>
      </w:numPr>
      <w:spacing w:before="0" w:after="240"/>
    </w:pPr>
    <w:rPr>
      <w:rFonts w:eastAsia="Times New Roman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1"/>
      </w:numPr>
      <w:spacing w:before="0" w:after="240"/>
    </w:pPr>
    <w:rPr>
      <w:rFonts w:eastAsia="Times New Roman"/>
      <w:szCs w:val="20"/>
    </w:rPr>
  </w:style>
  <w:style w:type="paragraph" w:styleId="ListContinue2">
    <w:name w:val="List Continue 2"/>
    <w:basedOn w:val="Normal"/>
    <w:uiPriority w:val="99"/>
    <w:pPr>
      <w:spacing w:before="0"/>
      <w:ind w:left="566"/>
    </w:pPr>
    <w:rPr>
      <w:rFonts w:eastAsia="Times New Roman"/>
      <w:szCs w:val="20"/>
    </w:rPr>
  </w:style>
  <w:style w:type="paragraph" w:styleId="ListContinue3">
    <w:name w:val="List Continue 3"/>
    <w:basedOn w:val="Normal"/>
    <w:uiPriority w:val="99"/>
    <w:pPr>
      <w:spacing w:before="0"/>
      <w:ind w:left="849"/>
    </w:pPr>
    <w:rPr>
      <w:rFonts w:eastAsia="Times New Roman"/>
      <w:szCs w:val="20"/>
    </w:rPr>
  </w:style>
  <w:style w:type="paragraph" w:styleId="ListContinue4">
    <w:name w:val="List Continue 4"/>
    <w:basedOn w:val="Normal"/>
    <w:uiPriority w:val="99"/>
    <w:pPr>
      <w:spacing w:before="0"/>
      <w:ind w:left="1132"/>
    </w:pPr>
    <w:rPr>
      <w:rFonts w:eastAsia="Times New Roman"/>
      <w:szCs w:val="20"/>
    </w:rPr>
  </w:style>
  <w:style w:type="paragraph" w:styleId="ListContinue5">
    <w:name w:val="List Continue 5"/>
    <w:basedOn w:val="Normal"/>
    <w:uiPriority w:val="99"/>
    <w:pPr>
      <w:spacing w:before="0"/>
      <w:ind w:left="1415"/>
    </w:pPr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13"/>
      </w:numPr>
      <w:spacing w:before="0" w:after="240"/>
    </w:pPr>
    <w:rPr>
      <w:rFonts w:eastAsia="Times New Roman"/>
      <w:szCs w:val="20"/>
    </w:rPr>
  </w:style>
  <w:style w:type="paragraph" w:styleId="ListNumber2">
    <w:name w:val="List Number 2"/>
    <w:basedOn w:val="Text2"/>
    <w:uiPriority w:val="99"/>
    <w:pPr>
      <w:numPr>
        <w:numId w:val="17"/>
      </w:numPr>
      <w:spacing w:before="0" w:after="240"/>
    </w:pPr>
    <w:rPr>
      <w:rFonts w:eastAsia="Times New Roman"/>
      <w:szCs w:val="20"/>
    </w:rPr>
  </w:style>
  <w:style w:type="paragraph" w:styleId="ListNumber3">
    <w:name w:val="List Number 3"/>
    <w:basedOn w:val="Text3"/>
    <w:uiPriority w:val="99"/>
    <w:pPr>
      <w:numPr>
        <w:numId w:val="14"/>
      </w:numPr>
      <w:spacing w:before="0" w:after="240"/>
    </w:pPr>
    <w:rPr>
      <w:rFonts w:eastAsia="Times New Roman"/>
      <w:szCs w:val="20"/>
    </w:rPr>
  </w:style>
  <w:style w:type="paragraph" w:styleId="ListNumber4">
    <w:name w:val="List Number 4"/>
    <w:basedOn w:val="Text4"/>
    <w:uiPriority w:val="99"/>
    <w:pPr>
      <w:numPr>
        <w:numId w:val="15"/>
      </w:numPr>
      <w:spacing w:before="0" w:after="240"/>
    </w:pPr>
    <w:rPr>
      <w:rFonts w:eastAsia="Times New Roman"/>
      <w:szCs w:val="20"/>
    </w:rPr>
  </w:style>
  <w:style w:type="paragraph" w:styleId="ListNumber5">
    <w:name w:val="List Number 5"/>
    <w:basedOn w:val="Normal"/>
    <w:uiPriority w:val="99"/>
    <w:pPr>
      <w:numPr>
        <w:numId w:val="2"/>
      </w:numPr>
      <w:spacing w:before="0" w:after="240"/>
    </w:pPr>
    <w:rPr>
      <w:rFonts w:eastAsia="Times New Roman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eastAsia="Times New Roman" w:hAnsi="Courier New" w:cs="Times New Roman"/>
      <w:sz w:val="20"/>
      <w:szCs w:val="20"/>
      <w:lang w:val="mt-MT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/>
      <w:ind w:left="1134" w:hanging="1134"/>
    </w:pPr>
    <w:rPr>
      <w:rFonts w:ascii="Arial" w:eastAsia="Times New Roman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Times New Roman" w:hAnsi="Arial" w:cs="Times New Roman"/>
      <w:sz w:val="24"/>
      <w:szCs w:val="20"/>
      <w:shd w:val="pct20" w:color="auto" w:fill="auto"/>
      <w:lang w:val="mt-MT"/>
    </w:rPr>
  </w:style>
  <w:style w:type="paragraph" w:styleId="NormalIndent">
    <w:name w:val="Normal Indent"/>
    <w:basedOn w:val="Normal"/>
    <w:uiPriority w:val="99"/>
    <w:pPr>
      <w:spacing w:before="0" w:after="240"/>
      <w:ind w:left="720"/>
    </w:pPr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pPr>
      <w:spacing w:before="0" w:after="240"/>
    </w:pPr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eastAsia="Times New Roman"/>
      <w:b/>
      <w:smallCaps/>
      <w:szCs w:val="20"/>
    </w:rPr>
  </w:style>
  <w:style w:type="paragraph" w:customStyle="1" w:styleId="Subject">
    <w:name w:val="Subject"/>
    <w:basedOn w:val="Normal"/>
    <w:next w:val="Normal"/>
    <w:uiPriority w:val="99"/>
    <w:pPr>
      <w:spacing w:before="0" w:after="480"/>
      <w:ind w:left="1531" w:hanging="1531"/>
      <w:jc w:val="left"/>
    </w:pPr>
    <w:rPr>
      <w:rFonts w:eastAsia="Times New Roman"/>
      <w:b/>
      <w:szCs w:val="20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eastAsia="Times New Roman"/>
      <w:b/>
      <w:smallCaps/>
      <w:szCs w:val="20"/>
    </w:rPr>
  </w:style>
  <w:style w:type="paragraph" w:styleId="PlainText">
    <w:name w:val="Plain Text"/>
    <w:basedOn w:val="Normal"/>
    <w:link w:val="PlainTextChar"/>
    <w:uiPriority w:val="99"/>
    <w:pPr>
      <w:spacing w:before="0" w:after="24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Times New Roman"/>
      <w:sz w:val="20"/>
      <w:szCs w:val="20"/>
      <w:lang w:val="mt-MT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Subtitle">
    <w:name w:val="Subtitle"/>
    <w:basedOn w:val="Normal"/>
    <w:link w:val="SubtitleChar"/>
    <w:uiPriority w:val="99"/>
    <w:qFormat/>
    <w:pPr>
      <w:spacing w:before="0" w:after="60"/>
      <w:jc w:val="center"/>
      <w:outlineLvl w:val="1"/>
    </w:pPr>
    <w:rPr>
      <w:rFonts w:ascii="Arial" w:eastAsia="Times New Roman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Times New Roman" w:hAnsi="Arial" w:cs="Times New Roman"/>
      <w:sz w:val="24"/>
      <w:szCs w:val="20"/>
      <w:lang w:val="mt-MT"/>
    </w:rPr>
  </w:style>
  <w:style w:type="paragraph" w:styleId="TableofAuthorities">
    <w:name w:val="table of authorities"/>
    <w:basedOn w:val="Normal"/>
    <w:next w:val="Normal"/>
    <w:uiPriority w:val="99"/>
    <w:semiHidden/>
    <w:pPr>
      <w:spacing w:before="0" w:after="240"/>
      <w:ind w:left="240" w:hanging="240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semiHidden/>
    <w:pPr>
      <w:spacing w:before="0" w:after="240"/>
      <w:ind w:left="480" w:hanging="480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Times New Roman"/>
      <w:b/>
      <w:kern w:val="28"/>
      <w:sz w:val="32"/>
      <w:szCs w:val="20"/>
      <w:lang w:val="mt-MT"/>
    </w:rPr>
  </w:style>
  <w:style w:type="paragraph" w:styleId="TOAHeading">
    <w:name w:val="toa heading"/>
    <w:basedOn w:val="Normal"/>
    <w:next w:val="Normal"/>
    <w:uiPriority w:val="99"/>
    <w:semiHidden/>
    <w:pPr>
      <w:spacing w:after="240"/>
    </w:pPr>
    <w:rPr>
      <w:rFonts w:ascii="Arial" w:eastAsia="Times New Roman" w:hAnsi="Arial"/>
      <w:b/>
      <w:szCs w:val="20"/>
    </w:rPr>
  </w:style>
  <w:style w:type="paragraph" w:customStyle="1" w:styleId="YReferences">
    <w:name w:val="YReferences"/>
    <w:basedOn w:val="Normal"/>
    <w:next w:val="Normal"/>
    <w:uiPriority w:val="99"/>
    <w:pPr>
      <w:spacing w:before="0" w:after="480"/>
      <w:ind w:left="1531" w:hanging="1531"/>
    </w:pPr>
    <w:rPr>
      <w:rFonts w:eastAsia="Times New Roman"/>
      <w:szCs w:val="20"/>
    </w:rPr>
  </w:style>
  <w:style w:type="paragraph" w:customStyle="1" w:styleId="ListBullet1">
    <w:name w:val="List Bullet 1"/>
    <w:basedOn w:val="Text1"/>
    <w:uiPriority w:val="99"/>
    <w:pPr>
      <w:numPr>
        <w:numId w:val="4"/>
      </w:numPr>
      <w:tabs>
        <w:tab w:val="clear" w:pos="765"/>
        <w:tab w:val="num" w:pos="720"/>
      </w:tabs>
      <w:spacing w:before="0" w:after="240"/>
      <w:ind w:left="720" w:hanging="360"/>
    </w:pPr>
    <w:rPr>
      <w:rFonts w:eastAsia="Times New Roman"/>
      <w:szCs w:val="20"/>
    </w:rPr>
  </w:style>
  <w:style w:type="paragraph" w:customStyle="1" w:styleId="ListDash">
    <w:name w:val="List Dash"/>
    <w:basedOn w:val="Normal"/>
    <w:uiPriority w:val="99"/>
    <w:pPr>
      <w:numPr>
        <w:numId w:val="8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"/>
    <w:uiPriority w:val="99"/>
    <w:pPr>
      <w:numPr>
        <w:numId w:val="9"/>
      </w:numPr>
      <w:tabs>
        <w:tab w:val="clear" w:pos="765"/>
        <w:tab w:val="num" w:pos="720"/>
      </w:tabs>
      <w:spacing w:before="0" w:after="240"/>
      <w:ind w:left="858" w:hanging="360"/>
    </w:pPr>
    <w:rPr>
      <w:rFonts w:eastAsia="Times New Roman"/>
      <w:szCs w:val="20"/>
    </w:rPr>
  </w:style>
  <w:style w:type="paragraph" w:customStyle="1" w:styleId="ListDash2">
    <w:name w:val="List Dash 2"/>
    <w:basedOn w:val="Text2"/>
    <w:uiPriority w:val="99"/>
    <w:pPr>
      <w:numPr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uiPriority w:val="99"/>
    <w:pPr>
      <w:numPr>
        <w:numId w:val="11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uiPriority w:val="99"/>
    <w:pPr>
      <w:numPr>
        <w:numId w:val="12"/>
      </w:numPr>
      <w:spacing w:before="0" w:after="24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uiPriority w:val="99"/>
    <w:pPr>
      <w:numPr>
        <w:numId w:val="16"/>
      </w:numPr>
      <w:tabs>
        <w:tab w:val="clear" w:pos="1191"/>
      </w:tabs>
      <w:spacing w:before="0" w:after="240"/>
      <w:ind w:left="1440" w:hanging="36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6"/>
      </w:numPr>
      <w:tabs>
        <w:tab w:val="clear" w:pos="1899"/>
      </w:tabs>
      <w:spacing w:before="0" w:after="240"/>
      <w:ind w:left="1800" w:hanging="36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6"/>
      </w:numPr>
      <w:tabs>
        <w:tab w:val="clear" w:pos="2608"/>
      </w:tabs>
      <w:spacing w:before="0" w:after="240"/>
      <w:ind w:left="2520" w:hanging="36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6"/>
      </w:numPr>
      <w:tabs>
        <w:tab w:val="clear" w:pos="3317"/>
      </w:tabs>
      <w:spacing w:before="0" w:after="240"/>
      <w:ind w:left="3240" w:hanging="36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4"/>
      </w:numPr>
      <w:spacing w:before="0" w:after="240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4"/>
      </w:numPr>
      <w:spacing w:before="0" w:after="240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4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5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5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5"/>
      </w:numPr>
      <w:spacing w:before="0" w:after="240"/>
    </w:pPr>
    <w:rPr>
      <w:rFonts w:eastAsia="Times New Roman"/>
      <w:szCs w:val="20"/>
    </w:rPr>
  </w:style>
  <w:style w:type="paragraph" w:customStyle="1" w:styleId="DisclaimerNotice">
    <w:name w:val="Disclaimer Notice"/>
    <w:basedOn w:val="Normal"/>
    <w:next w:val="AddressTR"/>
    <w:uiPriority w:val="99"/>
    <w:pPr>
      <w:spacing w:before="0" w:after="240"/>
      <w:ind w:left="5103"/>
      <w:jc w:val="left"/>
    </w:pPr>
    <w:rPr>
      <w:rFonts w:eastAsia="Times New Roman"/>
      <w:i/>
      <w:sz w:val="20"/>
      <w:szCs w:val="20"/>
    </w:rPr>
  </w:style>
  <w:style w:type="paragraph" w:customStyle="1" w:styleId="DisclaimerSJ">
    <w:name w:val="Disclaimer_SJ"/>
    <w:basedOn w:val="Normal"/>
    <w:next w:val="Normal"/>
    <w:uiPriority w:val="99"/>
    <w:pPr>
      <w:spacing w:before="0" w:after="0"/>
    </w:pPr>
    <w:rPr>
      <w:rFonts w:ascii="Arial" w:eastAsia="Times New Roman" w:hAnsi="Arial"/>
      <w:b/>
      <w:sz w:val="16"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infoblue">
    <w:name w:val="infoblue"/>
    <w:basedOn w:val="Normal"/>
    <w:link w:val="infoblueChar"/>
    <w:pPr>
      <w:spacing w:before="0" w:line="240" w:lineRule="atLeast"/>
      <w:ind w:left="720"/>
      <w:jc w:val="left"/>
    </w:pPr>
    <w:rPr>
      <w:rFonts w:eastAsia="SimSun"/>
      <w:i/>
      <w:iCs/>
      <w:color w:val="0000FF"/>
      <w:szCs w:val="20"/>
      <w:lang w:eastAsia="zh-CN"/>
    </w:rPr>
  </w:style>
  <w:style w:type="character" w:customStyle="1" w:styleId="infoblueChar">
    <w:name w:val="infoblue Char"/>
    <w:link w:val="infoblue"/>
    <w:rPr>
      <w:rFonts w:ascii="Times New Roman" w:eastAsia="SimSun" w:hAnsi="Times New Roman" w:cs="Times New Roman"/>
      <w:i/>
      <w:iCs/>
      <w:color w:val="0000FF"/>
      <w:sz w:val="24"/>
      <w:szCs w:val="20"/>
      <w:lang w:val="mt-MT" w:eastAsia="zh-CN"/>
    </w:rPr>
  </w:style>
  <w:style w:type="paragraph" w:customStyle="1" w:styleId="Marking">
    <w:name w:val="Marking"/>
    <w:basedOn w:val="Normal"/>
    <w:uiPriority w:val="99"/>
    <w:pPr>
      <w:spacing w:before="0" w:after="240" w:line="276" w:lineRule="auto"/>
      <w:ind w:left="5115"/>
      <w:contextualSpacing/>
      <w:jc w:val="left"/>
    </w:pPr>
    <w:rPr>
      <w:rFonts w:eastAsia="Calibri"/>
      <w:i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Times New Roman"/>
      <w:sz w:val="20"/>
      <w:szCs w:val="20"/>
      <w:lang w:val="mt-MT" w:eastAsia="x-none"/>
    </w:rPr>
  </w:style>
  <w:style w:type="paragraph" w:customStyle="1" w:styleId="Style1">
    <w:name w:val="Style1"/>
    <w:basedOn w:val="Normal"/>
    <w:uiPriority w:val="99"/>
    <w:pPr>
      <w:tabs>
        <w:tab w:val="left" w:pos="6480"/>
      </w:tabs>
      <w:suppressAutoHyphens/>
    </w:pPr>
    <w:rPr>
      <w:rFonts w:ascii="Arial" w:eastAsia="Times New Roman" w:hAnsi="Arial" w:cs="Arial"/>
      <w:b/>
      <w:bCs/>
      <w:sz w:val="22"/>
      <w:szCs w:val="24"/>
      <w:u w:val="single"/>
      <w:lang w:eastAsia="ar-SA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n-GB"/>
    </w:rPr>
  </w:style>
  <w:style w:type="paragraph" w:customStyle="1" w:styleId="noprint">
    <w:name w:val="noprint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1">
    <w:name w:val="footnote1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2">
    <w:name w:val="footnote2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3">
    <w:name w:val="footnote3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4">
    <w:name w:val="footnote4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5">
    <w:name w:val="footnote5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6">
    <w:name w:val="footnote6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7">
    <w:name w:val="footnote7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8">
    <w:name w:val="footnote8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9">
    <w:name w:val="footnote9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0">
    <w:name w:val="footnote10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1">
    <w:name w:val="footnote11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body-bold-blue">
    <w:name w:val="body-bold-blue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12">
    <w:name w:val="footnote12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3">
    <w:name w:val="footnote13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4">
    <w:name w:val="footnote14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5">
    <w:name w:val="footnote15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6">
    <w:name w:val="footnote16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7">
    <w:name w:val="footnote17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8">
    <w:name w:val="footnote18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noscreenshow">
    <w:name w:val="no_screen_show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vanish/>
      <w:szCs w:val="24"/>
      <w:lang w:eastAsia="en-GB"/>
    </w:rPr>
  </w:style>
  <w:style w:type="paragraph" w:customStyle="1" w:styleId="footnote19">
    <w:name w:val="footnote19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noprintshow">
    <w:name w:val="no_print_show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vanish/>
      <w:szCs w:val="24"/>
      <w:lang w:eastAsia="en-GB"/>
    </w:rPr>
  </w:style>
  <w:style w:type="paragraph" w:customStyle="1" w:styleId="footnote20">
    <w:name w:val="footnote20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1">
    <w:name w:val="footnote21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2">
    <w:name w:val="footnote22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3">
    <w:name w:val="footnote23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4">
    <w:name w:val="footnote24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5">
    <w:name w:val="footnote25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character" w:customStyle="1" w:styleId="body-bold-blue1">
    <w:name w:val="body-bold-blue1"/>
    <w:basedOn w:val="DefaultParagraphFont"/>
  </w:style>
  <w:style w:type="character" w:customStyle="1" w:styleId="footnote">
    <w:name w:val="footnote"/>
    <w:basedOn w:val="DefaultParagraphFont"/>
  </w:style>
  <w:style w:type="character" w:customStyle="1" w:styleId="lbb">
    <w:name w:val="lbb"/>
    <w:basedOn w:val="DefaultParagraphFont"/>
  </w:style>
  <w:style w:type="character" w:customStyle="1" w:styleId="lb">
    <w:name w:val="lb"/>
    <w:basedOn w:val="DefaultParagraphFont"/>
  </w:style>
  <w:style w:type="character" w:customStyle="1" w:styleId="bb">
    <w:name w:val="bb"/>
    <w:basedOn w:val="DefaultParagraphFont"/>
  </w:style>
  <w:style w:type="paragraph" w:customStyle="1" w:styleId="Hoofdstuk1">
    <w:name w:val="Hoofdstuk1"/>
    <w:basedOn w:val="Normal"/>
    <w:next w:val="Normal"/>
    <w:uiPriority w:val="9"/>
    <w:qFormat/>
    <w:pPr>
      <w:keepNext/>
      <w:keepLines/>
      <w:spacing w:before="240" w:after="0" w:line="276" w:lineRule="auto"/>
      <w:jc w:val="left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keepNext/>
      <w:keepLines/>
      <w:spacing w:before="40" w:after="0" w:line="276" w:lineRule="auto"/>
      <w:jc w:val="left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keepNext/>
      <w:keepLines/>
      <w:spacing w:before="40" w:after="0" w:line="276" w:lineRule="auto"/>
      <w:jc w:val="left"/>
      <w:outlineLvl w:val="2"/>
    </w:pPr>
    <w:rPr>
      <w:rFonts w:ascii="Cambria" w:eastAsia="Times New Roman" w:hAnsi="Cambria"/>
      <w:color w:val="243F60"/>
      <w:szCs w:val="24"/>
    </w:rPr>
  </w:style>
  <w:style w:type="paragraph" w:customStyle="1" w:styleId="Heading41">
    <w:name w:val="Heading 41"/>
    <w:basedOn w:val="Normal"/>
    <w:next w:val="Normal"/>
    <w:uiPriority w:val="99"/>
    <w:unhideWhenUsed/>
    <w:qFormat/>
    <w:pPr>
      <w:keepNext/>
      <w:keepLines/>
      <w:spacing w:before="40" w:after="0" w:line="276" w:lineRule="auto"/>
      <w:jc w:val="left"/>
      <w:outlineLvl w:val="3"/>
    </w:pPr>
    <w:rPr>
      <w:rFonts w:ascii="Cambria" w:eastAsia="Times New Roman" w:hAnsi="Cambria"/>
      <w:i/>
      <w:iCs/>
      <w:color w:val="365F91"/>
      <w:sz w:val="22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BalloonText1">
    <w:name w:val="Balloon Text1"/>
    <w:basedOn w:val="Normal"/>
    <w:next w:val="BalloonText"/>
    <w:uiPriority w:val="99"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pPr>
      <w:tabs>
        <w:tab w:val="center" w:pos="4513"/>
        <w:tab w:val="right" w:pos="9026"/>
      </w:tabs>
      <w:spacing w:before="0" w:after="0"/>
      <w:jc w:val="left"/>
    </w:pPr>
    <w:rPr>
      <w:rFonts w:asciiTheme="minorHAnsi" w:hAnsiTheme="minorHAnsi" w:cstheme="minorBidi"/>
      <w:sz w:val="22"/>
    </w:rPr>
  </w:style>
  <w:style w:type="paragraph" w:customStyle="1" w:styleId="Footer1">
    <w:name w:val="Footer1"/>
    <w:basedOn w:val="Normal"/>
    <w:next w:val="Footer"/>
    <w:uiPriority w:val="99"/>
    <w:unhideWhenUsed/>
    <w:pPr>
      <w:tabs>
        <w:tab w:val="center" w:pos="4513"/>
        <w:tab w:val="right" w:pos="9026"/>
      </w:tabs>
      <w:spacing w:before="0" w:after="0"/>
      <w:jc w:val="left"/>
    </w:pPr>
    <w:rPr>
      <w:rFonts w:asciiTheme="minorHAnsi" w:hAnsiTheme="minorHAnsi" w:cstheme="minorBidi"/>
      <w:sz w:val="22"/>
    </w:rPr>
  </w:style>
  <w:style w:type="paragraph" w:customStyle="1" w:styleId="ListParagraph1">
    <w:name w:val="List Paragraph1"/>
    <w:basedOn w:val="Normal"/>
    <w:next w:val="ListParagraph"/>
    <w:uiPriority w:val="34"/>
    <w:qFormat/>
    <w:pPr>
      <w:spacing w:before="0" w:after="100" w:afterAutospacing="1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NoSpacing1">
    <w:name w:val="No Spacing1"/>
    <w:next w:val="NoSpacing"/>
    <w:uiPriority w:val="1"/>
    <w:qFormat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customStyle="1" w:styleId="CommentText1">
    <w:name w:val="Comment Text1"/>
    <w:basedOn w:val="Normal"/>
    <w:next w:val="CommentText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unhideWhenUsed/>
    <w:pPr>
      <w:spacing w:after="200"/>
    </w:pPr>
    <w:rPr>
      <w:b/>
      <w:bCs/>
    </w:rPr>
  </w:style>
  <w:style w:type="paragraph" w:customStyle="1" w:styleId="Revision1">
    <w:name w:val="Revision1"/>
    <w:next w:val="Revision"/>
    <w:hidden/>
    <w:uiPriority w:val="99"/>
    <w:semiHidden/>
    <w:pPr>
      <w:spacing w:after="0" w:line="240" w:lineRule="auto"/>
    </w:pPr>
  </w:style>
  <w:style w:type="paragraph" w:customStyle="1" w:styleId="FootnoteText1">
    <w:name w:val="Footnote Text1"/>
    <w:basedOn w:val="Normal"/>
    <w:next w:val="FootnoteText"/>
    <w:uiPriority w:val="99"/>
    <w:unhideWhenUsed/>
    <w:pPr>
      <w:spacing w:before="0" w:after="0"/>
      <w:jc w:val="left"/>
    </w:pPr>
    <w:rPr>
      <w:rFonts w:asciiTheme="minorHAnsi" w:hAnsiTheme="minorHAnsi" w:cstheme="minorBidi"/>
      <w:sz w:val="20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numPr>
        <w:numId w:val="0"/>
      </w:numPr>
      <w:spacing w:before="240" w:after="0" w:line="259" w:lineRule="auto"/>
      <w:jc w:val="left"/>
    </w:pPr>
    <w:rPr>
      <w:rFonts w:ascii="Cambria" w:eastAsia="Times New Roman" w:hAnsi="Cambria"/>
      <w:b w:val="0"/>
      <w:bCs w:val="0"/>
      <w:smallCaps w:val="0"/>
      <w:color w:val="365F91"/>
      <w:sz w:val="32"/>
      <w:szCs w:val="32"/>
    </w:rPr>
  </w:style>
  <w:style w:type="paragraph" w:customStyle="1" w:styleId="TOC11">
    <w:name w:val="TOC 11"/>
    <w:basedOn w:val="Normal"/>
    <w:next w:val="Normal"/>
    <w:autoRedefine/>
    <w:uiPriority w:val="39"/>
    <w:unhideWhenUsed/>
    <w:pPr>
      <w:spacing w:before="0" w:after="100" w:line="276" w:lineRule="auto"/>
      <w:jc w:val="left"/>
    </w:pPr>
    <w:rPr>
      <w:rFonts w:asciiTheme="minorHAnsi" w:hAnsiTheme="minorHAnsi" w:cstheme="minorBidi"/>
      <w:sz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pPr>
      <w:spacing w:before="0" w:after="100" w:line="276" w:lineRule="auto"/>
      <w:ind w:left="220"/>
      <w:jc w:val="left"/>
    </w:pPr>
    <w:rPr>
      <w:rFonts w:asciiTheme="minorHAnsi" w:hAnsiTheme="minorHAnsi" w:cstheme="minorBidi"/>
      <w:sz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pPr>
      <w:spacing w:before="0" w:after="100" w:line="276" w:lineRule="auto"/>
      <w:ind w:left="440"/>
      <w:jc w:val="left"/>
    </w:pPr>
    <w:rPr>
      <w:rFonts w:asciiTheme="minorHAnsi" w:hAnsiTheme="minorHAnsi" w:cstheme="minorBidi"/>
      <w:sz w:val="22"/>
    </w:rPr>
  </w:style>
  <w:style w:type="character" w:customStyle="1" w:styleId="FollowedHyperlink1">
    <w:name w:val="FollowedHyperlink1"/>
    <w:basedOn w:val="DefaultParagraphFont"/>
    <w:uiPriority w:val="99"/>
    <w:unhideWhenUsed/>
    <w:rPr>
      <w:color w:val="800080"/>
      <w:u w:val="single"/>
    </w:rPr>
  </w:style>
  <w:style w:type="character" w:customStyle="1" w:styleId="Heading1Char1">
    <w:name w:val="Heading 1 Char1"/>
    <w:aliases w:val="Hoofdstuk Char1"/>
    <w:basedOn w:val="DefaultParagraphFont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</w:style>
  <w:style w:type="character" w:customStyle="1" w:styleId="FooterChar1">
    <w:name w:val="Footer Char1"/>
    <w:basedOn w:val="DefaultParagraphFont"/>
    <w:uiPriority w:val="99"/>
    <w:semiHidden/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Pr>
      <w:b/>
      <w:bCs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table" w:customStyle="1" w:styleId="TableGrid2">
    <w:name w:val="Table Grid2"/>
    <w:basedOn w:val="TableNormal"/>
    <w:next w:val="TableGrid0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numbering" w:customStyle="1" w:styleId="NoList3">
    <w:name w:val="No List3"/>
    <w:next w:val="NoList"/>
    <w:uiPriority w:val="99"/>
    <w:semiHidden/>
    <w:unhideWhenUsed/>
  </w:style>
  <w:style w:type="table" w:customStyle="1" w:styleId="TableGrid20">
    <w:name w:val="TableGrid2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</w:style>
  <w:style w:type="numbering" w:customStyle="1" w:styleId="NoList21">
    <w:name w:val="No List21"/>
    <w:next w:val="NoList"/>
    <w:uiPriority w:val="99"/>
    <w:semiHidden/>
    <w:unhideWhenUsed/>
  </w:style>
  <w:style w:type="paragraph" w:customStyle="1" w:styleId="Heading11">
    <w:name w:val="Heading 11"/>
    <w:basedOn w:val="Normal"/>
    <w:next w:val="Text1"/>
    <w:uiPriority w:val="9"/>
    <w:qFormat/>
    <w:pPr>
      <w:keepNext/>
      <w:tabs>
        <w:tab w:val="num" w:pos="850"/>
      </w:tabs>
      <w:spacing w:before="360"/>
      <w:ind w:left="850" w:hanging="850"/>
      <w:outlineLvl w:val="0"/>
    </w:pPr>
    <w:rPr>
      <w:rFonts w:eastAsia="Times New Roman"/>
      <w:b/>
      <w:bCs/>
      <w:smallCaps/>
      <w:szCs w:val="28"/>
    </w:rPr>
  </w:style>
  <w:style w:type="paragraph" w:customStyle="1" w:styleId="Heading51">
    <w:name w:val="Heading 51"/>
    <w:basedOn w:val="Normal"/>
    <w:next w:val="Normal"/>
    <w:unhideWhenUsed/>
    <w:qFormat/>
    <w:pPr>
      <w:keepNext/>
      <w:keepLines/>
      <w:spacing w:before="40" w:after="0" w:line="259" w:lineRule="auto"/>
      <w:jc w:val="left"/>
      <w:outlineLvl w:val="4"/>
    </w:pPr>
    <w:rPr>
      <w:rFonts w:ascii="Cambria" w:eastAsia="Times New Roman" w:hAnsi="Cambria"/>
      <w:color w:val="365F91"/>
      <w:sz w:val="22"/>
    </w:rPr>
  </w:style>
  <w:style w:type="paragraph" w:customStyle="1" w:styleId="Heading61">
    <w:name w:val="Heading 61"/>
    <w:basedOn w:val="Normal"/>
    <w:next w:val="Normal"/>
    <w:unhideWhenUsed/>
    <w:qFormat/>
    <w:pPr>
      <w:keepNext/>
      <w:keepLines/>
      <w:spacing w:before="40" w:after="0" w:line="259" w:lineRule="auto"/>
      <w:jc w:val="left"/>
      <w:outlineLvl w:val="5"/>
    </w:pPr>
    <w:rPr>
      <w:rFonts w:ascii="Cambria" w:eastAsia="Times New Roman" w:hAnsi="Cambria"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</w:style>
  <w:style w:type="table" w:customStyle="1" w:styleId="TableGrid110">
    <w:name w:val="TableGrid11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1">
    <w:name w:val="List1"/>
    <w:basedOn w:val="Normal"/>
    <w:next w:val="List"/>
    <w:uiPriority w:val="99"/>
    <w:unhideWhenUsed/>
    <w:pPr>
      <w:spacing w:before="0" w:after="160" w:line="259" w:lineRule="auto"/>
      <w:ind w:left="283" w:hanging="283"/>
      <w:contextualSpacing/>
      <w:jc w:val="left"/>
    </w:pPr>
    <w:rPr>
      <w:rFonts w:ascii="Calibri" w:hAnsi="Calibri"/>
      <w:sz w:val="22"/>
    </w:rPr>
  </w:style>
  <w:style w:type="paragraph" w:customStyle="1" w:styleId="List21">
    <w:name w:val="List 21"/>
    <w:basedOn w:val="Normal"/>
    <w:next w:val="List2"/>
    <w:uiPriority w:val="99"/>
    <w:unhideWhenUsed/>
    <w:pPr>
      <w:spacing w:before="0" w:after="160" w:line="259" w:lineRule="auto"/>
      <w:ind w:left="566" w:hanging="283"/>
      <w:contextualSpacing/>
      <w:jc w:val="left"/>
    </w:pPr>
    <w:rPr>
      <w:rFonts w:ascii="Calibri" w:hAnsi="Calibri"/>
      <w:sz w:val="22"/>
    </w:rPr>
  </w:style>
  <w:style w:type="paragraph" w:customStyle="1" w:styleId="List31">
    <w:name w:val="List 31"/>
    <w:basedOn w:val="Normal"/>
    <w:next w:val="List3"/>
    <w:uiPriority w:val="99"/>
    <w:unhideWhenUsed/>
    <w:pPr>
      <w:spacing w:before="0" w:after="160" w:line="259" w:lineRule="auto"/>
      <w:ind w:left="849" w:hanging="283"/>
      <w:contextualSpacing/>
      <w:jc w:val="left"/>
    </w:pPr>
    <w:rPr>
      <w:rFonts w:ascii="Calibri" w:hAnsi="Calibri"/>
      <w:sz w:val="22"/>
    </w:rPr>
  </w:style>
  <w:style w:type="paragraph" w:customStyle="1" w:styleId="ListContinue1">
    <w:name w:val="List Continue1"/>
    <w:basedOn w:val="Normal"/>
    <w:next w:val="ListContinue"/>
    <w:uiPriority w:val="99"/>
    <w:unhideWhenUsed/>
    <w:pPr>
      <w:spacing w:before="0" w:line="259" w:lineRule="auto"/>
      <w:ind w:left="283"/>
      <w:contextualSpacing/>
      <w:jc w:val="left"/>
    </w:pPr>
    <w:rPr>
      <w:rFonts w:ascii="Calibri" w:hAnsi="Calibri"/>
      <w:sz w:val="22"/>
    </w:rPr>
  </w:style>
  <w:style w:type="paragraph" w:customStyle="1" w:styleId="Caption1">
    <w:name w:val="Caption1"/>
    <w:basedOn w:val="Normal"/>
    <w:next w:val="Normal"/>
    <w:uiPriority w:val="99"/>
    <w:unhideWhenUsed/>
    <w:qFormat/>
    <w:pPr>
      <w:spacing w:before="0" w:after="200"/>
      <w:jc w:val="left"/>
    </w:pPr>
    <w:rPr>
      <w:rFonts w:ascii="Calibri" w:hAnsi="Calibri"/>
      <w:i/>
      <w:iCs/>
      <w:color w:val="1F497D"/>
      <w:sz w:val="18"/>
      <w:szCs w:val="18"/>
    </w:rPr>
  </w:style>
  <w:style w:type="table" w:customStyle="1" w:styleId="TableGrid21">
    <w:name w:val="Table Grid21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</w:style>
  <w:style w:type="numbering" w:customStyle="1" w:styleId="NoList211">
    <w:name w:val="No List211"/>
    <w:next w:val="NoList"/>
    <w:uiPriority w:val="99"/>
    <w:semiHidden/>
    <w:unhideWhenUsed/>
  </w:style>
  <w:style w:type="table" w:customStyle="1" w:styleId="TableGrid211">
    <w:name w:val="Table Grid211"/>
    <w:basedOn w:val="TableNormal"/>
    <w:next w:val="TableGrid0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Grid111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1">
    <w:name w:val="Table Grid1111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2">
    <w:name w:val="Heading 1 Char2"/>
    <w:basedOn w:val="DefaultParagraphFont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5Char1">
    <w:name w:val="Heading 5 Char1"/>
    <w:basedOn w:val="DefaultParagraphFont"/>
    <w:uiPriority w:val="9"/>
    <w:semiHidden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Pr>
      <w:rFonts w:ascii="Calibri Light" w:eastAsia="Times New Roman" w:hAnsi="Calibri Light" w:cs="Times New Roman"/>
      <w:color w:val="1F4D78"/>
    </w:rPr>
  </w:style>
  <w:style w:type="character" w:customStyle="1" w:styleId="Heading2Char2">
    <w:name w:val="Heading 2 Char2"/>
    <w:basedOn w:val="DefaultParagraphFont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4">
    <w:name w:val="No List4"/>
    <w:next w:val="NoList"/>
    <w:uiPriority w:val="99"/>
    <w:semiHidden/>
    <w:unhideWhenUsed/>
  </w:style>
  <w:style w:type="numbering" w:customStyle="1" w:styleId="NoList12">
    <w:name w:val="No List12"/>
    <w:next w:val="NoList"/>
    <w:uiPriority w:val="99"/>
    <w:semiHidden/>
    <w:unhideWhenUsed/>
  </w:style>
  <w:style w:type="numbering" w:customStyle="1" w:styleId="NoList22">
    <w:name w:val="No List22"/>
    <w:next w:val="NoList"/>
    <w:uiPriority w:val="99"/>
    <w:semiHidden/>
    <w:unhideWhenUsed/>
  </w:style>
  <w:style w:type="numbering" w:customStyle="1" w:styleId="NoList112">
    <w:name w:val="No List112"/>
    <w:next w:val="NoList"/>
    <w:uiPriority w:val="99"/>
    <w:semiHidden/>
    <w:unhideWhenUsed/>
  </w:style>
  <w:style w:type="table" w:customStyle="1" w:styleId="TableGrid120">
    <w:name w:val="TableGrid12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 Grid22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</w:style>
  <w:style w:type="numbering" w:customStyle="1" w:styleId="NoList212">
    <w:name w:val="No List212"/>
    <w:next w:val="NoList"/>
    <w:uiPriority w:val="99"/>
    <w:semiHidden/>
    <w:unhideWhenUsed/>
  </w:style>
  <w:style w:type="table" w:customStyle="1" w:styleId="TableGrid212">
    <w:name w:val="Table Grid212"/>
    <w:basedOn w:val="TableNormal"/>
    <w:next w:val="TableGrid0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Grid112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2">
    <w:name w:val="Table Grid1112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pPr>
      <w:spacing w:before="0" w:after="160" w:line="259" w:lineRule="auto"/>
      <w:jc w:val="center"/>
    </w:pPr>
    <w:rPr>
      <w:rFonts w:eastAsia="Calibri"/>
      <w:i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left="4748" w:hanging="708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left="5456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left="6164" w:hanging="708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mt-MT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365F91" w:themeColor="accent1" w:themeShade="BF"/>
      <w:lang w:val="mt-MT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color w:val="243F60" w:themeColor="accent1" w:themeShade="7F"/>
      <w:lang w:val="mt-MT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eastAsia="Times New Roman" w:hAnsi="Arial" w:cs="Times New Roman"/>
      <w:sz w:val="20"/>
      <w:szCs w:val="20"/>
      <w:lang w:val="mt-MT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eastAsia="Times New Roman" w:hAnsi="Arial" w:cs="Times New Roman"/>
      <w:i/>
      <w:sz w:val="20"/>
      <w:szCs w:val="20"/>
      <w:lang w:val="mt-MT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="Times New Roman" w:hAnsi="Arial" w:cs="Times New Roman"/>
      <w:i/>
      <w:sz w:val="18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  <w:lang w:val="mt-MT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pPr>
      <w:spacing w:before="0" w:after="140" w:line="276" w:lineRule="auto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">
    <w:name w:val="List"/>
    <w:basedOn w:val="Normal"/>
    <w:uiPriority w:val="99"/>
    <w:unhideWhenUsed/>
    <w:pPr>
      <w:spacing w:before="0" w:after="160" w:line="259" w:lineRule="auto"/>
      <w:ind w:left="283" w:hanging="283"/>
      <w:contextualSpacing/>
      <w:jc w:val="left"/>
    </w:pPr>
    <w:rPr>
      <w:rFonts w:asciiTheme="minorHAnsi" w:hAnsiTheme="minorHAnsi" w:cstheme="minorBidi"/>
      <w:sz w:val="22"/>
    </w:rPr>
  </w:style>
  <w:style w:type="paragraph" w:styleId="List2">
    <w:name w:val="List 2"/>
    <w:basedOn w:val="Normal"/>
    <w:uiPriority w:val="99"/>
    <w:unhideWhenUsed/>
    <w:pPr>
      <w:spacing w:before="0" w:after="160" w:line="259" w:lineRule="auto"/>
      <w:ind w:left="566" w:hanging="283"/>
      <w:contextualSpacing/>
      <w:jc w:val="left"/>
    </w:pPr>
    <w:rPr>
      <w:rFonts w:asciiTheme="minorHAnsi" w:hAnsiTheme="minorHAnsi" w:cstheme="minorBidi"/>
      <w:sz w:val="22"/>
    </w:rPr>
  </w:style>
  <w:style w:type="paragraph" w:styleId="List3">
    <w:name w:val="List 3"/>
    <w:basedOn w:val="Normal"/>
    <w:uiPriority w:val="99"/>
    <w:unhideWhenUsed/>
    <w:pPr>
      <w:spacing w:before="0" w:after="160" w:line="259" w:lineRule="auto"/>
      <w:ind w:left="849" w:hanging="283"/>
      <w:contextualSpacing/>
      <w:jc w:val="left"/>
    </w:pPr>
    <w:rPr>
      <w:rFonts w:asciiTheme="minorHAnsi" w:hAnsiTheme="minorHAnsi" w:cstheme="minorBidi"/>
      <w:sz w:val="22"/>
    </w:rPr>
  </w:style>
  <w:style w:type="paragraph" w:styleId="ListContinue">
    <w:name w:val="List Continue"/>
    <w:basedOn w:val="Normal"/>
    <w:uiPriority w:val="99"/>
    <w:unhideWhenUsed/>
    <w:pPr>
      <w:spacing w:before="0" w:line="259" w:lineRule="auto"/>
      <w:ind w:left="283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nhideWhenUsed/>
    <w:qFormat/>
    <w:pPr>
      <w:spacing w:before="0" w:after="200"/>
      <w:jc w:val="left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noteCharacters">
    <w:name w:val="Footnote Characters"/>
    <w:uiPriority w:val="99"/>
    <w:qFormat/>
  </w:style>
  <w:style w:type="character" w:customStyle="1" w:styleId="FootnoteAnchor">
    <w:name w:val="Footnote Anchor"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mt-MT"/>
    </w:rPr>
  </w:style>
  <w:style w:type="paragraph" w:customStyle="1" w:styleId="AddressTL">
    <w:name w:val="AddressTL"/>
    <w:basedOn w:val="Normal"/>
    <w:next w:val="Normal"/>
    <w:uiPriority w:val="99"/>
    <w:pPr>
      <w:spacing w:before="0" w:after="720"/>
      <w:jc w:val="left"/>
    </w:pPr>
    <w:rPr>
      <w:rFonts w:eastAsia="Times New Roman"/>
      <w:szCs w:val="20"/>
    </w:rPr>
  </w:style>
  <w:style w:type="paragraph" w:customStyle="1" w:styleId="AddressTR">
    <w:name w:val="AddressTR"/>
    <w:basedOn w:val="Normal"/>
    <w:next w:val="Normal"/>
    <w:uiPriority w:val="99"/>
    <w:pPr>
      <w:spacing w:before="0" w:after="720"/>
      <w:ind w:left="5103"/>
      <w:jc w:val="left"/>
    </w:pPr>
    <w:rPr>
      <w:rFonts w:eastAsia="Times New Roman"/>
      <w:szCs w:val="20"/>
    </w:rPr>
  </w:style>
  <w:style w:type="paragraph" w:styleId="BlockText">
    <w:name w:val="Block Text"/>
    <w:basedOn w:val="Normal"/>
    <w:uiPriority w:val="99"/>
    <w:pPr>
      <w:spacing w:before="0"/>
      <w:ind w:left="1440" w:right="144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uiPriority w:val="99"/>
    <w:pPr>
      <w:spacing w:before="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3">
    <w:name w:val="Body Text 3"/>
    <w:basedOn w:val="Normal"/>
    <w:link w:val="BodyText3Char"/>
    <w:uiPriority w:val="99"/>
    <w:pPr>
      <w:spacing w:before="0"/>
    </w:pPr>
    <w:rPr>
      <w:rFonts w:eastAsia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20"/>
      <w:lang w:val="mt-MT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 w:line="240" w:lineRule="auto"/>
      <w:ind w:firstLine="210"/>
      <w:jc w:val="both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eastAsia="Times New Roman" w:hAnsi="Times New Roman" w:cs="Times New Roman"/>
      <w:kern w:val="2"/>
      <w:sz w:val="24"/>
      <w:szCs w:val="20"/>
      <w:lang w:val="mt-MT" w:eastAsia="zh-CN" w:bidi="hi-IN"/>
    </w:rPr>
  </w:style>
  <w:style w:type="paragraph" w:styleId="BodyTextIndent">
    <w:name w:val="Body Text Indent"/>
    <w:basedOn w:val="Normal"/>
    <w:link w:val="BodyTextIndentChar"/>
    <w:uiPriority w:val="99"/>
    <w:pPr>
      <w:spacing w:before="0"/>
      <w:ind w:left="283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Indent2">
    <w:name w:val="Body Text Indent 2"/>
    <w:basedOn w:val="Normal"/>
    <w:link w:val="BodyTextIndent2Char"/>
    <w:uiPriority w:val="99"/>
    <w:pPr>
      <w:spacing w:before="0"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BodyTextIndent3">
    <w:name w:val="Body Text Indent 3"/>
    <w:basedOn w:val="Normal"/>
    <w:link w:val="BodyTextIndent3Char"/>
    <w:uiPriority w:val="99"/>
    <w:pPr>
      <w:spacing w:before="0"/>
      <w:ind w:left="283"/>
    </w:pPr>
    <w:rPr>
      <w:rFonts w:eastAsia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20"/>
      <w:lang w:val="mt-MT"/>
    </w:rPr>
  </w:style>
  <w:style w:type="paragraph" w:styleId="Closing">
    <w:name w:val="Closing"/>
    <w:basedOn w:val="Normal"/>
    <w:next w:val="Signature"/>
    <w:link w:val="ClosingChar"/>
    <w:uiPriority w:val="99"/>
    <w:pPr>
      <w:tabs>
        <w:tab w:val="left" w:pos="5103"/>
      </w:tabs>
      <w:spacing w:before="240" w:after="240"/>
      <w:ind w:left="5103"/>
      <w:jc w:val="left"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  <w:rPr>
      <w:rFonts w:eastAsia="Times New Roman"/>
      <w:szCs w:val="20"/>
    </w:r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customStyle="1" w:styleId="Participants">
    <w:name w:val="Participants"/>
    <w:basedOn w:val="Normal"/>
    <w:next w:val="Copies"/>
    <w:uiPriority w:val="99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customStyle="1" w:styleId="Copies">
    <w:name w:val="Copies"/>
    <w:basedOn w:val="Normal"/>
    <w:next w:val="Normal"/>
    <w:uiPriority w:val="99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styleId="Date">
    <w:name w:val="Date"/>
    <w:basedOn w:val="Normal"/>
    <w:next w:val="References"/>
    <w:link w:val="DateChar"/>
    <w:uiPriority w:val="99"/>
    <w:pPr>
      <w:spacing w:before="0" w:after="0"/>
      <w:ind w:left="5103" w:right="-567"/>
      <w:jc w:val="left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customStyle="1" w:styleId="References">
    <w:name w:val="References"/>
    <w:basedOn w:val="Normal"/>
    <w:next w:val="AddressTR"/>
    <w:uiPriority w:val="99"/>
    <w:pPr>
      <w:spacing w:before="0" w:after="240"/>
      <w:ind w:left="5103"/>
      <w:jc w:val="left"/>
    </w:pPr>
    <w:rPr>
      <w:rFonts w:eastAsia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  <w:spacing w:before="0" w:after="240"/>
    </w:pPr>
    <w:rPr>
      <w:rFonts w:ascii="Tahoma" w:eastAsia="Times New Roman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imes New Roman"/>
      <w:sz w:val="24"/>
      <w:szCs w:val="20"/>
      <w:shd w:val="clear" w:color="auto" w:fill="000080"/>
      <w:lang w:val="mt-MT"/>
    </w:rPr>
  </w:style>
  <w:style w:type="paragraph" w:customStyle="1" w:styleId="DoubSign">
    <w:name w:val="DoubSign"/>
    <w:basedOn w:val="Normal"/>
    <w:next w:val="Contact"/>
    <w:uiPriority w:val="99"/>
    <w:pPr>
      <w:tabs>
        <w:tab w:val="left" w:pos="5103"/>
      </w:tabs>
      <w:spacing w:before="1200" w:after="0"/>
      <w:jc w:val="left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mt-MT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 w:after="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pPr>
      <w:spacing w:before="0" w:after="0"/>
    </w:pPr>
    <w:rPr>
      <w:rFonts w:eastAsia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spacing w:before="0" w:after="240"/>
      <w:ind w:left="240" w:hanging="240"/>
    </w:pPr>
    <w:rPr>
      <w:rFonts w:eastAsia="Times New Roman"/>
      <w:szCs w:val="20"/>
    </w:rPr>
  </w:style>
  <w:style w:type="paragraph" w:styleId="Index2">
    <w:name w:val="index 2"/>
    <w:basedOn w:val="Normal"/>
    <w:next w:val="Normal"/>
    <w:autoRedefine/>
    <w:uiPriority w:val="99"/>
    <w:semiHidden/>
    <w:pPr>
      <w:spacing w:before="0" w:after="240"/>
      <w:ind w:left="480" w:hanging="240"/>
    </w:pPr>
    <w:rPr>
      <w:rFonts w:eastAsia="Times New Roman"/>
      <w:szCs w:val="20"/>
    </w:rPr>
  </w:style>
  <w:style w:type="paragraph" w:styleId="Index3">
    <w:name w:val="index 3"/>
    <w:basedOn w:val="Normal"/>
    <w:next w:val="Normal"/>
    <w:autoRedefine/>
    <w:uiPriority w:val="99"/>
    <w:semiHidden/>
    <w:pPr>
      <w:spacing w:before="0" w:after="240"/>
      <w:ind w:left="720" w:hanging="240"/>
    </w:pPr>
    <w:rPr>
      <w:rFonts w:eastAsia="Times New Roman"/>
      <w:szCs w:val="20"/>
    </w:rPr>
  </w:style>
  <w:style w:type="paragraph" w:styleId="Index4">
    <w:name w:val="index 4"/>
    <w:basedOn w:val="Normal"/>
    <w:next w:val="Normal"/>
    <w:autoRedefine/>
    <w:uiPriority w:val="99"/>
    <w:semiHidden/>
    <w:pPr>
      <w:spacing w:before="0" w:after="240"/>
      <w:ind w:left="960" w:hanging="240"/>
    </w:pPr>
    <w:rPr>
      <w:rFonts w:eastAsia="Times New Roman"/>
      <w:szCs w:val="20"/>
    </w:rPr>
  </w:style>
  <w:style w:type="paragraph" w:styleId="Index5">
    <w:name w:val="index 5"/>
    <w:basedOn w:val="Normal"/>
    <w:next w:val="Normal"/>
    <w:autoRedefine/>
    <w:uiPriority w:val="99"/>
    <w:semiHidden/>
    <w:pPr>
      <w:spacing w:before="0" w:after="240"/>
      <w:ind w:left="1200" w:hanging="240"/>
    </w:pPr>
    <w:rPr>
      <w:rFonts w:eastAsia="Times New Roman"/>
      <w:szCs w:val="20"/>
    </w:rPr>
  </w:style>
  <w:style w:type="paragraph" w:styleId="Index6">
    <w:name w:val="index 6"/>
    <w:basedOn w:val="Normal"/>
    <w:next w:val="Normal"/>
    <w:autoRedefine/>
    <w:uiPriority w:val="99"/>
    <w:semiHidden/>
    <w:pPr>
      <w:spacing w:before="0" w:after="240"/>
      <w:ind w:left="1440" w:hanging="240"/>
    </w:pPr>
    <w:rPr>
      <w:rFonts w:eastAsia="Times New Roman"/>
      <w:szCs w:val="20"/>
    </w:rPr>
  </w:style>
  <w:style w:type="paragraph" w:styleId="Index7">
    <w:name w:val="index 7"/>
    <w:basedOn w:val="Normal"/>
    <w:next w:val="Normal"/>
    <w:autoRedefine/>
    <w:uiPriority w:val="99"/>
    <w:semiHidden/>
    <w:pPr>
      <w:spacing w:before="0" w:after="240"/>
      <w:ind w:left="1680" w:hanging="240"/>
    </w:pPr>
    <w:rPr>
      <w:rFonts w:eastAsia="Times New Roman"/>
      <w:szCs w:val="20"/>
    </w:rPr>
  </w:style>
  <w:style w:type="paragraph" w:styleId="Index8">
    <w:name w:val="index 8"/>
    <w:basedOn w:val="Normal"/>
    <w:next w:val="Normal"/>
    <w:autoRedefine/>
    <w:uiPriority w:val="99"/>
    <w:semiHidden/>
    <w:pPr>
      <w:spacing w:before="0" w:after="240"/>
      <w:ind w:left="1920" w:hanging="240"/>
    </w:pPr>
    <w:rPr>
      <w:rFonts w:eastAsia="Times New Roman"/>
      <w:szCs w:val="20"/>
    </w:rPr>
  </w:style>
  <w:style w:type="paragraph" w:styleId="Index9">
    <w:name w:val="index 9"/>
    <w:basedOn w:val="Normal"/>
    <w:next w:val="Normal"/>
    <w:autoRedefine/>
    <w:uiPriority w:val="99"/>
    <w:semiHidden/>
    <w:pPr>
      <w:spacing w:before="0" w:after="240"/>
      <w:ind w:left="2160" w:hanging="240"/>
    </w:pPr>
    <w:rPr>
      <w:rFonts w:eastAsia="Times New Roman"/>
      <w:szCs w:val="20"/>
    </w:rPr>
  </w:style>
  <w:style w:type="paragraph" w:styleId="IndexHeading">
    <w:name w:val="index heading"/>
    <w:basedOn w:val="Normal"/>
    <w:next w:val="Index1"/>
    <w:uiPriority w:val="99"/>
    <w:semiHidden/>
    <w:pPr>
      <w:spacing w:before="0" w:after="240"/>
    </w:pPr>
    <w:rPr>
      <w:rFonts w:ascii="Arial" w:eastAsia="Times New Roman" w:hAnsi="Arial"/>
      <w:b/>
      <w:szCs w:val="20"/>
    </w:rPr>
  </w:style>
  <w:style w:type="paragraph" w:styleId="List4">
    <w:name w:val="List 4"/>
    <w:basedOn w:val="Normal"/>
    <w:uiPriority w:val="99"/>
    <w:pPr>
      <w:spacing w:before="0" w:after="240"/>
      <w:ind w:left="1132" w:hanging="283"/>
    </w:pPr>
    <w:rPr>
      <w:rFonts w:eastAsia="Times New Roman"/>
      <w:szCs w:val="20"/>
    </w:rPr>
  </w:style>
  <w:style w:type="paragraph" w:styleId="List5">
    <w:name w:val="List 5"/>
    <w:basedOn w:val="Normal"/>
    <w:uiPriority w:val="99"/>
    <w:pPr>
      <w:spacing w:before="0" w:after="240"/>
      <w:ind w:left="1415" w:hanging="283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3"/>
      </w:numPr>
      <w:spacing w:before="0" w:after="240"/>
    </w:pPr>
    <w:rPr>
      <w:rFonts w:eastAsia="Times New Roman"/>
      <w:szCs w:val="20"/>
    </w:rPr>
  </w:style>
  <w:style w:type="paragraph" w:styleId="ListBullet2">
    <w:name w:val="List Bullet 2"/>
    <w:basedOn w:val="Text2"/>
    <w:uiPriority w:val="99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ListBullet3">
    <w:name w:val="List Bullet 3"/>
    <w:basedOn w:val="Text3"/>
    <w:uiPriority w:val="99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ListBullet4">
    <w:name w:val="List Bullet 4"/>
    <w:basedOn w:val="Text4"/>
    <w:uiPriority w:val="99"/>
    <w:pPr>
      <w:numPr>
        <w:numId w:val="7"/>
      </w:numPr>
      <w:spacing w:before="0" w:after="240"/>
    </w:pPr>
    <w:rPr>
      <w:rFonts w:eastAsia="Times New Roman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1"/>
      </w:numPr>
      <w:spacing w:before="0" w:after="240"/>
    </w:pPr>
    <w:rPr>
      <w:rFonts w:eastAsia="Times New Roman"/>
      <w:szCs w:val="20"/>
    </w:rPr>
  </w:style>
  <w:style w:type="paragraph" w:styleId="ListContinue2">
    <w:name w:val="List Continue 2"/>
    <w:basedOn w:val="Normal"/>
    <w:uiPriority w:val="99"/>
    <w:pPr>
      <w:spacing w:before="0"/>
      <w:ind w:left="566"/>
    </w:pPr>
    <w:rPr>
      <w:rFonts w:eastAsia="Times New Roman"/>
      <w:szCs w:val="20"/>
    </w:rPr>
  </w:style>
  <w:style w:type="paragraph" w:styleId="ListContinue3">
    <w:name w:val="List Continue 3"/>
    <w:basedOn w:val="Normal"/>
    <w:uiPriority w:val="99"/>
    <w:pPr>
      <w:spacing w:before="0"/>
      <w:ind w:left="849"/>
    </w:pPr>
    <w:rPr>
      <w:rFonts w:eastAsia="Times New Roman"/>
      <w:szCs w:val="20"/>
    </w:rPr>
  </w:style>
  <w:style w:type="paragraph" w:styleId="ListContinue4">
    <w:name w:val="List Continue 4"/>
    <w:basedOn w:val="Normal"/>
    <w:uiPriority w:val="99"/>
    <w:pPr>
      <w:spacing w:before="0"/>
      <w:ind w:left="1132"/>
    </w:pPr>
    <w:rPr>
      <w:rFonts w:eastAsia="Times New Roman"/>
      <w:szCs w:val="20"/>
    </w:rPr>
  </w:style>
  <w:style w:type="paragraph" w:styleId="ListContinue5">
    <w:name w:val="List Continue 5"/>
    <w:basedOn w:val="Normal"/>
    <w:uiPriority w:val="99"/>
    <w:pPr>
      <w:spacing w:before="0"/>
      <w:ind w:left="1415"/>
    </w:pPr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13"/>
      </w:numPr>
      <w:spacing w:before="0" w:after="240"/>
    </w:pPr>
    <w:rPr>
      <w:rFonts w:eastAsia="Times New Roman"/>
      <w:szCs w:val="20"/>
    </w:rPr>
  </w:style>
  <w:style w:type="paragraph" w:styleId="ListNumber2">
    <w:name w:val="List Number 2"/>
    <w:basedOn w:val="Text2"/>
    <w:uiPriority w:val="99"/>
    <w:pPr>
      <w:numPr>
        <w:numId w:val="17"/>
      </w:numPr>
      <w:spacing w:before="0" w:after="240"/>
    </w:pPr>
    <w:rPr>
      <w:rFonts w:eastAsia="Times New Roman"/>
      <w:szCs w:val="20"/>
    </w:rPr>
  </w:style>
  <w:style w:type="paragraph" w:styleId="ListNumber3">
    <w:name w:val="List Number 3"/>
    <w:basedOn w:val="Text3"/>
    <w:uiPriority w:val="99"/>
    <w:pPr>
      <w:numPr>
        <w:numId w:val="14"/>
      </w:numPr>
      <w:spacing w:before="0" w:after="240"/>
    </w:pPr>
    <w:rPr>
      <w:rFonts w:eastAsia="Times New Roman"/>
      <w:szCs w:val="20"/>
    </w:rPr>
  </w:style>
  <w:style w:type="paragraph" w:styleId="ListNumber4">
    <w:name w:val="List Number 4"/>
    <w:basedOn w:val="Text4"/>
    <w:uiPriority w:val="99"/>
    <w:pPr>
      <w:numPr>
        <w:numId w:val="15"/>
      </w:numPr>
      <w:spacing w:before="0" w:after="240"/>
    </w:pPr>
    <w:rPr>
      <w:rFonts w:eastAsia="Times New Roman"/>
      <w:szCs w:val="20"/>
    </w:rPr>
  </w:style>
  <w:style w:type="paragraph" w:styleId="ListNumber5">
    <w:name w:val="List Number 5"/>
    <w:basedOn w:val="Normal"/>
    <w:uiPriority w:val="99"/>
    <w:pPr>
      <w:numPr>
        <w:numId w:val="2"/>
      </w:numPr>
      <w:spacing w:before="0" w:after="240"/>
    </w:pPr>
    <w:rPr>
      <w:rFonts w:eastAsia="Times New Roman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eastAsia="Times New Roman" w:hAnsi="Courier New" w:cs="Times New Roman"/>
      <w:sz w:val="20"/>
      <w:szCs w:val="20"/>
      <w:lang w:val="mt-MT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/>
      <w:ind w:left="1134" w:hanging="1134"/>
    </w:pPr>
    <w:rPr>
      <w:rFonts w:ascii="Arial" w:eastAsia="Times New Roman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Times New Roman" w:hAnsi="Arial" w:cs="Times New Roman"/>
      <w:sz w:val="24"/>
      <w:szCs w:val="20"/>
      <w:shd w:val="pct20" w:color="auto" w:fill="auto"/>
      <w:lang w:val="mt-MT"/>
    </w:rPr>
  </w:style>
  <w:style w:type="paragraph" w:styleId="NormalIndent">
    <w:name w:val="Normal Indent"/>
    <w:basedOn w:val="Normal"/>
    <w:uiPriority w:val="99"/>
    <w:pPr>
      <w:spacing w:before="0" w:after="240"/>
      <w:ind w:left="720"/>
    </w:pPr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pPr>
      <w:spacing w:before="0" w:after="240"/>
    </w:pPr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eastAsia="Times New Roman"/>
      <w:b/>
      <w:smallCaps/>
      <w:szCs w:val="20"/>
    </w:rPr>
  </w:style>
  <w:style w:type="paragraph" w:customStyle="1" w:styleId="Subject">
    <w:name w:val="Subject"/>
    <w:basedOn w:val="Normal"/>
    <w:next w:val="Normal"/>
    <w:uiPriority w:val="99"/>
    <w:pPr>
      <w:spacing w:before="0" w:after="480"/>
      <w:ind w:left="1531" w:hanging="1531"/>
      <w:jc w:val="left"/>
    </w:pPr>
    <w:rPr>
      <w:rFonts w:eastAsia="Times New Roman"/>
      <w:b/>
      <w:szCs w:val="20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eastAsia="Times New Roman"/>
      <w:b/>
      <w:smallCaps/>
      <w:szCs w:val="20"/>
    </w:rPr>
  </w:style>
  <w:style w:type="paragraph" w:styleId="PlainText">
    <w:name w:val="Plain Text"/>
    <w:basedOn w:val="Normal"/>
    <w:link w:val="PlainTextChar"/>
    <w:uiPriority w:val="99"/>
    <w:pPr>
      <w:spacing w:before="0" w:after="24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Times New Roman"/>
      <w:sz w:val="20"/>
      <w:szCs w:val="20"/>
      <w:lang w:val="mt-MT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eastAsia="Times New Roman" w:hAnsi="Times New Roman" w:cs="Times New Roman"/>
      <w:sz w:val="24"/>
      <w:szCs w:val="20"/>
      <w:lang w:val="mt-MT"/>
    </w:rPr>
  </w:style>
  <w:style w:type="paragraph" w:styleId="Subtitle">
    <w:name w:val="Subtitle"/>
    <w:basedOn w:val="Normal"/>
    <w:link w:val="SubtitleChar"/>
    <w:uiPriority w:val="99"/>
    <w:qFormat/>
    <w:pPr>
      <w:spacing w:before="0" w:after="60"/>
      <w:jc w:val="center"/>
      <w:outlineLvl w:val="1"/>
    </w:pPr>
    <w:rPr>
      <w:rFonts w:ascii="Arial" w:eastAsia="Times New Roman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Times New Roman" w:hAnsi="Arial" w:cs="Times New Roman"/>
      <w:sz w:val="24"/>
      <w:szCs w:val="20"/>
      <w:lang w:val="mt-MT"/>
    </w:rPr>
  </w:style>
  <w:style w:type="paragraph" w:styleId="TableofAuthorities">
    <w:name w:val="table of authorities"/>
    <w:basedOn w:val="Normal"/>
    <w:next w:val="Normal"/>
    <w:uiPriority w:val="99"/>
    <w:semiHidden/>
    <w:pPr>
      <w:spacing w:before="0" w:after="240"/>
      <w:ind w:left="240" w:hanging="240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semiHidden/>
    <w:pPr>
      <w:spacing w:before="0" w:after="240"/>
      <w:ind w:left="480" w:hanging="480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Times New Roman"/>
      <w:b/>
      <w:kern w:val="28"/>
      <w:sz w:val="32"/>
      <w:szCs w:val="20"/>
      <w:lang w:val="mt-MT"/>
    </w:rPr>
  </w:style>
  <w:style w:type="paragraph" w:styleId="TOAHeading">
    <w:name w:val="toa heading"/>
    <w:basedOn w:val="Normal"/>
    <w:next w:val="Normal"/>
    <w:uiPriority w:val="99"/>
    <w:semiHidden/>
    <w:pPr>
      <w:spacing w:after="240"/>
    </w:pPr>
    <w:rPr>
      <w:rFonts w:ascii="Arial" w:eastAsia="Times New Roman" w:hAnsi="Arial"/>
      <w:b/>
      <w:szCs w:val="20"/>
    </w:rPr>
  </w:style>
  <w:style w:type="paragraph" w:customStyle="1" w:styleId="YReferences">
    <w:name w:val="YReferences"/>
    <w:basedOn w:val="Normal"/>
    <w:next w:val="Normal"/>
    <w:uiPriority w:val="99"/>
    <w:pPr>
      <w:spacing w:before="0" w:after="480"/>
      <w:ind w:left="1531" w:hanging="1531"/>
    </w:pPr>
    <w:rPr>
      <w:rFonts w:eastAsia="Times New Roman"/>
      <w:szCs w:val="20"/>
    </w:rPr>
  </w:style>
  <w:style w:type="paragraph" w:customStyle="1" w:styleId="ListBullet1">
    <w:name w:val="List Bullet 1"/>
    <w:basedOn w:val="Text1"/>
    <w:uiPriority w:val="99"/>
    <w:pPr>
      <w:numPr>
        <w:numId w:val="4"/>
      </w:numPr>
      <w:tabs>
        <w:tab w:val="clear" w:pos="765"/>
        <w:tab w:val="num" w:pos="720"/>
      </w:tabs>
      <w:spacing w:before="0" w:after="240"/>
      <w:ind w:left="720" w:hanging="360"/>
    </w:pPr>
    <w:rPr>
      <w:rFonts w:eastAsia="Times New Roman"/>
      <w:szCs w:val="20"/>
    </w:rPr>
  </w:style>
  <w:style w:type="paragraph" w:customStyle="1" w:styleId="ListDash">
    <w:name w:val="List Dash"/>
    <w:basedOn w:val="Normal"/>
    <w:uiPriority w:val="99"/>
    <w:pPr>
      <w:numPr>
        <w:numId w:val="8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"/>
    <w:uiPriority w:val="99"/>
    <w:pPr>
      <w:numPr>
        <w:numId w:val="9"/>
      </w:numPr>
      <w:tabs>
        <w:tab w:val="clear" w:pos="765"/>
        <w:tab w:val="num" w:pos="720"/>
      </w:tabs>
      <w:spacing w:before="0" w:after="240"/>
      <w:ind w:left="858" w:hanging="360"/>
    </w:pPr>
    <w:rPr>
      <w:rFonts w:eastAsia="Times New Roman"/>
      <w:szCs w:val="20"/>
    </w:rPr>
  </w:style>
  <w:style w:type="paragraph" w:customStyle="1" w:styleId="ListDash2">
    <w:name w:val="List Dash 2"/>
    <w:basedOn w:val="Text2"/>
    <w:uiPriority w:val="99"/>
    <w:pPr>
      <w:numPr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uiPriority w:val="99"/>
    <w:pPr>
      <w:numPr>
        <w:numId w:val="11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uiPriority w:val="99"/>
    <w:pPr>
      <w:numPr>
        <w:numId w:val="12"/>
      </w:numPr>
      <w:spacing w:before="0" w:after="24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uiPriority w:val="99"/>
    <w:pPr>
      <w:numPr>
        <w:numId w:val="16"/>
      </w:numPr>
      <w:tabs>
        <w:tab w:val="clear" w:pos="1191"/>
      </w:tabs>
      <w:spacing w:before="0" w:after="240"/>
      <w:ind w:left="1440" w:hanging="36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6"/>
      </w:numPr>
      <w:tabs>
        <w:tab w:val="clear" w:pos="1899"/>
      </w:tabs>
      <w:spacing w:before="0" w:after="240"/>
      <w:ind w:left="1800" w:hanging="36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6"/>
      </w:numPr>
      <w:tabs>
        <w:tab w:val="clear" w:pos="2608"/>
      </w:tabs>
      <w:spacing w:before="0" w:after="240"/>
      <w:ind w:left="2520" w:hanging="36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6"/>
      </w:numPr>
      <w:tabs>
        <w:tab w:val="clear" w:pos="3317"/>
      </w:tabs>
      <w:spacing w:before="0" w:after="240"/>
      <w:ind w:left="3240" w:hanging="36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4"/>
      </w:numPr>
      <w:spacing w:before="0" w:after="240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4"/>
      </w:numPr>
      <w:spacing w:before="0" w:after="240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4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5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5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5"/>
      </w:numPr>
      <w:spacing w:before="0" w:after="240"/>
    </w:pPr>
    <w:rPr>
      <w:rFonts w:eastAsia="Times New Roman"/>
      <w:szCs w:val="20"/>
    </w:rPr>
  </w:style>
  <w:style w:type="paragraph" w:customStyle="1" w:styleId="DisclaimerNotice">
    <w:name w:val="Disclaimer Notice"/>
    <w:basedOn w:val="Normal"/>
    <w:next w:val="AddressTR"/>
    <w:uiPriority w:val="99"/>
    <w:pPr>
      <w:spacing w:before="0" w:after="240"/>
      <w:ind w:left="5103"/>
      <w:jc w:val="left"/>
    </w:pPr>
    <w:rPr>
      <w:rFonts w:eastAsia="Times New Roman"/>
      <w:i/>
      <w:sz w:val="20"/>
      <w:szCs w:val="20"/>
    </w:rPr>
  </w:style>
  <w:style w:type="paragraph" w:customStyle="1" w:styleId="DisclaimerSJ">
    <w:name w:val="Disclaimer_SJ"/>
    <w:basedOn w:val="Normal"/>
    <w:next w:val="Normal"/>
    <w:uiPriority w:val="99"/>
    <w:pPr>
      <w:spacing w:before="0" w:after="0"/>
    </w:pPr>
    <w:rPr>
      <w:rFonts w:ascii="Arial" w:eastAsia="Times New Roman" w:hAnsi="Arial"/>
      <w:b/>
      <w:sz w:val="16"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infoblue">
    <w:name w:val="infoblue"/>
    <w:basedOn w:val="Normal"/>
    <w:link w:val="infoblueChar"/>
    <w:pPr>
      <w:spacing w:before="0" w:line="240" w:lineRule="atLeast"/>
      <w:ind w:left="720"/>
      <w:jc w:val="left"/>
    </w:pPr>
    <w:rPr>
      <w:rFonts w:eastAsia="SimSun"/>
      <w:i/>
      <w:iCs/>
      <w:color w:val="0000FF"/>
      <w:szCs w:val="20"/>
      <w:lang w:eastAsia="zh-CN"/>
    </w:rPr>
  </w:style>
  <w:style w:type="character" w:customStyle="1" w:styleId="infoblueChar">
    <w:name w:val="infoblue Char"/>
    <w:link w:val="infoblue"/>
    <w:rPr>
      <w:rFonts w:ascii="Times New Roman" w:eastAsia="SimSun" w:hAnsi="Times New Roman" w:cs="Times New Roman"/>
      <w:i/>
      <w:iCs/>
      <w:color w:val="0000FF"/>
      <w:sz w:val="24"/>
      <w:szCs w:val="20"/>
      <w:lang w:val="mt-MT" w:eastAsia="zh-CN"/>
    </w:rPr>
  </w:style>
  <w:style w:type="paragraph" w:customStyle="1" w:styleId="Marking">
    <w:name w:val="Marking"/>
    <w:basedOn w:val="Normal"/>
    <w:uiPriority w:val="99"/>
    <w:pPr>
      <w:spacing w:before="0" w:after="240" w:line="276" w:lineRule="auto"/>
      <w:ind w:left="5115"/>
      <w:contextualSpacing/>
      <w:jc w:val="left"/>
    </w:pPr>
    <w:rPr>
      <w:rFonts w:eastAsia="Calibri"/>
      <w:i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Times New Roman"/>
      <w:sz w:val="20"/>
      <w:szCs w:val="20"/>
      <w:lang w:val="mt-MT" w:eastAsia="x-none"/>
    </w:rPr>
  </w:style>
  <w:style w:type="paragraph" w:customStyle="1" w:styleId="Style1">
    <w:name w:val="Style1"/>
    <w:basedOn w:val="Normal"/>
    <w:uiPriority w:val="99"/>
    <w:pPr>
      <w:tabs>
        <w:tab w:val="left" w:pos="6480"/>
      </w:tabs>
      <w:suppressAutoHyphens/>
    </w:pPr>
    <w:rPr>
      <w:rFonts w:ascii="Arial" w:eastAsia="Times New Roman" w:hAnsi="Arial" w:cs="Arial"/>
      <w:b/>
      <w:bCs/>
      <w:sz w:val="22"/>
      <w:szCs w:val="24"/>
      <w:u w:val="single"/>
      <w:lang w:eastAsia="ar-SA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n-GB"/>
    </w:rPr>
  </w:style>
  <w:style w:type="paragraph" w:customStyle="1" w:styleId="noprint">
    <w:name w:val="noprint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1">
    <w:name w:val="footnote1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2">
    <w:name w:val="footnote2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3">
    <w:name w:val="footnote3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4">
    <w:name w:val="footnote4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5">
    <w:name w:val="footnote5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6">
    <w:name w:val="footnote6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7">
    <w:name w:val="footnote7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8">
    <w:name w:val="footnote8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9">
    <w:name w:val="footnote9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0">
    <w:name w:val="footnote10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1">
    <w:name w:val="footnote11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body-bold-blue">
    <w:name w:val="body-bold-blue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  <w:style w:type="paragraph" w:customStyle="1" w:styleId="footnote12">
    <w:name w:val="footnote12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3">
    <w:name w:val="footnote13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4">
    <w:name w:val="footnote14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5">
    <w:name w:val="footnote15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6">
    <w:name w:val="footnote16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7">
    <w:name w:val="footnote17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18">
    <w:name w:val="footnote18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noscreenshow">
    <w:name w:val="no_screen_show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vanish/>
      <w:szCs w:val="24"/>
      <w:lang w:eastAsia="en-GB"/>
    </w:rPr>
  </w:style>
  <w:style w:type="paragraph" w:customStyle="1" w:styleId="footnote19">
    <w:name w:val="footnote19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noprintshow">
    <w:name w:val="no_print_show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vanish/>
      <w:szCs w:val="24"/>
      <w:lang w:eastAsia="en-GB"/>
    </w:rPr>
  </w:style>
  <w:style w:type="paragraph" w:customStyle="1" w:styleId="footnote20">
    <w:name w:val="footnote20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1">
    <w:name w:val="footnote21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2">
    <w:name w:val="footnote22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3">
    <w:name w:val="footnote23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4">
    <w:name w:val="footnote24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paragraph" w:customStyle="1" w:styleId="footnote25">
    <w:name w:val="footnote25"/>
    <w:basedOn w:val="Normal"/>
    <w:uiPriority w:val="99"/>
    <w:semiHidden/>
    <w:pPr>
      <w:spacing w:before="100" w:beforeAutospacing="1" w:after="100" w:afterAutospacing="1"/>
      <w:jc w:val="left"/>
    </w:pPr>
    <w:rPr>
      <w:rFonts w:eastAsiaTheme="minorEastAsia"/>
      <w:sz w:val="18"/>
      <w:szCs w:val="18"/>
      <w:lang w:eastAsia="en-GB"/>
    </w:rPr>
  </w:style>
  <w:style w:type="character" w:customStyle="1" w:styleId="body-bold-blue1">
    <w:name w:val="body-bold-blue1"/>
    <w:basedOn w:val="DefaultParagraphFont"/>
  </w:style>
  <w:style w:type="character" w:customStyle="1" w:styleId="footnote">
    <w:name w:val="footnote"/>
    <w:basedOn w:val="DefaultParagraphFont"/>
  </w:style>
  <w:style w:type="character" w:customStyle="1" w:styleId="lbb">
    <w:name w:val="lbb"/>
    <w:basedOn w:val="DefaultParagraphFont"/>
  </w:style>
  <w:style w:type="character" w:customStyle="1" w:styleId="lb">
    <w:name w:val="lb"/>
    <w:basedOn w:val="DefaultParagraphFont"/>
  </w:style>
  <w:style w:type="character" w:customStyle="1" w:styleId="bb">
    <w:name w:val="bb"/>
    <w:basedOn w:val="DefaultParagraphFont"/>
  </w:style>
  <w:style w:type="paragraph" w:customStyle="1" w:styleId="Hoofdstuk1">
    <w:name w:val="Hoofdstuk1"/>
    <w:basedOn w:val="Normal"/>
    <w:next w:val="Normal"/>
    <w:uiPriority w:val="9"/>
    <w:qFormat/>
    <w:pPr>
      <w:keepNext/>
      <w:keepLines/>
      <w:spacing w:before="240" w:after="0" w:line="276" w:lineRule="auto"/>
      <w:jc w:val="left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keepNext/>
      <w:keepLines/>
      <w:spacing w:before="40" w:after="0" w:line="276" w:lineRule="auto"/>
      <w:jc w:val="left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keepNext/>
      <w:keepLines/>
      <w:spacing w:before="40" w:after="0" w:line="276" w:lineRule="auto"/>
      <w:jc w:val="left"/>
      <w:outlineLvl w:val="2"/>
    </w:pPr>
    <w:rPr>
      <w:rFonts w:ascii="Cambria" w:eastAsia="Times New Roman" w:hAnsi="Cambria"/>
      <w:color w:val="243F60"/>
      <w:szCs w:val="24"/>
    </w:rPr>
  </w:style>
  <w:style w:type="paragraph" w:customStyle="1" w:styleId="Heading41">
    <w:name w:val="Heading 41"/>
    <w:basedOn w:val="Normal"/>
    <w:next w:val="Normal"/>
    <w:uiPriority w:val="99"/>
    <w:unhideWhenUsed/>
    <w:qFormat/>
    <w:pPr>
      <w:keepNext/>
      <w:keepLines/>
      <w:spacing w:before="40" w:after="0" w:line="276" w:lineRule="auto"/>
      <w:jc w:val="left"/>
      <w:outlineLvl w:val="3"/>
    </w:pPr>
    <w:rPr>
      <w:rFonts w:ascii="Cambria" w:eastAsia="Times New Roman" w:hAnsi="Cambria"/>
      <w:i/>
      <w:iCs/>
      <w:color w:val="365F91"/>
      <w:sz w:val="22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BalloonText1">
    <w:name w:val="Balloon Text1"/>
    <w:basedOn w:val="Normal"/>
    <w:next w:val="BalloonText"/>
    <w:uiPriority w:val="99"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pPr>
      <w:tabs>
        <w:tab w:val="center" w:pos="4513"/>
        <w:tab w:val="right" w:pos="9026"/>
      </w:tabs>
      <w:spacing w:before="0" w:after="0"/>
      <w:jc w:val="left"/>
    </w:pPr>
    <w:rPr>
      <w:rFonts w:asciiTheme="minorHAnsi" w:hAnsiTheme="minorHAnsi" w:cstheme="minorBidi"/>
      <w:sz w:val="22"/>
    </w:rPr>
  </w:style>
  <w:style w:type="paragraph" w:customStyle="1" w:styleId="Footer1">
    <w:name w:val="Footer1"/>
    <w:basedOn w:val="Normal"/>
    <w:next w:val="Footer"/>
    <w:uiPriority w:val="99"/>
    <w:unhideWhenUsed/>
    <w:pPr>
      <w:tabs>
        <w:tab w:val="center" w:pos="4513"/>
        <w:tab w:val="right" w:pos="9026"/>
      </w:tabs>
      <w:spacing w:before="0" w:after="0"/>
      <w:jc w:val="left"/>
    </w:pPr>
    <w:rPr>
      <w:rFonts w:asciiTheme="minorHAnsi" w:hAnsiTheme="minorHAnsi" w:cstheme="minorBidi"/>
      <w:sz w:val="22"/>
    </w:rPr>
  </w:style>
  <w:style w:type="paragraph" w:customStyle="1" w:styleId="ListParagraph1">
    <w:name w:val="List Paragraph1"/>
    <w:basedOn w:val="Normal"/>
    <w:next w:val="ListParagraph"/>
    <w:uiPriority w:val="34"/>
    <w:qFormat/>
    <w:pPr>
      <w:spacing w:before="0" w:after="100" w:afterAutospacing="1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NoSpacing1">
    <w:name w:val="No Spacing1"/>
    <w:next w:val="NoSpacing"/>
    <w:uiPriority w:val="1"/>
    <w:qFormat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customStyle="1" w:styleId="CommentText1">
    <w:name w:val="Comment Text1"/>
    <w:basedOn w:val="Normal"/>
    <w:next w:val="CommentText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unhideWhenUsed/>
    <w:pPr>
      <w:spacing w:after="200"/>
    </w:pPr>
    <w:rPr>
      <w:b/>
      <w:bCs/>
    </w:rPr>
  </w:style>
  <w:style w:type="paragraph" w:customStyle="1" w:styleId="Revision1">
    <w:name w:val="Revision1"/>
    <w:next w:val="Revision"/>
    <w:hidden/>
    <w:uiPriority w:val="99"/>
    <w:semiHidden/>
    <w:pPr>
      <w:spacing w:after="0" w:line="240" w:lineRule="auto"/>
    </w:pPr>
  </w:style>
  <w:style w:type="paragraph" w:customStyle="1" w:styleId="FootnoteText1">
    <w:name w:val="Footnote Text1"/>
    <w:basedOn w:val="Normal"/>
    <w:next w:val="FootnoteText"/>
    <w:uiPriority w:val="99"/>
    <w:unhideWhenUsed/>
    <w:pPr>
      <w:spacing w:before="0" w:after="0"/>
      <w:jc w:val="left"/>
    </w:pPr>
    <w:rPr>
      <w:rFonts w:asciiTheme="minorHAnsi" w:hAnsiTheme="minorHAnsi" w:cstheme="minorBidi"/>
      <w:sz w:val="20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numPr>
        <w:numId w:val="0"/>
      </w:numPr>
      <w:spacing w:before="240" w:after="0" w:line="259" w:lineRule="auto"/>
      <w:jc w:val="left"/>
    </w:pPr>
    <w:rPr>
      <w:rFonts w:ascii="Cambria" w:eastAsia="Times New Roman" w:hAnsi="Cambria"/>
      <w:b w:val="0"/>
      <w:bCs w:val="0"/>
      <w:smallCaps w:val="0"/>
      <w:color w:val="365F91"/>
      <w:sz w:val="32"/>
      <w:szCs w:val="32"/>
    </w:rPr>
  </w:style>
  <w:style w:type="paragraph" w:customStyle="1" w:styleId="TOC11">
    <w:name w:val="TOC 11"/>
    <w:basedOn w:val="Normal"/>
    <w:next w:val="Normal"/>
    <w:autoRedefine/>
    <w:uiPriority w:val="39"/>
    <w:unhideWhenUsed/>
    <w:pPr>
      <w:spacing w:before="0" w:after="100" w:line="276" w:lineRule="auto"/>
      <w:jc w:val="left"/>
    </w:pPr>
    <w:rPr>
      <w:rFonts w:asciiTheme="minorHAnsi" w:hAnsiTheme="minorHAnsi" w:cstheme="minorBidi"/>
      <w:sz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pPr>
      <w:spacing w:before="0" w:after="100" w:line="276" w:lineRule="auto"/>
      <w:ind w:left="220"/>
      <w:jc w:val="left"/>
    </w:pPr>
    <w:rPr>
      <w:rFonts w:asciiTheme="minorHAnsi" w:hAnsiTheme="minorHAnsi" w:cstheme="minorBidi"/>
      <w:sz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pPr>
      <w:spacing w:before="0" w:after="100" w:line="276" w:lineRule="auto"/>
      <w:ind w:left="440"/>
      <w:jc w:val="left"/>
    </w:pPr>
    <w:rPr>
      <w:rFonts w:asciiTheme="minorHAnsi" w:hAnsiTheme="minorHAnsi" w:cstheme="minorBidi"/>
      <w:sz w:val="22"/>
    </w:rPr>
  </w:style>
  <w:style w:type="character" w:customStyle="1" w:styleId="FollowedHyperlink1">
    <w:name w:val="FollowedHyperlink1"/>
    <w:basedOn w:val="DefaultParagraphFont"/>
    <w:uiPriority w:val="99"/>
    <w:unhideWhenUsed/>
    <w:rPr>
      <w:color w:val="800080"/>
      <w:u w:val="single"/>
    </w:rPr>
  </w:style>
  <w:style w:type="character" w:customStyle="1" w:styleId="Heading1Char1">
    <w:name w:val="Heading 1 Char1"/>
    <w:aliases w:val="Hoofdstuk Char1"/>
    <w:basedOn w:val="DefaultParagraphFont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</w:style>
  <w:style w:type="character" w:customStyle="1" w:styleId="FooterChar1">
    <w:name w:val="Footer Char1"/>
    <w:basedOn w:val="DefaultParagraphFont"/>
    <w:uiPriority w:val="99"/>
    <w:semiHidden/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Pr>
      <w:b/>
      <w:bCs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table" w:customStyle="1" w:styleId="TableGrid2">
    <w:name w:val="Table Grid2"/>
    <w:basedOn w:val="TableNormal"/>
    <w:next w:val="TableGrid0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numbering" w:customStyle="1" w:styleId="NoList3">
    <w:name w:val="No List3"/>
    <w:next w:val="NoList"/>
    <w:uiPriority w:val="99"/>
    <w:semiHidden/>
    <w:unhideWhenUsed/>
  </w:style>
  <w:style w:type="table" w:customStyle="1" w:styleId="TableGrid20">
    <w:name w:val="TableGrid2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</w:style>
  <w:style w:type="numbering" w:customStyle="1" w:styleId="NoList21">
    <w:name w:val="No List21"/>
    <w:next w:val="NoList"/>
    <w:uiPriority w:val="99"/>
    <w:semiHidden/>
    <w:unhideWhenUsed/>
  </w:style>
  <w:style w:type="paragraph" w:customStyle="1" w:styleId="Heading11">
    <w:name w:val="Heading 11"/>
    <w:basedOn w:val="Normal"/>
    <w:next w:val="Text1"/>
    <w:uiPriority w:val="9"/>
    <w:qFormat/>
    <w:pPr>
      <w:keepNext/>
      <w:tabs>
        <w:tab w:val="num" w:pos="850"/>
      </w:tabs>
      <w:spacing w:before="360"/>
      <w:ind w:left="850" w:hanging="850"/>
      <w:outlineLvl w:val="0"/>
    </w:pPr>
    <w:rPr>
      <w:rFonts w:eastAsia="Times New Roman"/>
      <w:b/>
      <w:bCs/>
      <w:smallCaps/>
      <w:szCs w:val="28"/>
    </w:rPr>
  </w:style>
  <w:style w:type="paragraph" w:customStyle="1" w:styleId="Heading51">
    <w:name w:val="Heading 51"/>
    <w:basedOn w:val="Normal"/>
    <w:next w:val="Normal"/>
    <w:unhideWhenUsed/>
    <w:qFormat/>
    <w:pPr>
      <w:keepNext/>
      <w:keepLines/>
      <w:spacing w:before="40" w:after="0" w:line="259" w:lineRule="auto"/>
      <w:jc w:val="left"/>
      <w:outlineLvl w:val="4"/>
    </w:pPr>
    <w:rPr>
      <w:rFonts w:ascii="Cambria" w:eastAsia="Times New Roman" w:hAnsi="Cambria"/>
      <w:color w:val="365F91"/>
      <w:sz w:val="22"/>
    </w:rPr>
  </w:style>
  <w:style w:type="paragraph" w:customStyle="1" w:styleId="Heading61">
    <w:name w:val="Heading 61"/>
    <w:basedOn w:val="Normal"/>
    <w:next w:val="Normal"/>
    <w:unhideWhenUsed/>
    <w:qFormat/>
    <w:pPr>
      <w:keepNext/>
      <w:keepLines/>
      <w:spacing w:before="40" w:after="0" w:line="259" w:lineRule="auto"/>
      <w:jc w:val="left"/>
      <w:outlineLvl w:val="5"/>
    </w:pPr>
    <w:rPr>
      <w:rFonts w:ascii="Cambria" w:eastAsia="Times New Roman" w:hAnsi="Cambria"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</w:style>
  <w:style w:type="table" w:customStyle="1" w:styleId="TableGrid110">
    <w:name w:val="TableGrid11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1">
    <w:name w:val="List1"/>
    <w:basedOn w:val="Normal"/>
    <w:next w:val="List"/>
    <w:uiPriority w:val="99"/>
    <w:unhideWhenUsed/>
    <w:pPr>
      <w:spacing w:before="0" w:after="160" w:line="259" w:lineRule="auto"/>
      <w:ind w:left="283" w:hanging="283"/>
      <w:contextualSpacing/>
      <w:jc w:val="left"/>
    </w:pPr>
    <w:rPr>
      <w:rFonts w:ascii="Calibri" w:hAnsi="Calibri"/>
      <w:sz w:val="22"/>
    </w:rPr>
  </w:style>
  <w:style w:type="paragraph" w:customStyle="1" w:styleId="List21">
    <w:name w:val="List 21"/>
    <w:basedOn w:val="Normal"/>
    <w:next w:val="List2"/>
    <w:uiPriority w:val="99"/>
    <w:unhideWhenUsed/>
    <w:pPr>
      <w:spacing w:before="0" w:after="160" w:line="259" w:lineRule="auto"/>
      <w:ind w:left="566" w:hanging="283"/>
      <w:contextualSpacing/>
      <w:jc w:val="left"/>
    </w:pPr>
    <w:rPr>
      <w:rFonts w:ascii="Calibri" w:hAnsi="Calibri"/>
      <w:sz w:val="22"/>
    </w:rPr>
  </w:style>
  <w:style w:type="paragraph" w:customStyle="1" w:styleId="List31">
    <w:name w:val="List 31"/>
    <w:basedOn w:val="Normal"/>
    <w:next w:val="List3"/>
    <w:uiPriority w:val="99"/>
    <w:unhideWhenUsed/>
    <w:pPr>
      <w:spacing w:before="0" w:after="160" w:line="259" w:lineRule="auto"/>
      <w:ind w:left="849" w:hanging="283"/>
      <w:contextualSpacing/>
      <w:jc w:val="left"/>
    </w:pPr>
    <w:rPr>
      <w:rFonts w:ascii="Calibri" w:hAnsi="Calibri"/>
      <w:sz w:val="22"/>
    </w:rPr>
  </w:style>
  <w:style w:type="paragraph" w:customStyle="1" w:styleId="ListContinue1">
    <w:name w:val="List Continue1"/>
    <w:basedOn w:val="Normal"/>
    <w:next w:val="ListContinue"/>
    <w:uiPriority w:val="99"/>
    <w:unhideWhenUsed/>
    <w:pPr>
      <w:spacing w:before="0" w:line="259" w:lineRule="auto"/>
      <w:ind w:left="283"/>
      <w:contextualSpacing/>
      <w:jc w:val="left"/>
    </w:pPr>
    <w:rPr>
      <w:rFonts w:ascii="Calibri" w:hAnsi="Calibri"/>
      <w:sz w:val="22"/>
    </w:rPr>
  </w:style>
  <w:style w:type="paragraph" w:customStyle="1" w:styleId="Caption1">
    <w:name w:val="Caption1"/>
    <w:basedOn w:val="Normal"/>
    <w:next w:val="Normal"/>
    <w:uiPriority w:val="99"/>
    <w:unhideWhenUsed/>
    <w:qFormat/>
    <w:pPr>
      <w:spacing w:before="0" w:after="200"/>
      <w:jc w:val="left"/>
    </w:pPr>
    <w:rPr>
      <w:rFonts w:ascii="Calibri" w:hAnsi="Calibri"/>
      <w:i/>
      <w:iCs/>
      <w:color w:val="1F497D"/>
      <w:sz w:val="18"/>
      <w:szCs w:val="18"/>
    </w:rPr>
  </w:style>
  <w:style w:type="table" w:customStyle="1" w:styleId="TableGrid21">
    <w:name w:val="Table Grid21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</w:style>
  <w:style w:type="numbering" w:customStyle="1" w:styleId="NoList211">
    <w:name w:val="No List211"/>
    <w:next w:val="NoList"/>
    <w:uiPriority w:val="99"/>
    <w:semiHidden/>
    <w:unhideWhenUsed/>
  </w:style>
  <w:style w:type="table" w:customStyle="1" w:styleId="TableGrid211">
    <w:name w:val="Table Grid211"/>
    <w:basedOn w:val="TableNormal"/>
    <w:next w:val="TableGrid0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Grid111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1">
    <w:name w:val="Table Grid1111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2">
    <w:name w:val="Heading 1 Char2"/>
    <w:basedOn w:val="DefaultParagraphFont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5Char1">
    <w:name w:val="Heading 5 Char1"/>
    <w:basedOn w:val="DefaultParagraphFont"/>
    <w:uiPriority w:val="9"/>
    <w:semiHidden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Pr>
      <w:rFonts w:ascii="Calibri Light" w:eastAsia="Times New Roman" w:hAnsi="Calibri Light" w:cs="Times New Roman"/>
      <w:color w:val="1F4D78"/>
    </w:rPr>
  </w:style>
  <w:style w:type="character" w:customStyle="1" w:styleId="Heading2Char2">
    <w:name w:val="Heading 2 Char2"/>
    <w:basedOn w:val="DefaultParagraphFont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4">
    <w:name w:val="No List4"/>
    <w:next w:val="NoList"/>
    <w:uiPriority w:val="99"/>
    <w:semiHidden/>
    <w:unhideWhenUsed/>
  </w:style>
  <w:style w:type="numbering" w:customStyle="1" w:styleId="NoList12">
    <w:name w:val="No List12"/>
    <w:next w:val="NoList"/>
    <w:uiPriority w:val="99"/>
    <w:semiHidden/>
    <w:unhideWhenUsed/>
  </w:style>
  <w:style w:type="numbering" w:customStyle="1" w:styleId="NoList22">
    <w:name w:val="No List22"/>
    <w:next w:val="NoList"/>
    <w:uiPriority w:val="99"/>
    <w:semiHidden/>
    <w:unhideWhenUsed/>
  </w:style>
  <w:style w:type="numbering" w:customStyle="1" w:styleId="NoList112">
    <w:name w:val="No List112"/>
    <w:next w:val="NoList"/>
    <w:uiPriority w:val="99"/>
    <w:semiHidden/>
    <w:unhideWhenUsed/>
  </w:style>
  <w:style w:type="table" w:customStyle="1" w:styleId="TableGrid120">
    <w:name w:val="TableGrid12"/>
    <w:pPr>
      <w:spacing w:after="0" w:line="240" w:lineRule="auto"/>
    </w:pPr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 Grid22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0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</w:style>
  <w:style w:type="numbering" w:customStyle="1" w:styleId="NoList212">
    <w:name w:val="No List212"/>
    <w:next w:val="NoList"/>
    <w:uiPriority w:val="99"/>
    <w:semiHidden/>
    <w:unhideWhenUsed/>
  </w:style>
  <w:style w:type="table" w:customStyle="1" w:styleId="TableGrid212">
    <w:name w:val="Table Grid212"/>
    <w:basedOn w:val="TableNormal"/>
    <w:next w:val="TableGrid0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Grid112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2">
    <w:name w:val="Table Grid1112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pPr>
      <w:spacing w:before="0" w:after="160" w:line="259" w:lineRule="auto"/>
      <w:jc w:val="center"/>
    </w:pPr>
    <w:rPr>
      <w:rFonts w:eastAsia="Calibri"/>
      <w:i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6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s://eur-lex.europa.eu/legal-content/EN/TXT/HTML/?uri=CELEX:22015A1121(01)&amp;qid=1576602969872&amp;from=E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ur-lex.europa.eu/legal-content/EN/TXT/HTML/?uri=CELEX:22015A1121(01)&amp;qid=1576602969872&amp;from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N/TXT/HTML/?uri=CELEX:22015A1121(01)&amp;qid=1576602969872&amp;from=EN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HTML/?uri=CELEX:22015A1121(01)&amp;qid=1576602969872&amp;from=EN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48</Pages>
  <Words>12921</Words>
  <Characters>93553</Characters>
  <Application>Microsoft Office Word</Application>
  <DocSecurity>0</DocSecurity>
  <Lines>2126</Lines>
  <Paragraphs>1054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PEREZ Ivan (MARE)</dc:creator>
  <cp:keywords/>
  <dc:description/>
  <cp:lastModifiedBy>WES PDFC Administrator</cp:lastModifiedBy>
  <cp:revision>9</cp:revision>
  <dcterms:created xsi:type="dcterms:W3CDTF">2021-03-02T14:31:00Z</dcterms:created>
  <dcterms:modified xsi:type="dcterms:W3CDTF">2021-03-03T22:24:00Z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