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73FCF44-C7BA-4F97-97D2-E2F4EC8CCF8C" style="width:450.75pt;height:420.75pt">
            <v:imagedata r:id="rId8" o:title=""/>
          </v:shape>
        </w:pict>
      </w:r>
    </w:p>
    <w:bookmarkEnd w:id="0"/>
    <w:p>
      <w:pPr>
        <w:rPr>
          <w:rFonts w:eastAsiaTheme="minorHAnsi"/>
          <w:noProof/>
          <w:lang w:val="en-IE" w:eastAsia="en-US"/>
        </w:rPr>
        <w:sectPr>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134" w:left="1417" w:header="709" w:footer="709" w:gutter="0"/>
          <w:pgNumType w:start="0"/>
          <w:cols w:space="720"/>
          <w:docGrid w:linePitch="360"/>
        </w:sectPr>
      </w:pPr>
    </w:p>
    <w:p>
      <w:pPr>
        <w:spacing w:after="0"/>
        <w:jc w:val="center"/>
        <w:rPr>
          <w:rFonts w:eastAsiaTheme="minorHAnsi"/>
          <w:b/>
          <w:noProof/>
          <w:szCs w:val="24"/>
        </w:rPr>
      </w:pPr>
      <w:bookmarkStart w:id="1" w:name="_GoBack"/>
      <w:bookmarkEnd w:id="1"/>
      <w:r>
        <w:rPr>
          <w:b/>
          <w:noProof/>
          <w:szCs w:val="24"/>
        </w:rPr>
        <w:lastRenderedPageBreak/>
        <w:t xml:space="preserve">BILAGA 1: </w:t>
      </w:r>
    </w:p>
    <w:p>
      <w:pPr>
        <w:spacing w:after="0"/>
        <w:jc w:val="center"/>
        <w:rPr>
          <w:rFonts w:eastAsiaTheme="minorHAnsi"/>
          <w:b/>
          <w:noProof/>
          <w:szCs w:val="24"/>
        </w:rPr>
      </w:pPr>
      <w:r>
        <w:rPr>
          <w:b/>
          <w:noProof/>
          <w:szCs w:val="24"/>
        </w:rPr>
        <w:t>KOMMISSIONENS HUVUDÅTGÄRDER</w:t>
      </w:r>
    </w:p>
    <w:p>
      <w:pPr>
        <w:spacing w:after="0"/>
        <w:jc w:val="center"/>
        <w:rPr>
          <w:rFonts w:eastAsiaTheme="minorHAnsi"/>
          <w:b/>
          <w:noProof/>
          <w:szCs w:val="24"/>
          <w:lang w:eastAsia="en-GB"/>
        </w:rPr>
      </w:pPr>
    </w:p>
    <w:p>
      <w:pPr>
        <w:spacing w:after="0"/>
        <w:jc w:val="center"/>
        <w:rPr>
          <w:rFonts w:eastAsiaTheme="minorHAnsi"/>
          <w:b/>
          <w:noProof/>
          <w:szCs w:val="24"/>
        </w:rPr>
      </w:pPr>
      <w:r>
        <w:rPr>
          <w:rFonts w:eastAsiaTheme="minorHAnsi"/>
          <w:noProof/>
          <w:lang w:val="en-GB" w:eastAsia="en-GB"/>
        </w:rPr>
        <w:drawing>
          <wp:inline distT="0" distB="0" distL="0" distR="0">
            <wp:extent cx="5727700" cy="79865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7986511"/>
                    </a:xfrm>
                    <a:prstGeom prst="rect">
                      <a:avLst/>
                    </a:prstGeom>
                    <a:noFill/>
                    <a:ln>
                      <a:noFill/>
                    </a:ln>
                  </pic:spPr>
                </pic:pic>
              </a:graphicData>
            </a:graphic>
          </wp:inline>
        </w:drawing>
      </w:r>
    </w:p>
    <w:p>
      <w:pPr>
        <w:spacing w:after="0"/>
        <w:jc w:val="center"/>
        <w:rPr>
          <w:rFonts w:eastAsiaTheme="minorHAnsi"/>
          <w:b/>
          <w:noProof/>
          <w:szCs w:val="24"/>
        </w:rPr>
      </w:pPr>
      <w:r>
        <w:rPr>
          <w:noProof/>
        </w:rPr>
        <w:br w:type="page"/>
      </w:r>
    </w:p>
    <w:p>
      <w:pPr>
        <w:spacing w:after="0" w:line="276" w:lineRule="auto"/>
        <w:jc w:val="center"/>
        <w:rPr>
          <w:rFonts w:eastAsiaTheme="minorHAnsi"/>
          <w:b/>
          <w:noProof/>
          <w:szCs w:val="24"/>
        </w:rPr>
      </w:pPr>
      <w:r>
        <w:rPr>
          <w:b/>
          <w:noProof/>
          <w:szCs w:val="24"/>
        </w:rPr>
        <w:t>BILAGA 2:</w:t>
      </w:r>
    </w:p>
    <w:p>
      <w:pPr>
        <w:spacing w:after="0" w:line="276" w:lineRule="auto"/>
        <w:jc w:val="center"/>
        <w:rPr>
          <w:rFonts w:eastAsiaTheme="minorHAnsi"/>
          <w:b/>
          <w:noProof/>
          <w:szCs w:val="24"/>
        </w:rPr>
      </w:pPr>
      <w:r>
        <w:rPr>
          <w:b/>
          <w:noProof/>
          <w:szCs w:val="24"/>
        </w:rPr>
        <w:t xml:space="preserve">DEN REVIDERADE SOCIALA RESULTATTAVLAN </w:t>
      </w:r>
    </w:p>
    <w:p>
      <w:pPr>
        <w:spacing w:after="0" w:line="276" w:lineRule="auto"/>
        <w:jc w:val="center"/>
        <w:rPr>
          <w:rFonts w:eastAsiaTheme="minorHAnsi"/>
          <w:noProof/>
          <w:szCs w:val="24"/>
          <w:lang w:val="en-IE" w:eastAsia="en-US"/>
        </w:rPr>
      </w:pPr>
    </w:p>
    <w:tbl>
      <w:tblPr>
        <w:tblStyle w:val="TableGrid"/>
        <w:tblW w:w="10206" w:type="dxa"/>
        <w:tblInd w:w="-459" w:type="dxa"/>
        <w:tblLook w:val="04A0" w:firstRow="1" w:lastRow="0" w:firstColumn="1" w:lastColumn="0" w:noHBand="0" w:noVBand="1"/>
      </w:tblPr>
      <w:tblGrid>
        <w:gridCol w:w="557"/>
        <w:gridCol w:w="3000"/>
        <w:gridCol w:w="5300"/>
        <w:gridCol w:w="1349"/>
      </w:tblGrid>
      <w:tr>
        <w:trPr>
          <w:trHeight w:val="503"/>
        </w:trPr>
        <w:tc>
          <w:tcPr>
            <w:tcW w:w="563" w:type="dxa"/>
          </w:tcPr>
          <w:p>
            <w:pPr>
              <w:spacing w:after="0"/>
              <w:jc w:val="left"/>
              <w:rPr>
                <w:noProof/>
                <w:lang w:val="en-IE"/>
              </w:rPr>
            </w:pPr>
          </w:p>
        </w:tc>
        <w:tc>
          <w:tcPr>
            <w:tcW w:w="3050" w:type="dxa"/>
            <w:vAlign w:val="center"/>
          </w:tcPr>
          <w:p>
            <w:pPr>
              <w:spacing w:after="0"/>
              <w:jc w:val="center"/>
              <w:rPr>
                <w:b/>
                <w:i/>
                <w:noProof/>
                <w:sz w:val="20"/>
              </w:rPr>
            </w:pPr>
            <w:r>
              <w:rPr>
                <w:b/>
                <w:i/>
                <w:noProof/>
                <w:sz w:val="20"/>
              </w:rPr>
              <w:t>Huvudindikatorer</w:t>
            </w:r>
          </w:p>
        </w:tc>
        <w:tc>
          <w:tcPr>
            <w:tcW w:w="5479" w:type="dxa"/>
            <w:vAlign w:val="center"/>
          </w:tcPr>
          <w:p>
            <w:pPr>
              <w:spacing w:after="0"/>
              <w:jc w:val="center"/>
              <w:rPr>
                <w:noProof/>
              </w:rPr>
            </w:pPr>
            <w:r>
              <w:rPr>
                <w:b/>
                <w:i/>
                <w:noProof/>
                <w:sz w:val="20"/>
              </w:rPr>
              <w:t>Sekundära indikatorer</w:t>
            </w:r>
          </w:p>
        </w:tc>
        <w:tc>
          <w:tcPr>
            <w:tcW w:w="1114" w:type="dxa"/>
            <w:vAlign w:val="center"/>
          </w:tcPr>
          <w:p>
            <w:pPr>
              <w:spacing w:after="0"/>
              <w:jc w:val="left"/>
              <w:rPr>
                <w:noProof/>
              </w:rPr>
            </w:pPr>
            <w:r>
              <w:rPr>
                <w:b/>
                <w:i/>
                <w:noProof/>
                <w:sz w:val="20"/>
              </w:rPr>
              <w:t>Mål för hållbar utveckling (globalt mål)</w:t>
            </w:r>
          </w:p>
        </w:tc>
      </w:tr>
      <w:tr>
        <w:trPr>
          <w:cantSplit/>
          <w:trHeight w:val="1134"/>
        </w:trPr>
        <w:tc>
          <w:tcPr>
            <w:tcW w:w="563" w:type="dxa"/>
            <w:textDirection w:val="btLr"/>
          </w:tcPr>
          <w:p>
            <w:pPr>
              <w:spacing w:after="0"/>
              <w:ind w:left="113" w:right="113"/>
              <w:jc w:val="left"/>
              <w:rPr>
                <w:noProof/>
                <w:color w:val="000000" w:themeColor="text1"/>
              </w:rPr>
            </w:pPr>
            <w:r>
              <w:rPr>
                <w:b/>
                <w:noProof/>
                <w:color w:val="000000" w:themeColor="text1"/>
                <w:sz w:val="20"/>
              </w:rPr>
              <w:t>Lika möjligheter</w:t>
            </w:r>
          </w:p>
        </w:tc>
        <w:tc>
          <w:tcPr>
            <w:tcW w:w="3050" w:type="dxa"/>
          </w:tcPr>
          <w:p>
            <w:pPr>
              <w:shd w:val="clear" w:color="auto" w:fill="FFFFFF" w:themeFill="background1"/>
              <w:spacing w:after="0"/>
              <w:jc w:val="left"/>
              <w:rPr>
                <w:noProof/>
                <w:color w:val="000000" w:themeColor="text1"/>
                <w:sz w:val="20"/>
              </w:rPr>
            </w:pPr>
            <w:r>
              <w:rPr>
                <w:noProof/>
                <w:color w:val="000000" w:themeColor="text1"/>
                <w:sz w:val="20"/>
              </w:rPr>
              <w:t>Vuxnas deltagande i utbildning under de senaste 12 månaderna**</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Andel unga med högst grundskoleutbildning</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Digitala färdigheter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Andel unga som varken arbetar eller studerar (15–29 år)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strike/>
                <w:noProof/>
                <w:color w:val="000000" w:themeColor="text1"/>
                <w:sz w:val="20"/>
              </w:rPr>
            </w:pPr>
            <w:r>
              <w:rPr>
                <w:noProof/>
                <w:color w:val="000000" w:themeColor="text1"/>
                <w:sz w:val="20"/>
              </w:rPr>
              <w:t>Skillnad i sysselsättning mellan kvinnor och män</w:t>
            </w:r>
          </w:p>
          <w:p>
            <w:pPr>
              <w:spacing w:after="0"/>
              <w:jc w:val="left"/>
              <w:rPr>
                <w:noProof/>
                <w:color w:val="000000" w:themeColor="text1"/>
                <w:sz w:val="20"/>
              </w:rPr>
            </w:pPr>
          </w:p>
          <w:p>
            <w:pPr>
              <w:spacing w:after="0"/>
              <w:jc w:val="left"/>
              <w:rPr>
                <w:noProof/>
                <w:color w:val="000000" w:themeColor="text1"/>
              </w:rPr>
            </w:pPr>
            <w:r>
              <w:rPr>
                <w:noProof/>
                <w:color w:val="000000" w:themeColor="text1"/>
                <w:sz w:val="20"/>
              </w:rPr>
              <w:t>Förhållande mellan övre och undre inkomstkvintil (S80/S20)</w:t>
            </w:r>
          </w:p>
        </w:tc>
        <w:tc>
          <w:tcPr>
            <w:tcW w:w="5479" w:type="dxa"/>
          </w:tcPr>
          <w:p>
            <w:pPr>
              <w:shd w:val="clear" w:color="auto" w:fill="FFFFFF" w:themeFill="background1"/>
              <w:spacing w:after="0"/>
              <w:jc w:val="left"/>
              <w:rPr>
                <w:noProof/>
                <w:color w:val="000000" w:themeColor="text1"/>
                <w:sz w:val="20"/>
              </w:rPr>
            </w:pPr>
            <w:r>
              <w:rPr>
                <w:noProof/>
                <w:color w:val="000000" w:themeColor="text1"/>
                <w:sz w:val="20"/>
              </w:rPr>
              <w:t xml:space="preserve">Andel med högskoleutbildning </w:t>
            </w:r>
          </w:p>
          <w:p>
            <w:pPr>
              <w:shd w:val="clear" w:color="auto" w:fill="FFFFFF" w:themeFill="background1"/>
              <w:spacing w:after="0"/>
              <w:jc w:val="left"/>
              <w:rPr>
                <w:noProof/>
                <w:color w:val="000000" w:themeColor="text1"/>
                <w:sz w:val="20"/>
              </w:rPr>
            </w:pPr>
            <w:r>
              <w:rPr>
                <w:noProof/>
                <w:color w:val="000000" w:themeColor="text1"/>
                <w:sz w:val="20"/>
              </w:rPr>
              <w:t>Otillräckliga studieresultat (inklusive digitala färdigheter**)</w:t>
            </w:r>
          </w:p>
          <w:p>
            <w:pPr>
              <w:shd w:val="clear" w:color="auto" w:fill="FFFFFF" w:themeFill="background1"/>
              <w:spacing w:after="0"/>
              <w:jc w:val="left"/>
              <w:rPr>
                <w:noProof/>
                <w:color w:val="000000" w:themeColor="text1"/>
                <w:sz w:val="20"/>
              </w:rPr>
            </w:pPr>
            <w:r>
              <w:rPr>
                <w:noProof/>
                <w:color w:val="000000" w:themeColor="text1"/>
                <w:sz w:val="20"/>
              </w:rPr>
              <w:t>Lågutbildade vuxnas deltagande i utbildning**</w:t>
            </w:r>
          </w:p>
          <w:p>
            <w:pPr>
              <w:shd w:val="clear" w:color="auto" w:fill="FFFFFF" w:themeFill="background1"/>
              <w:spacing w:after="0"/>
              <w:jc w:val="left"/>
              <w:rPr>
                <w:noProof/>
                <w:color w:val="000000" w:themeColor="text1"/>
                <w:sz w:val="20"/>
              </w:rPr>
            </w:pPr>
            <w:r>
              <w:rPr>
                <w:noProof/>
                <w:color w:val="000000" w:themeColor="text1"/>
                <w:sz w:val="20"/>
              </w:rPr>
              <w:t>Andel arbetslösa vuxna som nyligen deltagit i utbildning**</w:t>
            </w:r>
          </w:p>
          <w:p>
            <w:pPr>
              <w:shd w:val="clear" w:color="auto" w:fill="FFFFFF" w:themeFill="background1"/>
              <w:spacing w:after="0"/>
              <w:ind w:left="142" w:hanging="141"/>
              <w:jc w:val="left"/>
              <w:rPr>
                <w:noProof/>
                <w:color w:val="000000" w:themeColor="text1"/>
                <w:sz w:val="20"/>
              </w:rPr>
            </w:pPr>
            <w:r>
              <w:rPr>
                <w:noProof/>
                <w:color w:val="000000" w:themeColor="text1"/>
                <w:sz w:val="20"/>
              </w:rPr>
              <w:t>Skillnad i otillräckliga studieresultat mellan den nedre och den övre fjärdedelen av det socioekonomiska indexet (Pisa)**</w:t>
            </w:r>
          </w:p>
          <w:p>
            <w:pPr>
              <w:shd w:val="clear" w:color="auto" w:fill="FFFFFF" w:themeFill="background1"/>
              <w:spacing w:after="0"/>
              <w:jc w:val="left"/>
              <w:rPr>
                <w:strike/>
                <w:noProof/>
                <w:color w:val="000000" w:themeColor="text1"/>
                <w:sz w:val="20"/>
              </w:rPr>
            </w:pPr>
            <w:r>
              <w:rPr>
                <w:noProof/>
                <w:color w:val="000000" w:themeColor="text1"/>
                <w:sz w:val="20"/>
              </w:rPr>
              <w:t>Skillnad i deltidsarbete mellan kvinnor och män</w:t>
            </w:r>
          </w:p>
          <w:p>
            <w:pPr>
              <w:shd w:val="clear" w:color="auto" w:fill="FFFFFF" w:themeFill="background1"/>
              <w:spacing w:after="0"/>
              <w:jc w:val="left"/>
              <w:rPr>
                <w:noProof/>
                <w:color w:val="000000" w:themeColor="text1"/>
                <w:sz w:val="20"/>
              </w:rPr>
            </w:pPr>
            <w:r>
              <w:rPr>
                <w:noProof/>
                <w:color w:val="000000" w:themeColor="text1"/>
                <w:sz w:val="20"/>
              </w:rPr>
              <w:t>Ojusterad löneskillnad mellan kvinnor och män</w:t>
            </w:r>
          </w:p>
          <w:p>
            <w:pPr>
              <w:spacing w:after="0"/>
              <w:jc w:val="left"/>
              <w:rPr>
                <w:noProof/>
                <w:color w:val="000000" w:themeColor="text1"/>
                <w:sz w:val="20"/>
              </w:rPr>
            </w:pPr>
            <w:r>
              <w:rPr>
                <w:noProof/>
                <w:color w:val="000000" w:themeColor="text1"/>
                <w:sz w:val="20"/>
              </w:rPr>
              <w:t>Inkomstandel för de fattigaste 40 % av befolkningen (globalt mål)**</w:t>
            </w:r>
          </w:p>
        </w:tc>
        <w:tc>
          <w:tcPr>
            <w:tcW w:w="1114" w:type="dxa"/>
          </w:tcPr>
          <w:p>
            <w:pPr>
              <w:spacing w:after="0"/>
              <w:jc w:val="left"/>
              <w:rPr>
                <w:noProof/>
                <w:color w:val="000000" w:themeColor="text1"/>
                <w:sz w:val="20"/>
              </w:rPr>
            </w:pPr>
            <w:r>
              <w:rPr>
                <w:noProof/>
                <w:color w:val="000000" w:themeColor="text1"/>
                <w:sz w:val="20"/>
              </w:rPr>
              <w:t>4. God utbildning för alla</w:t>
            </w:r>
          </w:p>
          <w:p>
            <w:pPr>
              <w:spacing w:after="0"/>
              <w:jc w:val="left"/>
              <w:rPr>
                <w:noProof/>
                <w:color w:val="000000" w:themeColor="text1"/>
                <w:sz w:val="20"/>
              </w:rPr>
            </w:pPr>
          </w:p>
          <w:p>
            <w:pPr>
              <w:spacing w:after="0"/>
              <w:jc w:val="left"/>
              <w:rPr>
                <w:noProof/>
                <w:color w:val="000000" w:themeColor="text1"/>
                <w:sz w:val="20"/>
              </w:rPr>
            </w:pPr>
            <w:r>
              <w:rPr>
                <w:noProof/>
                <w:color w:val="000000" w:themeColor="text1"/>
                <w:sz w:val="20"/>
              </w:rPr>
              <w:t>5. Jämställdhet</w:t>
            </w:r>
          </w:p>
          <w:p>
            <w:pPr>
              <w:spacing w:after="0"/>
              <w:jc w:val="left"/>
              <w:rPr>
                <w:noProof/>
                <w:color w:val="000000" w:themeColor="text1"/>
                <w:sz w:val="20"/>
              </w:rPr>
            </w:pPr>
          </w:p>
          <w:p>
            <w:pPr>
              <w:spacing w:after="0"/>
              <w:jc w:val="left"/>
              <w:rPr>
                <w:noProof/>
                <w:color w:val="000000" w:themeColor="text1"/>
                <w:sz w:val="20"/>
              </w:rPr>
            </w:pPr>
            <w:r>
              <w:rPr>
                <w:noProof/>
                <w:color w:val="000000" w:themeColor="text1"/>
                <w:sz w:val="20"/>
              </w:rPr>
              <w:t>10. Minskad ojämlikhet</w:t>
            </w:r>
          </w:p>
          <w:p>
            <w:pPr>
              <w:spacing w:after="0"/>
              <w:jc w:val="left"/>
              <w:rPr>
                <w:noProof/>
                <w:color w:val="000000" w:themeColor="text1"/>
              </w:rPr>
            </w:pPr>
          </w:p>
        </w:tc>
      </w:tr>
      <w:tr>
        <w:trPr>
          <w:cantSplit/>
          <w:trHeight w:val="1625"/>
        </w:trPr>
        <w:tc>
          <w:tcPr>
            <w:tcW w:w="563" w:type="dxa"/>
            <w:textDirection w:val="btLr"/>
          </w:tcPr>
          <w:p>
            <w:pPr>
              <w:spacing w:after="0"/>
              <w:ind w:left="113" w:right="113"/>
              <w:jc w:val="left"/>
              <w:rPr>
                <w:noProof/>
                <w:color w:val="000000" w:themeColor="text1"/>
              </w:rPr>
            </w:pPr>
            <w:r>
              <w:rPr>
                <w:b/>
                <w:noProof/>
                <w:color w:val="000000" w:themeColor="text1"/>
                <w:sz w:val="20"/>
              </w:rPr>
              <w:t>Rättvisa arbetsvillkor</w:t>
            </w:r>
          </w:p>
        </w:tc>
        <w:tc>
          <w:tcPr>
            <w:tcW w:w="3050" w:type="dxa"/>
          </w:tcPr>
          <w:p>
            <w:pPr>
              <w:shd w:val="clear" w:color="auto" w:fill="FFFFFF" w:themeFill="background1"/>
              <w:spacing w:after="0"/>
              <w:jc w:val="left"/>
              <w:rPr>
                <w:noProof/>
                <w:color w:val="000000" w:themeColor="text1"/>
                <w:sz w:val="20"/>
              </w:rPr>
            </w:pPr>
            <w:r>
              <w:rPr>
                <w:noProof/>
                <w:color w:val="000000" w:themeColor="text1"/>
                <w:sz w:val="20"/>
              </w:rPr>
              <w:t>Sysselsättningsgrad</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 xml:space="preserve">Arbetslöshet </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Långtidsarbetslöshet</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Tillväxt i hushållens reala disponibla bruttoinkomst per capita</w:t>
            </w:r>
          </w:p>
        </w:tc>
        <w:tc>
          <w:tcPr>
            <w:tcW w:w="5479" w:type="dxa"/>
          </w:tcPr>
          <w:p>
            <w:pPr>
              <w:shd w:val="clear" w:color="auto" w:fill="FFFFFF" w:themeFill="background1"/>
              <w:spacing w:after="0"/>
              <w:jc w:val="left"/>
              <w:rPr>
                <w:noProof/>
                <w:color w:val="000000" w:themeColor="text1"/>
                <w:sz w:val="20"/>
              </w:rPr>
            </w:pPr>
            <w:r>
              <w:rPr>
                <w:noProof/>
                <w:color w:val="000000" w:themeColor="text1"/>
                <w:sz w:val="20"/>
              </w:rPr>
              <w:t xml:space="preserve">Arbetskraftsdeltagande </w:t>
            </w:r>
          </w:p>
          <w:p>
            <w:pPr>
              <w:shd w:val="clear" w:color="auto" w:fill="FFFFFF" w:themeFill="background1"/>
              <w:spacing w:after="0"/>
              <w:jc w:val="left"/>
              <w:rPr>
                <w:noProof/>
                <w:color w:val="000000" w:themeColor="text1"/>
                <w:sz w:val="20"/>
              </w:rPr>
            </w:pPr>
            <w:r>
              <w:rPr>
                <w:noProof/>
                <w:color w:val="000000" w:themeColor="text1"/>
                <w:sz w:val="20"/>
              </w:rPr>
              <w:t>Ungdomsarbetslöshet</w:t>
            </w:r>
          </w:p>
          <w:p>
            <w:pPr>
              <w:shd w:val="clear" w:color="auto" w:fill="FFFFFF" w:themeFill="background1"/>
              <w:spacing w:after="0"/>
              <w:jc w:val="left"/>
              <w:rPr>
                <w:noProof/>
                <w:color w:val="000000" w:themeColor="text1"/>
                <w:sz w:val="20"/>
              </w:rPr>
            </w:pPr>
            <w:r>
              <w:rPr>
                <w:noProof/>
                <w:color w:val="000000" w:themeColor="text1"/>
                <w:sz w:val="20"/>
              </w:rPr>
              <w:t>Anställda på sitt nuvarande arbete, efter varaktighet</w:t>
            </w:r>
          </w:p>
          <w:p>
            <w:pPr>
              <w:shd w:val="clear" w:color="auto" w:fill="FFFFFF" w:themeFill="background1"/>
              <w:spacing w:after="0"/>
              <w:jc w:val="left"/>
              <w:rPr>
                <w:noProof/>
                <w:color w:val="000000" w:themeColor="text1"/>
                <w:sz w:val="20"/>
              </w:rPr>
            </w:pPr>
            <w:r>
              <w:rPr>
                <w:noProof/>
                <w:color w:val="000000" w:themeColor="text1"/>
                <w:sz w:val="20"/>
              </w:rPr>
              <w:t>Övergångar från visstidsanställning till tillsvidareanställning</w:t>
            </w:r>
          </w:p>
          <w:p>
            <w:pPr>
              <w:shd w:val="clear" w:color="auto" w:fill="FFFFFF" w:themeFill="background1"/>
              <w:spacing w:after="0"/>
              <w:jc w:val="left"/>
              <w:rPr>
                <w:noProof/>
                <w:color w:val="000000" w:themeColor="text1"/>
                <w:sz w:val="20"/>
              </w:rPr>
            </w:pPr>
            <w:r>
              <w:rPr>
                <w:noProof/>
                <w:color w:val="000000" w:themeColor="text1"/>
                <w:sz w:val="20"/>
              </w:rPr>
              <w:t>Andel ofrivilligt visstidsanställda**</w:t>
            </w:r>
          </w:p>
          <w:p>
            <w:pPr>
              <w:shd w:val="clear" w:color="auto" w:fill="FFFFFF" w:themeFill="background1"/>
              <w:spacing w:after="0"/>
              <w:jc w:val="left"/>
              <w:rPr>
                <w:noProof/>
                <w:color w:val="000000" w:themeColor="text1"/>
                <w:sz w:val="20"/>
              </w:rPr>
            </w:pPr>
            <w:r>
              <w:rPr>
                <w:noProof/>
                <w:color w:val="000000" w:themeColor="text1"/>
                <w:sz w:val="20"/>
              </w:rPr>
              <w:t>Arbetsolyckor med dödlig utgång per 100 000 arbetstagare (globalt mål)**</w:t>
            </w:r>
          </w:p>
          <w:p>
            <w:pPr>
              <w:shd w:val="clear" w:color="auto" w:fill="FFFFFF" w:themeFill="background1"/>
              <w:spacing w:after="0"/>
              <w:jc w:val="left"/>
              <w:rPr>
                <w:noProof/>
                <w:color w:val="000000" w:themeColor="text1"/>
                <w:sz w:val="20"/>
              </w:rPr>
            </w:pPr>
            <w:r>
              <w:rPr>
                <w:noProof/>
                <w:color w:val="000000" w:themeColor="text1"/>
                <w:sz w:val="20"/>
              </w:rPr>
              <w:t xml:space="preserve">Förvärvsarbetande som riskerar fattigdom </w:t>
            </w:r>
          </w:p>
        </w:tc>
        <w:tc>
          <w:tcPr>
            <w:tcW w:w="1114" w:type="dxa"/>
          </w:tcPr>
          <w:p>
            <w:pPr>
              <w:spacing w:after="0"/>
              <w:jc w:val="left"/>
              <w:rPr>
                <w:noProof/>
                <w:color w:val="000000" w:themeColor="text1"/>
              </w:rPr>
            </w:pPr>
            <w:r>
              <w:rPr>
                <w:noProof/>
                <w:color w:val="000000" w:themeColor="text1"/>
                <w:sz w:val="20"/>
              </w:rPr>
              <w:t>8. Anständiga arbetsvillkor och ekonomisk tillväxt</w:t>
            </w:r>
          </w:p>
        </w:tc>
      </w:tr>
      <w:tr>
        <w:trPr>
          <w:cantSplit/>
          <w:trHeight w:val="1134"/>
        </w:trPr>
        <w:tc>
          <w:tcPr>
            <w:tcW w:w="563" w:type="dxa"/>
            <w:textDirection w:val="btLr"/>
          </w:tcPr>
          <w:p>
            <w:pPr>
              <w:spacing w:after="0"/>
              <w:ind w:left="113" w:right="113"/>
              <w:jc w:val="left"/>
              <w:rPr>
                <w:noProof/>
                <w:color w:val="000000" w:themeColor="text1"/>
              </w:rPr>
            </w:pPr>
            <w:r>
              <w:rPr>
                <w:b/>
                <w:noProof/>
                <w:color w:val="000000" w:themeColor="text1"/>
                <w:sz w:val="20"/>
              </w:rPr>
              <w:t>Socialt skydd och social inkludering</w:t>
            </w:r>
          </w:p>
        </w:tc>
        <w:tc>
          <w:tcPr>
            <w:tcW w:w="3050" w:type="dxa"/>
          </w:tcPr>
          <w:p>
            <w:pPr>
              <w:shd w:val="clear" w:color="auto" w:fill="FFFFFF" w:themeFill="background1"/>
              <w:spacing w:after="0"/>
              <w:jc w:val="left"/>
              <w:rPr>
                <w:noProof/>
                <w:color w:val="000000" w:themeColor="text1"/>
                <w:sz w:val="20"/>
              </w:rPr>
            </w:pPr>
            <w:r>
              <w:rPr>
                <w:noProof/>
                <w:color w:val="000000" w:themeColor="text1"/>
                <w:sz w:val="20"/>
              </w:rPr>
              <w:t>Risk för fattigdom eller social utestängning</w:t>
            </w:r>
          </w:p>
          <w:p>
            <w:pPr>
              <w:shd w:val="clear" w:color="auto" w:fill="FFFFFF" w:themeFill="background1"/>
              <w:spacing w:after="0"/>
              <w:jc w:val="left"/>
              <w:rPr>
                <w:b/>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Risk för fattigdom eller utestängning för barn (0–17 år)**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Effekter av sociala transfereringar (utom pensioner) när det gäller att minska fattigdom</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Skillnad i sysselsättning för personer med funktionsnedsättning**</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Andel med hög boendeutgift i förhållande till disponibel inkomst**</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Barn under tre år i formell barnomsorg</w:t>
            </w:r>
          </w:p>
          <w:p>
            <w:pPr>
              <w:spacing w:after="0"/>
              <w:jc w:val="left"/>
              <w:rPr>
                <w:noProof/>
                <w:color w:val="000000" w:themeColor="text1"/>
                <w:sz w:val="20"/>
              </w:rPr>
            </w:pPr>
          </w:p>
          <w:p>
            <w:pPr>
              <w:spacing w:after="0"/>
              <w:jc w:val="left"/>
              <w:rPr>
                <w:noProof/>
                <w:color w:val="000000" w:themeColor="text1"/>
              </w:rPr>
            </w:pPr>
            <w:r>
              <w:rPr>
                <w:noProof/>
                <w:color w:val="000000" w:themeColor="text1"/>
                <w:sz w:val="20"/>
              </w:rPr>
              <w:t>Andel som enligt egen uppgift har icke tillgodosedda vårdbehov</w:t>
            </w:r>
          </w:p>
        </w:tc>
        <w:tc>
          <w:tcPr>
            <w:tcW w:w="5479" w:type="dxa"/>
          </w:tcPr>
          <w:p>
            <w:pPr>
              <w:shd w:val="clear" w:color="auto" w:fill="FFFFFF" w:themeFill="background1"/>
              <w:spacing w:after="0"/>
              <w:jc w:val="left"/>
              <w:rPr>
                <w:noProof/>
                <w:color w:val="000000" w:themeColor="text1"/>
                <w:sz w:val="20"/>
              </w:rPr>
            </w:pPr>
            <w:r>
              <w:rPr>
                <w:noProof/>
                <w:color w:val="000000" w:themeColor="text1"/>
                <w:sz w:val="20"/>
              </w:rPr>
              <w:t>Fattigdomsrisk</w:t>
            </w:r>
            <w:r>
              <w:rPr>
                <w:noProof/>
              </w:rPr>
              <w:t xml:space="preserve"> </w:t>
            </w:r>
          </w:p>
          <w:p>
            <w:pPr>
              <w:shd w:val="clear" w:color="auto" w:fill="FFFFFF" w:themeFill="background1"/>
              <w:spacing w:after="0"/>
              <w:jc w:val="left"/>
              <w:rPr>
                <w:noProof/>
                <w:color w:val="000000" w:themeColor="text1"/>
                <w:sz w:val="20"/>
              </w:rPr>
            </w:pPr>
            <w:r>
              <w:rPr>
                <w:noProof/>
                <w:color w:val="000000" w:themeColor="text1"/>
                <w:sz w:val="20"/>
              </w:rPr>
              <w:t>Allvarlig materiell och social fattigdom</w:t>
            </w:r>
          </w:p>
          <w:p>
            <w:pPr>
              <w:shd w:val="clear" w:color="auto" w:fill="FFFFFF" w:themeFill="background1"/>
              <w:spacing w:after="0"/>
              <w:jc w:val="left"/>
              <w:rPr>
                <w:noProof/>
                <w:color w:val="000000" w:themeColor="text1"/>
                <w:sz w:val="20"/>
              </w:rPr>
            </w:pPr>
            <w:r>
              <w:rPr>
                <w:noProof/>
                <w:color w:val="000000" w:themeColor="text1"/>
                <w:sz w:val="20"/>
              </w:rPr>
              <w:t>Andel som bor i hushåll med mycket låg arbetsintensitet</w:t>
            </w:r>
          </w:p>
          <w:p>
            <w:pPr>
              <w:shd w:val="clear" w:color="auto" w:fill="FFFFFF" w:themeFill="background1"/>
              <w:spacing w:after="0"/>
              <w:jc w:val="left"/>
              <w:rPr>
                <w:noProof/>
                <w:color w:val="000000" w:themeColor="text1"/>
                <w:sz w:val="20"/>
              </w:rPr>
            </w:pPr>
            <w:r>
              <w:rPr>
                <w:noProof/>
                <w:color w:val="000000" w:themeColor="text1"/>
                <w:sz w:val="20"/>
              </w:rPr>
              <w:t>Andel som bor i bostäder med allvarliga brister (ägarbebodda respektive hyrda)</w:t>
            </w:r>
          </w:p>
          <w:p>
            <w:pPr>
              <w:shd w:val="clear" w:color="auto" w:fill="FFFFFF" w:themeFill="background1"/>
              <w:spacing w:after="0"/>
              <w:jc w:val="left"/>
              <w:rPr>
                <w:noProof/>
                <w:color w:val="000000" w:themeColor="text1"/>
                <w:sz w:val="20"/>
              </w:rPr>
            </w:pPr>
            <w:r>
              <w:rPr>
                <w:noProof/>
                <w:color w:val="000000" w:themeColor="text1"/>
                <w:sz w:val="20"/>
              </w:rPr>
              <w:t>Medianvärde för fattigdomsklyftan**</w:t>
            </w:r>
          </w:p>
          <w:p>
            <w:pPr>
              <w:shd w:val="clear" w:color="auto" w:fill="FFFFFF" w:themeFill="background1"/>
              <w:spacing w:after="0"/>
              <w:ind w:left="142" w:hanging="141"/>
              <w:jc w:val="left"/>
              <w:rPr>
                <w:noProof/>
                <w:color w:val="000000" w:themeColor="text1"/>
                <w:sz w:val="20"/>
              </w:rPr>
            </w:pPr>
            <w:r>
              <w:rPr>
                <w:noProof/>
                <w:color w:val="000000" w:themeColor="text1"/>
                <w:sz w:val="20"/>
              </w:rPr>
              <w:t>Andel förmånstagare [andel i åldersgruppen 18–59 år som får någon form av förmån (utom förmåner vid ålderdom) i den befolkning som löper risk för fattigdom]**</w:t>
            </w:r>
          </w:p>
          <w:p>
            <w:pPr>
              <w:shd w:val="clear" w:color="auto" w:fill="FFFFFF" w:themeFill="background1"/>
              <w:spacing w:after="0"/>
              <w:ind w:left="142" w:hanging="141"/>
              <w:jc w:val="left"/>
              <w:rPr>
                <w:noProof/>
                <w:color w:val="000000" w:themeColor="text1"/>
                <w:sz w:val="20"/>
              </w:rPr>
            </w:pPr>
            <w:r>
              <w:rPr>
                <w:noProof/>
                <w:color w:val="000000" w:themeColor="text1"/>
                <w:sz w:val="20"/>
              </w:rPr>
              <w:t>Sammanlagda utgifter för sociala förmåner efter ändamål (% av BNP): socialt skydd, hälso- och sjukvård, utbildning, långvarig vård och omsorg**</w:t>
            </w:r>
          </w:p>
          <w:p>
            <w:pPr>
              <w:shd w:val="clear" w:color="auto" w:fill="FFFFFF" w:themeFill="background1"/>
              <w:spacing w:after="0"/>
              <w:ind w:left="142" w:hanging="141"/>
              <w:jc w:val="left"/>
              <w:rPr>
                <w:noProof/>
                <w:color w:val="000000" w:themeColor="text1"/>
                <w:sz w:val="20"/>
              </w:rPr>
            </w:pPr>
            <w:r>
              <w:rPr>
                <w:noProof/>
                <w:color w:val="000000" w:themeColor="text1"/>
                <w:sz w:val="20"/>
              </w:rPr>
              <w:t>Andel som får arbetslöshetsförmåner [av korttidsarbetslösa]**</w:t>
            </w:r>
          </w:p>
          <w:p>
            <w:pPr>
              <w:shd w:val="clear" w:color="auto" w:fill="FFFFFF" w:themeFill="background1"/>
              <w:spacing w:after="0"/>
              <w:jc w:val="left"/>
              <w:rPr>
                <w:noProof/>
                <w:color w:val="000000" w:themeColor="text1"/>
                <w:sz w:val="20"/>
              </w:rPr>
            </w:pPr>
            <w:r>
              <w:rPr>
                <w:noProof/>
                <w:color w:val="000000" w:themeColor="text1"/>
                <w:sz w:val="20"/>
              </w:rPr>
              <w:t>Andel som får långvarig vård och omsorg**</w:t>
            </w:r>
          </w:p>
          <w:p>
            <w:pPr>
              <w:shd w:val="clear" w:color="auto" w:fill="FFFFFF" w:themeFill="background1"/>
              <w:spacing w:after="0"/>
              <w:jc w:val="left"/>
              <w:rPr>
                <w:noProof/>
                <w:color w:val="000000" w:themeColor="text1"/>
                <w:sz w:val="20"/>
              </w:rPr>
            </w:pPr>
            <w:r>
              <w:rPr>
                <w:noProof/>
                <w:color w:val="000000" w:themeColor="text1"/>
                <w:sz w:val="20"/>
              </w:rPr>
              <w:t>Aggregerad ersättningskvot för pensioner</w:t>
            </w:r>
          </w:p>
          <w:p>
            <w:pPr>
              <w:shd w:val="clear" w:color="auto" w:fill="FFFFFF" w:themeFill="background1"/>
              <w:spacing w:after="0"/>
              <w:ind w:left="142" w:hanging="141"/>
              <w:jc w:val="left"/>
              <w:rPr>
                <w:noProof/>
                <w:color w:val="000000" w:themeColor="text1"/>
                <w:sz w:val="20"/>
              </w:rPr>
            </w:pPr>
            <w:r>
              <w:rPr>
                <w:noProof/>
                <w:color w:val="000000" w:themeColor="text1"/>
                <w:sz w:val="20"/>
              </w:rPr>
              <w:t>Andel som inte har råd med tillräcklig uppvärmning av bostaden (globalt mål)**</w:t>
            </w:r>
          </w:p>
          <w:p>
            <w:pPr>
              <w:shd w:val="clear" w:color="auto" w:fill="FFFFFF" w:themeFill="background1"/>
              <w:spacing w:after="0"/>
              <w:ind w:left="142" w:hanging="141"/>
              <w:jc w:val="left"/>
              <w:rPr>
                <w:noProof/>
                <w:color w:val="000000" w:themeColor="text1"/>
                <w:sz w:val="20"/>
              </w:rPr>
            </w:pPr>
            <w:r>
              <w:rPr>
                <w:noProof/>
                <w:color w:val="000000" w:themeColor="text1"/>
                <w:sz w:val="20"/>
              </w:rPr>
              <w:t>Dimensionen Uppkoppling i indexet för digital ekonomi och digitalt samhälle</w:t>
            </w:r>
          </w:p>
          <w:p>
            <w:pPr>
              <w:shd w:val="clear" w:color="auto" w:fill="FFFFFF" w:themeFill="background1"/>
              <w:spacing w:after="0"/>
              <w:ind w:left="142" w:hanging="141"/>
              <w:jc w:val="left"/>
              <w:rPr>
                <w:noProof/>
                <w:color w:val="000000" w:themeColor="text1"/>
                <w:sz w:val="20"/>
              </w:rPr>
            </w:pPr>
            <w:r>
              <w:rPr>
                <w:noProof/>
                <w:color w:val="000000" w:themeColor="text1"/>
                <w:sz w:val="20"/>
              </w:rPr>
              <w:t>Barn från tre år till obligatorisk grundskoleålder i formell barnomsorg**</w:t>
            </w:r>
          </w:p>
          <w:p>
            <w:pPr>
              <w:shd w:val="clear" w:color="auto" w:fill="FFFFFF" w:themeFill="background1"/>
              <w:spacing w:after="0"/>
              <w:jc w:val="left"/>
              <w:rPr>
                <w:noProof/>
                <w:color w:val="000000" w:themeColor="text1"/>
                <w:sz w:val="20"/>
              </w:rPr>
            </w:pPr>
            <w:r>
              <w:rPr>
                <w:noProof/>
                <w:color w:val="000000" w:themeColor="text1"/>
                <w:sz w:val="20"/>
              </w:rPr>
              <w:t>Patientavgifter</w:t>
            </w:r>
          </w:p>
          <w:p>
            <w:pPr>
              <w:shd w:val="clear" w:color="auto" w:fill="FFFFFF" w:themeFill="background1"/>
              <w:spacing w:after="0"/>
              <w:jc w:val="left"/>
              <w:rPr>
                <w:noProof/>
                <w:color w:val="000000" w:themeColor="text1"/>
                <w:sz w:val="20"/>
              </w:rPr>
            </w:pPr>
            <w:r>
              <w:rPr>
                <w:noProof/>
                <w:color w:val="000000" w:themeColor="text1"/>
                <w:sz w:val="20"/>
              </w:rPr>
              <w:t>Friska levnadsår vid 65 år: kvinnor och män</w:t>
            </w:r>
          </w:p>
          <w:p>
            <w:pPr>
              <w:spacing w:after="0"/>
              <w:jc w:val="left"/>
              <w:rPr>
                <w:noProof/>
                <w:color w:val="000000" w:themeColor="text1"/>
              </w:rPr>
            </w:pPr>
            <w:r>
              <w:rPr>
                <w:noProof/>
                <w:color w:val="000000" w:themeColor="text1"/>
                <w:sz w:val="20"/>
              </w:rPr>
              <w:t xml:space="preserve">Standardiserade dödstal för hälsopolitiskt åtgärdbar och sjukvårdsrelaterad åtgärdbar dödlighet (globalt mål)** </w:t>
            </w:r>
          </w:p>
        </w:tc>
        <w:tc>
          <w:tcPr>
            <w:tcW w:w="1114" w:type="dxa"/>
          </w:tcPr>
          <w:p>
            <w:pPr>
              <w:spacing w:after="0"/>
              <w:jc w:val="left"/>
              <w:rPr>
                <w:noProof/>
                <w:color w:val="000000" w:themeColor="text1"/>
                <w:sz w:val="20"/>
              </w:rPr>
            </w:pPr>
            <w:r>
              <w:rPr>
                <w:noProof/>
                <w:color w:val="000000" w:themeColor="text1"/>
                <w:sz w:val="20"/>
              </w:rPr>
              <w:t>1. Ingen fattigdom</w:t>
            </w:r>
          </w:p>
          <w:p>
            <w:pPr>
              <w:spacing w:after="0"/>
              <w:jc w:val="left"/>
              <w:rPr>
                <w:noProof/>
                <w:color w:val="000000" w:themeColor="text1"/>
                <w:sz w:val="20"/>
              </w:rPr>
            </w:pPr>
          </w:p>
          <w:p>
            <w:pPr>
              <w:spacing w:after="0"/>
              <w:jc w:val="left"/>
              <w:rPr>
                <w:noProof/>
                <w:color w:val="000000" w:themeColor="text1"/>
                <w:sz w:val="20"/>
              </w:rPr>
            </w:pPr>
            <w:r>
              <w:rPr>
                <w:noProof/>
                <w:color w:val="000000" w:themeColor="text1"/>
                <w:sz w:val="20"/>
              </w:rPr>
              <w:t>3. Hälsa och välbefinnande</w:t>
            </w:r>
          </w:p>
        </w:tc>
      </w:tr>
    </w:tbl>
    <w:p>
      <w:pPr>
        <w:spacing w:after="0"/>
        <w:rPr>
          <w:rFonts w:eastAsiaTheme="minorHAnsi"/>
          <w:noProof/>
          <w:color w:val="000000" w:themeColor="text1"/>
          <w:sz w:val="20"/>
        </w:rPr>
      </w:pPr>
      <w:r>
        <w:rPr>
          <w:noProof/>
          <w:color w:val="000000" w:themeColor="text1"/>
          <w:sz w:val="20"/>
        </w:rPr>
        <w:t>** Ny indikator jämfört med den nuvarande versionen av resultattavlan (inom parentes anges det sammanhang där den för närvarande används).</w:t>
      </w:r>
    </w:p>
    <w:p>
      <w:pPr>
        <w:spacing w:after="160" w:line="259" w:lineRule="auto"/>
        <w:rPr>
          <w:rFonts w:eastAsiaTheme="minorHAnsi"/>
          <w:noProof/>
          <w:color w:val="000000" w:themeColor="text1"/>
          <w:sz w:val="20"/>
        </w:rPr>
      </w:pPr>
      <w:r>
        <w:rPr>
          <w:noProof/>
          <w:color w:val="000000" w:themeColor="text1"/>
          <w:sz w:val="20"/>
        </w:rPr>
        <w:t>Anm. – Den sociala resultattavlans indikatorer fördelade efter åldersgrupp, kön, födelseland, funktionsnedsättning kommer vid behov att användas för att komplettera analysen.</w:t>
      </w:r>
    </w:p>
    <w:p>
      <w:pPr>
        <w:spacing w:after="0"/>
        <w:jc w:val="left"/>
        <w:rPr>
          <w:noProof/>
        </w:rPr>
      </w:pPr>
      <w:r>
        <w:rPr>
          <w:noProof/>
        </w:rPr>
        <w:br w:type="page"/>
      </w:r>
    </w:p>
    <w:tbl>
      <w:tblPr>
        <w:tblStyle w:val="TableGrid"/>
        <w:tblW w:w="0" w:type="auto"/>
        <w:tblLook w:val="04A0" w:firstRow="1" w:lastRow="0" w:firstColumn="1" w:lastColumn="0" w:noHBand="0" w:noVBand="1"/>
      </w:tblPr>
      <w:tblGrid>
        <w:gridCol w:w="889"/>
        <w:gridCol w:w="8121"/>
      </w:tblGrid>
      <w:tr>
        <w:trPr>
          <w:trHeight w:val="557"/>
        </w:trPr>
        <w:tc>
          <w:tcPr>
            <w:tcW w:w="9010" w:type="dxa"/>
            <w:gridSpan w:val="2"/>
            <w:tcBorders>
              <w:top w:val="nil"/>
              <w:left w:val="nil"/>
              <w:right w:val="nil"/>
            </w:tcBorders>
          </w:tcPr>
          <w:p>
            <w:pPr>
              <w:spacing w:after="0"/>
              <w:jc w:val="center"/>
              <w:rPr>
                <w:rFonts w:eastAsiaTheme="minorHAnsi"/>
                <w:b/>
                <w:noProof/>
                <w:szCs w:val="24"/>
              </w:rPr>
            </w:pPr>
            <w:r>
              <w:rPr>
                <w:b/>
                <w:noProof/>
                <w:szCs w:val="24"/>
              </w:rPr>
              <w:t>BILAGA 3: PROKLAMATION AV PRINCIPERNA I DEN SOCIALA PELAREN</w:t>
            </w:r>
            <w:r>
              <w:rPr>
                <w:noProof/>
              </w:rPr>
              <w:t xml:space="preserve"> </w:t>
            </w:r>
            <w:r>
              <w:rPr>
                <w:noProof/>
              </w:rPr>
              <w:br/>
            </w:r>
            <w:r>
              <w:rPr>
                <w:b/>
                <w:noProof/>
                <w:szCs w:val="24"/>
              </w:rPr>
              <w:t>VID TOPPMÖTET I GÖTEBORG 2017</w:t>
            </w:r>
          </w:p>
        </w:tc>
      </w:tr>
      <w:tr>
        <w:tc>
          <w:tcPr>
            <w:tcW w:w="889" w:type="dxa"/>
          </w:tcPr>
          <w:p>
            <w:pPr>
              <w:jc w:val="center"/>
              <w:rPr>
                <w:noProof/>
              </w:rPr>
            </w:pPr>
            <w:r>
              <w:rPr>
                <w:noProof/>
                <w:lang w:val="en-GB" w:eastAsia="en-GB"/>
              </w:rPr>
              <w:drawing>
                <wp:inline distT="0" distB="0" distL="0" distR="0">
                  <wp:extent cx="371960" cy="3339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960" cy="333955"/>
                          </a:xfrm>
                          <a:prstGeom prst="rect">
                            <a:avLst/>
                          </a:prstGeom>
                        </pic:spPr>
                      </pic:pic>
                    </a:graphicData>
                  </a:graphic>
                </wp:inline>
              </w:drawing>
            </w:r>
          </w:p>
        </w:tc>
        <w:tc>
          <w:tcPr>
            <w:tcW w:w="8121" w:type="dxa"/>
          </w:tcPr>
          <w:p>
            <w:pPr>
              <w:shd w:val="clear" w:color="auto" w:fill="FFFFFF"/>
              <w:spacing w:after="0"/>
              <w:rPr>
                <w:rFonts w:ascii="Microsoft Himalaya" w:hAnsi="Microsoft Himalaya" w:cs="Microsoft Himalaya"/>
                <w:b/>
                <w:bCs/>
                <w:noProof/>
                <w:color w:val="000000"/>
              </w:rPr>
            </w:pPr>
            <w:r>
              <w:rPr>
                <w:rFonts w:ascii="Microsoft Himalaya" w:hAnsi="Microsoft Himalaya"/>
                <w:b/>
                <w:bCs/>
                <w:noProof/>
                <w:color w:val="000000"/>
              </w:rPr>
              <w:t xml:space="preserve">1. Utbildning och livslångt lärande </w:t>
            </w:r>
          </w:p>
          <w:p>
            <w:pPr>
              <w:shd w:val="clear" w:color="auto" w:fill="FFFFFF"/>
              <w:spacing w:after="0"/>
              <w:rPr>
                <w:rFonts w:ascii="Microsoft Himalaya" w:hAnsi="Microsoft Himalaya" w:cs="Microsoft Himalaya"/>
                <w:i/>
                <w:noProof/>
                <w:color w:val="000000"/>
              </w:rPr>
            </w:pPr>
            <w:r>
              <w:rPr>
                <w:rFonts w:ascii="Microsoft Himalaya" w:hAnsi="Microsoft Himalaya"/>
                <w:i/>
                <w:noProof/>
                <w:color w:val="000000"/>
              </w:rPr>
              <w:t>Var och en har rätt till god, inkluderande utbildning och livslångt lärande för att bibehålla och tillägna sig färdigheter som tillåter att man deltar fullt ut i samhället och framgångsrikt klarar övergångar i arbetslivet.</w:t>
            </w:r>
            <w:r>
              <w:rPr>
                <w:noProof/>
              </w:rPr>
              <w:t xml:space="preserve"> </w:t>
            </w:r>
          </w:p>
        </w:tc>
      </w:tr>
      <w:tr>
        <w:trPr>
          <w:trHeight w:val="988"/>
        </w:trPr>
        <w:tc>
          <w:tcPr>
            <w:tcW w:w="889" w:type="dxa"/>
          </w:tcPr>
          <w:p>
            <w:pPr>
              <w:jc w:val="center"/>
              <w:rPr>
                <w:noProof/>
              </w:rPr>
            </w:pPr>
            <w:r>
              <w:rPr>
                <w:noProof/>
                <w:lang w:val="en-GB" w:eastAsia="en-GB"/>
              </w:rPr>
              <w:drawing>
                <wp:inline distT="0" distB="0" distL="0" distR="0">
                  <wp:extent cx="353695" cy="2978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3695" cy="29781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2. Jämställdhet</w:t>
            </w:r>
            <w:r>
              <w:rPr>
                <w:noProof/>
              </w:rPr>
              <w:t xml:space="preserve"> </w:t>
            </w:r>
            <w:r>
              <w:rPr>
                <w:noProof/>
              </w:rPr>
              <w:br/>
            </w:r>
            <w:r>
              <w:rPr>
                <w:rFonts w:ascii="Microsoft Himalaya" w:hAnsi="Microsoft Himalaya"/>
                <w:i/>
                <w:noProof/>
                <w:color w:val="000000"/>
              </w:rPr>
              <w:t>a. Lika behandling och lika möjligheter för kvinnor och män måste säkerställas och främjas på alla områden, även när det gäller deltagande på arbetsmarknaden, anställningsvillkor och karriärutveckling.</w:t>
            </w:r>
            <w:r>
              <w:rPr>
                <w:noProof/>
              </w:rPr>
              <w:t xml:space="preserve"> </w:t>
            </w:r>
            <w:r>
              <w:rPr>
                <w:noProof/>
              </w:rPr>
              <w:br/>
            </w:r>
            <w:r>
              <w:rPr>
                <w:rFonts w:ascii="Microsoft Himalaya" w:hAnsi="Microsoft Himalaya"/>
                <w:i/>
                <w:noProof/>
                <w:color w:val="000000"/>
              </w:rPr>
              <w:t>b.</w:t>
            </w:r>
            <w:r>
              <w:rPr>
                <w:noProof/>
              </w:rPr>
              <w:t xml:space="preserve"> </w:t>
            </w:r>
            <w:r>
              <w:rPr>
                <w:rFonts w:ascii="Microsoft Himalaya" w:hAnsi="Microsoft Himalaya"/>
                <w:i/>
                <w:noProof/>
                <w:color w:val="000000"/>
              </w:rPr>
              <w:t>Kvinnor och män har rätt till lika lön för likvärdigt arbete.</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36421" cy="341906"/>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6421" cy="341906"/>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3. Lika möjligheter</w:t>
            </w:r>
            <w:r>
              <w:rPr>
                <w:noProof/>
              </w:rPr>
              <w:t xml:space="preserve"> </w:t>
            </w:r>
            <w:r>
              <w:rPr>
                <w:noProof/>
              </w:rPr>
              <w:br/>
            </w:r>
            <w:r>
              <w:rPr>
                <w:rFonts w:ascii="Microsoft Himalaya" w:hAnsi="Microsoft Himalaya"/>
                <w:i/>
                <w:noProof/>
                <w:color w:val="000000"/>
              </w:rPr>
              <w:t>Oberoende av kön, ras eller etniskt ursprung, religion eller övertygelse, ålder eller sexuell läggning har var och en rätt till lika behandling och lika möjligheter när det gäller anställning, socialt skydd, utbildning och tillgång till varor och tjänster som erbjuds allmänheten. Lika möjligheter för underrepresenterade grupper ska främjas.</w:t>
            </w:r>
          </w:p>
        </w:tc>
      </w:tr>
      <w:tr>
        <w:tc>
          <w:tcPr>
            <w:tcW w:w="889" w:type="dxa"/>
          </w:tcPr>
          <w:p>
            <w:pPr>
              <w:jc w:val="center"/>
              <w:rPr>
                <w:noProof/>
              </w:rPr>
            </w:pPr>
            <w:r>
              <w:rPr>
                <w:noProof/>
                <w:lang w:val="en-GB" w:eastAsia="en-GB"/>
              </w:rPr>
              <w:drawing>
                <wp:inline distT="0" distB="0" distL="0" distR="0">
                  <wp:extent cx="397121" cy="353833"/>
                  <wp:effectExtent l="0" t="0" r="3175" b="825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121" cy="353833"/>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4. Aktiva arbetsmarknadsåtgärder</w:t>
            </w:r>
            <w:r>
              <w:rPr>
                <w:noProof/>
              </w:rPr>
              <w:t xml:space="preserve"> </w:t>
            </w:r>
            <w:r>
              <w:rPr>
                <w:noProof/>
              </w:rPr>
              <w:br/>
            </w:r>
            <w:r>
              <w:rPr>
                <w:rFonts w:ascii="Microsoft Himalaya" w:hAnsi="Microsoft Himalaya"/>
                <w:i/>
                <w:noProof/>
                <w:color w:val="000000"/>
              </w:rPr>
              <w:t>a. Var och en har rätt att få individanpassat stöd i rätt tid för att förbättra sina utsikter till anställning eller egenföretagande. I detta ingår rätten att få hjälp med att söka arbete, utbilda eller omskola sig. Var och en har rätt att överföra intjänade socialförsäkrings- eller utbildningsrättigheter vid övergången mellan olika anställningar.</w:t>
            </w:r>
            <w:r>
              <w:rPr>
                <w:noProof/>
              </w:rPr>
              <w:t xml:space="preserve"> </w:t>
            </w:r>
            <w:r>
              <w:rPr>
                <w:noProof/>
              </w:rPr>
              <w:br/>
            </w:r>
            <w:r>
              <w:rPr>
                <w:rFonts w:ascii="Microsoft Himalaya" w:hAnsi="Microsoft Himalaya"/>
                <w:i/>
                <w:noProof/>
                <w:color w:val="000000"/>
              </w:rPr>
              <w:t>b. Unga människor har rätt till fortbildning, lärlingstid, praktik eller ett bra arbetserbjudande inom fyra månader från det att de blivit arbetslösa eller slutat en utbildning.</w:t>
            </w:r>
            <w:r>
              <w:rPr>
                <w:noProof/>
              </w:rPr>
              <w:t xml:space="preserve"> </w:t>
            </w:r>
            <w:r>
              <w:rPr>
                <w:noProof/>
              </w:rPr>
              <w:br/>
            </w:r>
            <w:r>
              <w:rPr>
                <w:rFonts w:ascii="Microsoft Himalaya" w:hAnsi="Microsoft Himalaya"/>
                <w:i/>
                <w:noProof/>
                <w:color w:val="000000"/>
              </w:rPr>
              <w:t>c. Arbetslösa har rätt till individanpassat, kontinuerligt och aktivt stöd. Långtidsarbetslösa har rätt till en ingående, individuell bedömning senast vid 18 månaders arbetslöshet.</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43786" cy="32202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3786" cy="322027"/>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5. Trygg och anpassningsbar anställning</w:t>
            </w:r>
            <w:r>
              <w:rPr>
                <w:noProof/>
              </w:rPr>
              <w:t xml:space="preserve"> </w:t>
            </w:r>
            <w:r>
              <w:rPr>
                <w:noProof/>
              </w:rPr>
              <w:br/>
            </w:r>
            <w:r>
              <w:rPr>
                <w:rFonts w:ascii="Microsoft Himalaya" w:hAnsi="Microsoft Himalaya"/>
                <w:i/>
                <w:noProof/>
                <w:color w:val="000000"/>
              </w:rPr>
              <w:t>a. Oberoende av anställningsförhållandets form och varaktighet har arbetstagare rätt till rättvis och lika behandling när det gäller arbetsvillkor, tillgång till social trygghet och utbildning. Övergång till olika tillsvidareanställningar ska främjas.</w:t>
            </w:r>
            <w:r>
              <w:rPr>
                <w:noProof/>
              </w:rPr>
              <w:t xml:space="preserve"> </w:t>
            </w:r>
            <w:r>
              <w:rPr>
                <w:noProof/>
              </w:rPr>
              <w:br/>
            </w:r>
            <w:r>
              <w:rPr>
                <w:rFonts w:ascii="Microsoft Himalaya" w:hAnsi="Microsoft Himalaya"/>
                <w:i/>
                <w:noProof/>
                <w:color w:val="000000"/>
              </w:rPr>
              <w:t>b. I överensstämmelse med lagstiftning och kollektivavtal ska den flexibilitet arbetsgivare behöver för att anpassa sig snabbt till förändringar i ekonomiska förhållanden säkerställas.</w:t>
            </w:r>
            <w:r>
              <w:rPr>
                <w:noProof/>
              </w:rPr>
              <w:t xml:space="preserve"> </w:t>
            </w:r>
            <w:r>
              <w:rPr>
                <w:noProof/>
              </w:rPr>
              <w:br/>
            </w:r>
            <w:r>
              <w:rPr>
                <w:rFonts w:ascii="Microsoft Himalaya" w:hAnsi="Microsoft Himalaya"/>
                <w:i/>
                <w:noProof/>
                <w:color w:val="000000"/>
              </w:rPr>
              <w:t>c. Innovativa arbetsformer som säkerställer goda arbetsvillkor ska främjas. Entreprenörskap och egenföretagande ska uppmuntras. Yrkesrörlighet ska underlättas.</w:t>
            </w:r>
            <w:r>
              <w:rPr>
                <w:noProof/>
              </w:rPr>
              <w:t xml:space="preserve"> </w:t>
            </w:r>
            <w:r>
              <w:rPr>
                <w:noProof/>
              </w:rPr>
              <w:br/>
            </w:r>
            <w:r>
              <w:rPr>
                <w:rFonts w:ascii="Microsoft Himalaya" w:hAnsi="Microsoft Himalaya"/>
                <w:i/>
                <w:noProof/>
                <w:color w:val="000000"/>
              </w:rPr>
              <w:t>d. Anställningsförhållanden som leder till otrygga arbetsvillkor ska förhindras, inklusive genom förbud mot missbruk av atypiska anställningsformer. Eventuella provanställningar ska ha rimlig varaktighet.</w:t>
            </w:r>
          </w:p>
        </w:tc>
      </w:tr>
      <w:tr>
        <w:trPr>
          <w:trHeight w:val="1686"/>
        </w:trPr>
        <w:tc>
          <w:tcPr>
            <w:tcW w:w="889" w:type="dxa"/>
          </w:tcPr>
          <w:p>
            <w:pPr>
              <w:jc w:val="center"/>
              <w:rPr>
                <w:noProof/>
              </w:rPr>
            </w:pPr>
            <w:r>
              <w:rPr>
                <w:rFonts w:asciiTheme="minorHAnsi" w:hAnsiTheme="minorHAnsi"/>
                <w:noProof/>
                <w:sz w:val="22"/>
                <w:szCs w:val="22"/>
                <w:lang w:val="en-GB" w:eastAsia="en-GB"/>
              </w:rPr>
              <w:drawing>
                <wp:inline distT="0" distB="0" distL="0" distR="0">
                  <wp:extent cx="337185" cy="317500"/>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185" cy="317500"/>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6. Lön</w:t>
            </w:r>
            <w:r>
              <w:rPr>
                <w:noProof/>
              </w:rPr>
              <w:t xml:space="preserve"> </w:t>
            </w:r>
            <w:r>
              <w:rPr>
                <w:noProof/>
              </w:rPr>
              <w:br/>
            </w:r>
            <w:r>
              <w:rPr>
                <w:rFonts w:ascii="Microsoft Himalaya" w:hAnsi="Microsoft Himalaya"/>
                <w:i/>
                <w:noProof/>
                <w:color w:val="000000"/>
              </w:rPr>
              <w:t>a. Arbetstagare har rätt till en rättvis lön som tillåter en värdig levnadsstandard.</w:t>
            </w:r>
            <w:r>
              <w:rPr>
                <w:noProof/>
              </w:rPr>
              <w:t xml:space="preserve"> </w:t>
            </w:r>
            <w:r>
              <w:rPr>
                <w:noProof/>
              </w:rPr>
              <w:br/>
            </w:r>
            <w:r>
              <w:rPr>
                <w:rFonts w:ascii="Microsoft Himalaya" w:hAnsi="Microsoft Himalaya"/>
                <w:i/>
                <w:noProof/>
                <w:color w:val="000000"/>
              </w:rPr>
              <w:t>b. En tillräcklig minimilön ska säkerställas, så att arbetstagaren med familj kan tillgodose sina behov med hänsyn till nationella ekonomiska och sociala förhållanden, samtidigt som tillgången till sysselsättning och incitament att söka arbete upprätthålls. Fattigdom bland förvärvsarbetande ska förhindras.</w:t>
            </w:r>
            <w:r>
              <w:rPr>
                <w:noProof/>
              </w:rPr>
              <w:t xml:space="preserve"> </w:t>
            </w:r>
            <w:r>
              <w:rPr>
                <w:noProof/>
              </w:rPr>
              <w:br/>
            </w:r>
            <w:r>
              <w:rPr>
                <w:rFonts w:ascii="Microsoft Himalaya" w:hAnsi="Microsoft Himalaya"/>
                <w:i/>
                <w:noProof/>
                <w:color w:val="000000"/>
              </w:rPr>
              <w:t>c. All lönesättning ska ske genomsynligt och förutsägbart i enlighet med nationell praxis och med respekt för arbetsmarknadsparternas oberoende.</w:t>
            </w:r>
          </w:p>
        </w:tc>
      </w:tr>
      <w:tr>
        <w:trPr>
          <w:trHeight w:val="1468"/>
        </w:trPr>
        <w:tc>
          <w:tcPr>
            <w:tcW w:w="889" w:type="dxa"/>
          </w:tcPr>
          <w:p>
            <w:pPr>
              <w:jc w:val="center"/>
              <w:rPr>
                <w:noProof/>
              </w:rPr>
            </w:pPr>
            <w:r>
              <w:rPr>
                <w:rFonts w:asciiTheme="minorHAnsi" w:hAnsiTheme="minorHAnsi"/>
                <w:noProof/>
                <w:sz w:val="22"/>
                <w:szCs w:val="22"/>
                <w:lang w:val="en-GB" w:eastAsia="en-GB"/>
              </w:rPr>
              <w:drawing>
                <wp:inline distT="0" distB="0" distL="0" distR="0">
                  <wp:extent cx="417443" cy="352425"/>
                  <wp:effectExtent l="0" t="0" r="190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7443" cy="35242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7. Information om anställningsvillkor och skydd i händelse av uppsägning</w:t>
            </w:r>
            <w:r>
              <w:rPr>
                <w:noProof/>
              </w:rPr>
              <w:t xml:space="preserve"> </w:t>
            </w:r>
            <w:r>
              <w:rPr>
                <w:noProof/>
              </w:rPr>
              <w:br/>
            </w:r>
            <w:r>
              <w:rPr>
                <w:rFonts w:ascii="Microsoft Himalaya" w:hAnsi="Microsoft Himalaya"/>
                <w:i/>
                <w:noProof/>
                <w:color w:val="000000"/>
              </w:rPr>
              <w:t>a. När anställningen börjar har arbetstagare har rätt till skriftlig information om sina rättigheter och skyldigheter i enlighet med anställningsförhållandet, inbegripet om provanställning.</w:t>
            </w:r>
            <w:r>
              <w:rPr>
                <w:noProof/>
              </w:rPr>
              <w:t xml:space="preserve"> </w:t>
            </w:r>
            <w:r>
              <w:rPr>
                <w:noProof/>
              </w:rPr>
              <w:br/>
            </w:r>
            <w:r>
              <w:rPr>
                <w:rFonts w:ascii="Microsoft Himalaya" w:hAnsi="Microsoft Himalaya"/>
                <w:i/>
                <w:noProof/>
                <w:color w:val="000000"/>
              </w:rPr>
              <w:t>b. Före eventuell uppsägning har arbetstagare rätt till information om skälen och till en rimlig uppsägningstid. De har rätt att hänvända sig till verksam och opartisk tvistlösning samt, i händelse av omotiverad uppsägning, rätt till omprövning, inklusive lämplig kompensation.</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85638" cy="3131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5638" cy="313198"/>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8. Dialog mellan arbetsmarknadsparterna och arbetstagarnas inflytande</w:t>
            </w:r>
            <w:r>
              <w:rPr>
                <w:noProof/>
              </w:rPr>
              <w:t xml:space="preserve"> </w:t>
            </w:r>
            <w:r>
              <w:rPr>
                <w:noProof/>
              </w:rPr>
              <w:br/>
            </w:r>
            <w:r>
              <w:rPr>
                <w:rFonts w:ascii="Microsoft Himalaya" w:hAnsi="Microsoft Himalaya"/>
                <w:i/>
                <w:noProof/>
                <w:color w:val="000000"/>
              </w:rPr>
              <w:t>a. Arbetsmarknadsparterna ska höras om utformningen och genomförandet av den ekonomiska politiken och sysselsättnings- och socialpolitiken i enlighet med nationell praxis. De ska uppmuntras att förhandla och sluta kollektivavtal i frågor som är relevanta för dem, samtidigt som deras oberoende och rätt till kollektiva åtgärder respekteras. När det är lämpligt ska avtal slutna mellan arbetsmarknadsparterna genomföras på unions- och medlemsstatsnivå.</w:t>
            </w:r>
            <w:r>
              <w:rPr>
                <w:noProof/>
              </w:rPr>
              <w:t xml:space="preserve"> </w:t>
            </w:r>
            <w:r>
              <w:rPr>
                <w:noProof/>
              </w:rPr>
              <w:br/>
            </w:r>
            <w:r>
              <w:rPr>
                <w:rFonts w:ascii="Microsoft Himalaya" w:hAnsi="Microsoft Himalaya"/>
                <w:i/>
                <w:noProof/>
                <w:color w:val="000000"/>
              </w:rPr>
              <w:t>b. Arbetstagare eller deras företrädare har rätt att bli informerade och hörda i god tid om sådant som är relevant för dem, särskilt om överlåtelse, omstrukturering och sammanslagning av företag och om kollektiva uppsägningar.</w:t>
            </w:r>
            <w:r>
              <w:rPr>
                <w:noProof/>
              </w:rPr>
              <w:t xml:space="preserve"> </w:t>
            </w:r>
            <w:r>
              <w:rPr>
                <w:noProof/>
              </w:rPr>
              <w:br/>
            </w:r>
            <w:r>
              <w:rPr>
                <w:rFonts w:ascii="Microsoft Himalaya" w:hAnsi="Microsoft Himalaya"/>
                <w:i/>
                <w:noProof/>
                <w:color w:val="000000"/>
              </w:rPr>
              <w:t>c. Stöd till ökad förmåga för arbetsmarknadsparter att främja den sociala dialogen ska uppmuntras.</w:t>
            </w:r>
          </w:p>
        </w:tc>
      </w:tr>
      <w:tr>
        <w:tc>
          <w:tcPr>
            <w:tcW w:w="889" w:type="dxa"/>
          </w:tcPr>
          <w:p>
            <w:pPr>
              <w:tabs>
                <w:tab w:val="left" w:pos="425"/>
              </w:tabs>
              <w:jc w:val="center"/>
              <w:rPr>
                <w:noProof/>
              </w:rPr>
            </w:pPr>
            <w:r>
              <w:rPr>
                <w:rFonts w:asciiTheme="minorHAnsi" w:hAnsiTheme="minorHAnsi"/>
                <w:noProof/>
                <w:sz w:val="22"/>
                <w:szCs w:val="22"/>
                <w:lang w:val="en-GB" w:eastAsia="en-GB"/>
              </w:rPr>
              <w:drawing>
                <wp:inline distT="0" distB="0" distL="0" distR="0">
                  <wp:extent cx="427628" cy="327246"/>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628" cy="327246"/>
                          </a:xfrm>
                          <a:prstGeom prst="rect">
                            <a:avLst/>
                          </a:prstGeom>
                        </pic:spPr>
                      </pic:pic>
                    </a:graphicData>
                  </a:graphic>
                </wp:inline>
              </w:drawing>
            </w:r>
          </w:p>
        </w:tc>
        <w:tc>
          <w:tcPr>
            <w:tcW w:w="8121" w:type="dxa"/>
          </w:tcPr>
          <w:p>
            <w:pPr>
              <w:shd w:val="clear" w:color="auto" w:fill="FFFFFF"/>
              <w:spacing w:after="0"/>
              <w:rPr>
                <w:rFonts w:ascii="Microsoft Himalaya" w:hAnsi="Microsoft Himalaya" w:cs="Microsoft Himalaya"/>
                <w:b/>
                <w:bCs/>
                <w:noProof/>
                <w:color w:val="000000"/>
              </w:rPr>
            </w:pPr>
            <w:r>
              <w:rPr>
                <w:rFonts w:ascii="Microsoft Himalaya" w:hAnsi="Microsoft Himalaya"/>
                <w:b/>
                <w:bCs/>
                <w:noProof/>
                <w:color w:val="000000"/>
              </w:rPr>
              <w:t xml:space="preserve">9.   Balans mellan arbete och privatliv </w:t>
            </w:r>
          </w:p>
          <w:p>
            <w:pPr>
              <w:shd w:val="clear" w:color="auto" w:fill="FFFFFF"/>
              <w:spacing w:after="0"/>
              <w:rPr>
                <w:rFonts w:ascii="Microsoft Himalaya" w:hAnsi="Microsoft Himalaya" w:cs="Microsoft Himalaya"/>
                <w:i/>
                <w:noProof/>
                <w:color w:val="000000"/>
              </w:rPr>
            </w:pPr>
            <w:r>
              <w:rPr>
                <w:rFonts w:ascii="Microsoft Himalaya" w:hAnsi="Microsoft Himalaya"/>
                <w:i/>
                <w:noProof/>
                <w:color w:val="000000"/>
              </w:rPr>
              <w:t>Föräldrar och människor med omsorgsansvar har rätt till lämplig ledighet, flexibla arbetsformer och tillgång till omsorgstjänster. Kvinnor och män ska ha lika tillgång till särskild ledighet för att ta sitt omsorgsansvar, och de ska uppmuntras att använda ledigheten jämlikt.</w:t>
            </w:r>
          </w:p>
        </w:tc>
      </w:tr>
      <w:tr>
        <w:trPr>
          <w:trHeight w:val="1291"/>
        </w:trPr>
        <w:tc>
          <w:tcPr>
            <w:tcW w:w="889" w:type="dxa"/>
          </w:tcPr>
          <w:p>
            <w:pPr>
              <w:jc w:val="center"/>
              <w:rPr>
                <w:noProof/>
              </w:rPr>
            </w:pPr>
            <w:r>
              <w:rPr>
                <w:noProof/>
                <w:lang w:val="en-GB" w:eastAsia="en-GB"/>
              </w:rPr>
              <w:drawing>
                <wp:inline distT="0" distB="0" distL="0" distR="0">
                  <wp:extent cx="349857" cy="357719"/>
                  <wp:effectExtent l="0" t="0" r="0"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9857" cy="357719"/>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10.   Hälsosam, säker och välanpassad arbetsmiljö samt dataskydd</w:t>
            </w:r>
            <w:r>
              <w:rPr>
                <w:noProof/>
              </w:rPr>
              <w:t xml:space="preserve"> </w:t>
            </w:r>
            <w:r>
              <w:rPr>
                <w:noProof/>
              </w:rPr>
              <w:br/>
            </w:r>
            <w:r>
              <w:rPr>
                <w:rFonts w:ascii="Microsoft Himalaya" w:hAnsi="Microsoft Himalaya"/>
                <w:i/>
                <w:noProof/>
                <w:color w:val="000000"/>
              </w:rPr>
              <w:t>a. Arbetstagare har rätt till en hög skyddsnivå för hälsa och säkerhet i arbetet.</w:t>
            </w:r>
            <w:r>
              <w:rPr>
                <w:noProof/>
              </w:rPr>
              <w:t xml:space="preserve"> </w:t>
            </w:r>
            <w:r>
              <w:rPr>
                <w:noProof/>
              </w:rPr>
              <w:br/>
            </w:r>
            <w:r>
              <w:rPr>
                <w:rFonts w:ascii="Microsoft Himalaya" w:hAnsi="Microsoft Himalaya"/>
                <w:i/>
                <w:noProof/>
                <w:color w:val="000000"/>
              </w:rPr>
              <w:t>b. Arbetstagare har rätt till en arbetsmiljö som passar för deras yrkesverksamhet och som tillåter dem att förlänga deras deltagande på arbetsmarknaden.</w:t>
            </w:r>
            <w:r>
              <w:rPr>
                <w:noProof/>
              </w:rPr>
              <w:t xml:space="preserve"> </w:t>
            </w:r>
            <w:r>
              <w:rPr>
                <w:noProof/>
              </w:rPr>
              <w:br/>
            </w:r>
            <w:r>
              <w:rPr>
                <w:rFonts w:ascii="Microsoft Himalaya" w:hAnsi="Microsoft Himalaya"/>
                <w:i/>
                <w:noProof/>
                <w:color w:val="000000"/>
              </w:rPr>
              <w:t>c.</w:t>
            </w:r>
            <w:r>
              <w:rPr>
                <w:noProof/>
              </w:rPr>
              <w:t xml:space="preserve"> </w:t>
            </w:r>
            <w:r>
              <w:rPr>
                <w:rFonts w:ascii="Microsoft Himalaya" w:hAnsi="Microsoft Himalaya"/>
                <w:i/>
                <w:noProof/>
                <w:color w:val="000000"/>
              </w:rPr>
              <w:t>Arbetstagare har rätt till skydd för sina personuppgifter kopplade till anställningen</w:t>
            </w:r>
          </w:p>
        </w:tc>
      </w:tr>
      <w:tr>
        <w:trPr>
          <w:trHeight w:val="972"/>
        </w:trPr>
        <w:tc>
          <w:tcPr>
            <w:tcW w:w="889" w:type="dxa"/>
          </w:tcPr>
          <w:p>
            <w:pPr>
              <w:jc w:val="center"/>
              <w:rPr>
                <w:noProof/>
              </w:rPr>
            </w:pPr>
            <w:r>
              <w:rPr>
                <w:rFonts w:asciiTheme="minorHAnsi" w:hAnsiTheme="minorHAnsi"/>
                <w:noProof/>
                <w:sz w:val="22"/>
                <w:szCs w:val="22"/>
                <w:lang w:val="en-GB" w:eastAsia="en-GB"/>
              </w:rPr>
              <w:drawing>
                <wp:inline distT="0" distB="0" distL="0" distR="0">
                  <wp:extent cx="306070" cy="298942"/>
                  <wp:effectExtent l="0" t="0" r="0" b="635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1242" t="13309" r="1"/>
                          <a:stretch/>
                        </pic:blipFill>
                        <pic:spPr bwMode="auto">
                          <a:xfrm>
                            <a:off x="0" y="0"/>
                            <a:ext cx="306604" cy="299464"/>
                          </a:xfrm>
                          <a:prstGeom prst="rect">
                            <a:avLst/>
                          </a:prstGeom>
                          <a:ln>
                            <a:noFill/>
                          </a:ln>
                          <a:extLst>
                            <a:ext uri="{53640926-AAD7-44D8-BBD7-CCE9431645EC}">
                              <a14:shadowObscured xmlns:a14="http://schemas.microsoft.com/office/drawing/2010/main"/>
                            </a:ext>
                          </a:extLst>
                        </pic:spPr>
                      </pic:pic>
                    </a:graphicData>
                  </a:graphic>
                </wp:inline>
              </w:drawing>
            </w:r>
          </w:p>
        </w:tc>
        <w:tc>
          <w:tcPr>
            <w:tcW w:w="8121" w:type="dxa"/>
          </w:tcPr>
          <w:p>
            <w:pPr>
              <w:spacing w:after="0"/>
              <w:jc w:val="left"/>
              <w:rPr>
                <w:noProof/>
              </w:rPr>
            </w:pPr>
            <w:r>
              <w:rPr>
                <w:rFonts w:ascii="Microsoft Himalaya" w:hAnsi="Microsoft Himalaya"/>
                <w:b/>
                <w:bCs/>
                <w:noProof/>
                <w:color w:val="000000"/>
              </w:rPr>
              <w:t>11. Barnomsorg och stöd för barn</w:t>
            </w:r>
            <w:r>
              <w:rPr>
                <w:noProof/>
              </w:rPr>
              <w:t xml:space="preserve"> </w:t>
            </w:r>
            <w:r>
              <w:rPr>
                <w:noProof/>
              </w:rPr>
              <w:br/>
            </w:r>
            <w:r>
              <w:rPr>
                <w:rFonts w:ascii="Microsoft Himalaya" w:hAnsi="Microsoft Himalaya"/>
                <w:i/>
                <w:noProof/>
                <w:color w:val="000000"/>
              </w:rPr>
              <w:t>a. Barn har rätt till överkomlig förskoleverksamhet och barnomsorg av god kvalitet.</w:t>
            </w:r>
            <w:r>
              <w:rPr>
                <w:noProof/>
              </w:rPr>
              <w:t xml:space="preserve"> </w:t>
            </w:r>
            <w:r>
              <w:rPr>
                <w:noProof/>
              </w:rPr>
              <w:br/>
            </w:r>
            <w:r>
              <w:rPr>
                <w:rFonts w:ascii="Microsoft Himalaya" w:hAnsi="Microsoft Himalaya"/>
                <w:i/>
                <w:noProof/>
                <w:color w:val="000000"/>
              </w:rPr>
              <w:t>b. Barn har rätt att bli skyddade mot fattigdom. Barn från mindre gynnade förhållanden har rätt till särskilda åtgärder som ger dem lika möjligheter.</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49857" cy="349857"/>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49857" cy="349857"/>
                          </a:xfrm>
                          <a:prstGeom prst="rect">
                            <a:avLst/>
                          </a:prstGeom>
                        </pic:spPr>
                      </pic:pic>
                    </a:graphicData>
                  </a:graphic>
                </wp:inline>
              </w:drawing>
            </w:r>
          </w:p>
        </w:tc>
        <w:tc>
          <w:tcPr>
            <w:tcW w:w="8121" w:type="dxa"/>
          </w:tcPr>
          <w:p>
            <w:pPr>
              <w:shd w:val="clear" w:color="auto" w:fill="FFFFFF"/>
              <w:spacing w:after="0"/>
              <w:rPr>
                <w:rFonts w:ascii="Microsoft Himalaya" w:hAnsi="Microsoft Himalaya" w:cs="Microsoft Himalaya"/>
                <w:b/>
                <w:bCs/>
                <w:noProof/>
                <w:color w:val="000000"/>
              </w:rPr>
            </w:pPr>
            <w:r>
              <w:rPr>
                <w:rFonts w:ascii="Microsoft Himalaya" w:hAnsi="Microsoft Himalaya"/>
                <w:b/>
                <w:bCs/>
                <w:noProof/>
                <w:color w:val="000000"/>
              </w:rPr>
              <w:t xml:space="preserve">12.   Socialt skydd </w:t>
            </w:r>
          </w:p>
          <w:p>
            <w:pPr>
              <w:spacing w:after="0"/>
              <w:rPr>
                <w:noProof/>
              </w:rPr>
            </w:pPr>
            <w:r>
              <w:rPr>
                <w:rFonts w:ascii="Microsoft Himalaya" w:hAnsi="Microsoft Himalaya"/>
                <w:i/>
                <w:noProof/>
                <w:color w:val="000000"/>
              </w:rPr>
              <w:t>Oberoende av anställningsförhållandets form och varaktighet har arbetstagare och, när deras förhållanden är jämförbara, egenföretagare rätt till lämplig social trygghet.</w:t>
            </w:r>
          </w:p>
        </w:tc>
      </w:tr>
      <w:tr>
        <w:tc>
          <w:tcPr>
            <w:tcW w:w="889" w:type="dxa"/>
          </w:tcPr>
          <w:p>
            <w:pPr>
              <w:jc w:val="center"/>
              <w:rPr>
                <w:noProof/>
              </w:rPr>
            </w:pPr>
            <w:r>
              <w:rPr>
                <w:noProof/>
                <w:lang w:val="en-GB" w:eastAsia="en-GB"/>
              </w:rPr>
              <w:drawing>
                <wp:inline distT="0" distB="0" distL="0" distR="0">
                  <wp:extent cx="355935" cy="357808"/>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5935" cy="357808"/>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13.   Arbetslöshetsförmåner</w:t>
            </w:r>
            <w:r>
              <w:rPr>
                <w:noProof/>
              </w:rPr>
              <w:t xml:space="preserve"> </w:t>
            </w:r>
            <w:r>
              <w:rPr>
                <w:noProof/>
              </w:rPr>
              <w:br/>
            </w:r>
            <w:r>
              <w:rPr>
                <w:rFonts w:ascii="Microsoft Himalaya" w:hAnsi="Microsoft Himalaya"/>
                <w:i/>
                <w:noProof/>
                <w:color w:val="000000"/>
              </w:rPr>
              <w:t>Arbetslösa har rätt till lämpligt aktiveringsstöd från offentliga arbetsförmedlingar för att komma in på eller tillbaka till arbetsmarknaden och lämpliga arbetslöshetsförmåner under en rimlig tid i enlighet med sina avgiftsinbetalningar och nationella regler för stödberättigande. Förmånerna får inte vara ett negativt incitament för snabb återgång till sysselsättning.</w:t>
            </w:r>
          </w:p>
        </w:tc>
      </w:tr>
      <w:tr>
        <w:tc>
          <w:tcPr>
            <w:tcW w:w="889" w:type="dxa"/>
          </w:tcPr>
          <w:p>
            <w:pPr>
              <w:jc w:val="center"/>
              <w:rPr>
                <w:noProof/>
              </w:rPr>
            </w:pPr>
            <w:r>
              <w:rPr>
                <w:noProof/>
                <w:lang w:val="en-GB" w:eastAsia="en-GB"/>
              </w:rPr>
              <w:drawing>
                <wp:inline distT="0" distB="0" distL="0" distR="0">
                  <wp:extent cx="366987" cy="3260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6987" cy="326004"/>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14.   Minimiinkomst</w:t>
            </w:r>
            <w:r>
              <w:rPr>
                <w:noProof/>
              </w:rPr>
              <w:t xml:space="preserve"> </w:t>
            </w:r>
            <w:r>
              <w:rPr>
                <w:noProof/>
              </w:rPr>
              <w:br/>
            </w:r>
            <w:r>
              <w:rPr>
                <w:rFonts w:ascii="Microsoft Himalaya" w:hAnsi="Microsoft Himalaya"/>
                <w:i/>
                <w:noProof/>
                <w:color w:val="000000"/>
              </w:rPr>
              <w:t>Var och en som saknar tillräckliga resurser har rätt till passande minimiinkomstförmåner, som ska säkerställa ett värdigt liv under livets alla skeden, och verklig tillgång till hjälpande varor och tjänster. För dem som kan arbeta bör minimiinkomstförmånen kombineras med incitament att komma in på eller tillbaka till arbetsmarknaden.</w:t>
            </w:r>
          </w:p>
        </w:tc>
      </w:tr>
      <w:tr>
        <w:tc>
          <w:tcPr>
            <w:tcW w:w="889" w:type="dxa"/>
          </w:tcPr>
          <w:p>
            <w:pPr>
              <w:jc w:val="center"/>
              <w:rPr>
                <w:noProof/>
              </w:rPr>
            </w:pPr>
            <w:r>
              <w:rPr>
                <w:noProof/>
                <w:lang w:val="en-GB" w:eastAsia="en-GB"/>
              </w:rPr>
              <w:drawing>
                <wp:inline distT="0" distB="0" distL="0" distR="0">
                  <wp:extent cx="359410" cy="33337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410" cy="333375"/>
                          </a:xfrm>
                          <a:prstGeom prst="rect">
                            <a:avLst/>
                          </a:prstGeom>
                        </pic:spPr>
                      </pic:pic>
                    </a:graphicData>
                  </a:graphic>
                </wp:inline>
              </w:drawing>
            </w:r>
          </w:p>
        </w:tc>
        <w:tc>
          <w:tcPr>
            <w:tcW w:w="8121" w:type="dxa"/>
          </w:tcPr>
          <w:p>
            <w:pPr>
              <w:spacing w:after="0"/>
              <w:jc w:val="left"/>
              <w:rPr>
                <w:rFonts w:ascii="Microsoft Himalaya" w:hAnsi="Microsoft Himalaya" w:cs="Microsoft Himalaya"/>
                <w:b/>
                <w:bCs/>
                <w:noProof/>
                <w:color w:val="000000"/>
              </w:rPr>
            </w:pPr>
            <w:r>
              <w:rPr>
                <w:rFonts w:ascii="Microsoft Himalaya" w:hAnsi="Microsoft Himalaya"/>
                <w:b/>
                <w:bCs/>
                <w:noProof/>
                <w:color w:val="000000"/>
              </w:rPr>
              <w:t>15.   Åldersinkomst och ålderspension</w:t>
            </w:r>
            <w:r>
              <w:rPr>
                <w:noProof/>
              </w:rPr>
              <w:t xml:space="preserve"> </w:t>
            </w:r>
            <w:r>
              <w:rPr>
                <w:noProof/>
              </w:rPr>
              <w:br/>
            </w:r>
            <w:r>
              <w:rPr>
                <w:rFonts w:ascii="Microsoft Himalaya" w:hAnsi="Microsoft Himalaya"/>
                <w:i/>
                <w:noProof/>
                <w:color w:val="000000"/>
              </w:rPr>
              <w:t>a. Pensionerade arbetstagare och egenföretagare har rätt till en pension som motsvarar deras avgiftsinbetalningar och som säkerställer en tillräcklig inkomst. Kvinnor och män ska ha lika möjligheter att förvärva pensionsrättigheter.</w:t>
            </w:r>
            <w:r>
              <w:rPr>
                <w:noProof/>
              </w:rPr>
              <w:t xml:space="preserve"> </w:t>
            </w:r>
            <w:r>
              <w:rPr>
                <w:noProof/>
              </w:rPr>
              <w:br/>
            </w:r>
            <w:r>
              <w:rPr>
                <w:rFonts w:ascii="Microsoft Himalaya" w:hAnsi="Microsoft Himalaya"/>
                <w:i/>
                <w:noProof/>
                <w:color w:val="000000"/>
              </w:rPr>
              <w:t>b. Var och en i hög ålder har rätt till resurser som säkerställer ett värdigt liv.</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57505" cy="31051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7505" cy="310515"/>
                          </a:xfrm>
                          <a:prstGeom prst="rect">
                            <a:avLst/>
                          </a:prstGeom>
                        </pic:spPr>
                      </pic:pic>
                    </a:graphicData>
                  </a:graphic>
                </wp:inline>
              </w:drawing>
            </w:r>
          </w:p>
        </w:tc>
        <w:tc>
          <w:tcPr>
            <w:tcW w:w="8121" w:type="dxa"/>
          </w:tcPr>
          <w:p>
            <w:pPr>
              <w:spacing w:after="0"/>
              <w:rPr>
                <w:noProof/>
              </w:rPr>
            </w:pPr>
            <w:r>
              <w:rPr>
                <w:rFonts w:ascii="Microsoft Himalaya" w:hAnsi="Microsoft Himalaya"/>
                <w:b/>
                <w:bCs/>
                <w:noProof/>
                <w:color w:val="000000"/>
              </w:rPr>
              <w:t>16.   Hälso- och sjukvård</w:t>
            </w:r>
            <w:r>
              <w:rPr>
                <w:noProof/>
              </w:rPr>
              <w:t xml:space="preserve"> </w:t>
            </w:r>
            <w:r>
              <w:rPr>
                <w:noProof/>
              </w:rPr>
              <w:br/>
            </w:r>
            <w:r>
              <w:rPr>
                <w:rFonts w:ascii="Microsoft Himalaya" w:hAnsi="Microsoft Himalaya"/>
                <w:i/>
                <w:noProof/>
                <w:color w:val="000000"/>
              </w:rPr>
              <w:t>Var och en har rätt att i rätt tid få överkomlig, förebyggande vård och medicinsk behandling av god kvalitet.</w:t>
            </w:r>
          </w:p>
        </w:tc>
      </w:tr>
      <w:tr>
        <w:tc>
          <w:tcPr>
            <w:tcW w:w="889" w:type="dxa"/>
          </w:tcPr>
          <w:p>
            <w:pPr>
              <w:jc w:val="center"/>
              <w:rPr>
                <w:noProof/>
              </w:rPr>
            </w:pPr>
            <w:r>
              <w:rPr>
                <w:noProof/>
                <w:lang w:val="en-GB" w:eastAsia="en-GB"/>
              </w:rPr>
              <w:drawing>
                <wp:inline distT="0" distB="0" distL="0" distR="0">
                  <wp:extent cx="337820" cy="303530"/>
                  <wp:effectExtent l="0" t="0" r="508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7820" cy="303530"/>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17.   Inkludering av personer med funktionsnedsättning</w:t>
            </w:r>
            <w:r>
              <w:rPr>
                <w:noProof/>
              </w:rPr>
              <w:t xml:space="preserve"> </w:t>
            </w:r>
            <w:r>
              <w:rPr>
                <w:noProof/>
              </w:rPr>
              <w:br/>
            </w:r>
            <w:r>
              <w:rPr>
                <w:rFonts w:ascii="Microsoft Himalaya" w:hAnsi="Microsoft Himalaya"/>
                <w:i/>
                <w:noProof/>
                <w:color w:val="000000"/>
              </w:rPr>
              <w:t>Personer med funktionsnedsättning har rätt till inkomststöd som säkerställer ett värdigt liv, tjänster som hjälper dem att delta på arbetsmarknaden och i samhället samt en arbetsmiljö som anpassad till deras behov.</w:t>
            </w:r>
          </w:p>
        </w:tc>
      </w:tr>
      <w:tr>
        <w:trPr>
          <w:trHeight w:val="682"/>
        </w:trPr>
        <w:tc>
          <w:tcPr>
            <w:tcW w:w="889" w:type="dxa"/>
          </w:tcPr>
          <w:p>
            <w:pPr>
              <w:jc w:val="center"/>
              <w:rPr>
                <w:noProof/>
              </w:rPr>
            </w:pPr>
            <w:r>
              <w:rPr>
                <w:rFonts w:asciiTheme="minorHAnsi" w:hAnsiTheme="minorHAnsi"/>
                <w:noProof/>
                <w:sz w:val="22"/>
                <w:szCs w:val="22"/>
                <w:lang w:val="en-GB" w:eastAsia="en-GB"/>
              </w:rPr>
              <w:drawing>
                <wp:inline distT="0" distB="0" distL="0" distR="0">
                  <wp:extent cx="326004" cy="3134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26004" cy="31346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18.   Långvarig vård och omsorg</w:t>
            </w:r>
            <w:r>
              <w:rPr>
                <w:noProof/>
              </w:rPr>
              <w:t xml:space="preserve"> </w:t>
            </w:r>
            <w:r>
              <w:rPr>
                <w:noProof/>
              </w:rPr>
              <w:br/>
            </w:r>
            <w:r>
              <w:rPr>
                <w:rFonts w:ascii="Microsoft Himalaya" w:hAnsi="Microsoft Himalaya"/>
                <w:i/>
                <w:noProof/>
                <w:color w:val="000000"/>
              </w:rPr>
              <w:t>Var och en har rätt till överkomliga tjänster av god kvalitet inom långvarig vård och omsorg, särskilt hemvård och lokalt förankrad vård.</w:t>
            </w:r>
          </w:p>
        </w:tc>
      </w:tr>
      <w:tr>
        <w:tc>
          <w:tcPr>
            <w:tcW w:w="889" w:type="dxa"/>
          </w:tcPr>
          <w:p>
            <w:pPr>
              <w:jc w:val="center"/>
              <w:rPr>
                <w:noProof/>
              </w:rPr>
            </w:pPr>
            <w:r>
              <w:rPr>
                <w:noProof/>
                <w:lang w:val="en-GB" w:eastAsia="en-GB"/>
              </w:rPr>
              <w:drawing>
                <wp:inline distT="0" distB="0" distL="0" distR="0">
                  <wp:extent cx="393065" cy="29019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3065" cy="29019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19.   Boende och stöd för hemlösa</w:t>
            </w:r>
            <w:r>
              <w:rPr>
                <w:noProof/>
              </w:rPr>
              <w:t xml:space="preserve"> </w:t>
            </w:r>
            <w:r>
              <w:rPr>
                <w:noProof/>
              </w:rPr>
              <w:br/>
            </w:r>
            <w:r>
              <w:rPr>
                <w:rFonts w:ascii="Microsoft Himalaya" w:hAnsi="Microsoft Himalaya"/>
                <w:i/>
                <w:noProof/>
                <w:color w:val="000000"/>
              </w:rPr>
              <w:t>a. Subventionerade bostäder och bostadsbidrag ska finnas för dem som behöver det.</w:t>
            </w:r>
            <w:r>
              <w:rPr>
                <w:noProof/>
              </w:rPr>
              <w:t xml:space="preserve"> </w:t>
            </w:r>
            <w:r>
              <w:rPr>
                <w:noProof/>
              </w:rPr>
              <w:br/>
            </w:r>
            <w:r>
              <w:rPr>
                <w:rFonts w:ascii="Microsoft Himalaya" w:hAnsi="Microsoft Himalaya"/>
                <w:i/>
                <w:noProof/>
                <w:color w:val="000000"/>
              </w:rPr>
              <w:t>b. Utsatta människor har rätt till lämplig hjälp och skydd mot tvångsavhysning.</w:t>
            </w:r>
            <w:r>
              <w:rPr>
                <w:noProof/>
              </w:rPr>
              <w:t xml:space="preserve"> </w:t>
            </w:r>
            <w:r>
              <w:rPr>
                <w:noProof/>
              </w:rPr>
              <w:br/>
            </w:r>
            <w:r>
              <w:rPr>
                <w:rFonts w:ascii="Microsoft Himalaya" w:hAnsi="Microsoft Himalaya"/>
                <w:i/>
                <w:noProof/>
                <w:color w:val="000000"/>
              </w:rPr>
              <w:t>c. Lämpligt boende och lämpliga tjänster ska erbjudas hemlösa för att främja social inkludering.</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297815" cy="339725"/>
                  <wp:effectExtent l="0" t="0" r="698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7815" cy="339725"/>
                          </a:xfrm>
                          <a:prstGeom prst="rect">
                            <a:avLst/>
                          </a:prstGeom>
                        </pic:spPr>
                      </pic:pic>
                    </a:graphicData>
                  </a:graphic>
                </wp:inline>
              </w:drawing>
            </w:r>
          </w:p>
        </w:tc>
        <w:tc>
          <w:tcPr>
            <w:tcW w:w="8121" w:type="dxa"/>
          </w:tcPr>
          <w:p>
            <w:pPr>
              <w:spacing w:after="0"/>
              <w:rPr>
                <w:rFonts w:ascii="Microsoft Himalaya" w:hAnsi="Microsoft Himalaya" w:cs="Microsoft Himalaya"/>
                <w:b/>
                <w:bCs/>
                <w:noProof/>
                <w:color w:val="000000"/>
              </w:rPr>
            </w:pPr>
            <w:r>
              <w:rPr>
                <w:rFonts w:ascii="Microsoft Himalaya" w:hAnsi="Microsoft Himalaya"/>
                <w:b/>
                <w:bCs/>
                <w:noProof/>
                <w:color w:val="000000"/>
              </w:rPr>
              <w:t>20.   Väsentliga tjänster</w:t>
            </w:r>
          </w:p>
          <w:p>
            <w:pPr>
              <w:spacing w:after="0"/>
              <w:rPr>
                <w:noProof/>
              </w:rPr>
            </w:pPr>
            <w:r>
              <w:rPr>
                <w:rFonts w:ascii="Microsoft Himalaya" w:hAnsi="Microsoft Himalaya"/>
                <w:i/>
                <w:noProof/>
                <w:color w:val="000000"/>
              </w:rPr>
              <w:t>Var och en har rätt till väsentliga tjänster av god kvalitet, inklusive vatten, sanitära anläggningar, energi, transporter, finansiella tjänster och digitala kommunikationer. Stöd för tillgång till sådana tjänster ska finnas för dem som behöver det.</w:t>
            </w:r>
          </w:p>
        </w:tc>
      </w:tr>
    </w:tbl>
    <w:p>
      <w:pPr>
        <w:rPr>
          <w:noProof/>
        </w:rPr>
      </w:pPr>
    </w:p>
    <w:sectPr>
      <w:headerReference w:type="even" r:id="rId36"/>
      <w:headerReference w:type="default" r:id="rId37"/>
      <w:footerReference w:type="even" r:id="rId38"/>
      <w:footerReference w:type="default" r:id="rId39"/>
      <w:headerReference w:type="first" r:id="rId40"/>
      <w:footerReference w:type="first" r:id="rId41"/>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14291561"/>
      <w:docPartObj>
        <w:docPartGallery w:val="Page Numbers (Bottom of Page)"/>
        <w:docPartUnique/>
      </w:docPartObj>
    </w:sdtPr>
    <w:sdtEndPr>
      <w:rPr>
        <w:noProof/>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3"/>
    <w:docVar w:name="LW_ANNEX_UNIQUE" w:val="0"/>
    <w:docVar w:name="LW_CORRIGENDUM" w:val="&lt;UNUSED&gt;"/>
    <w:docVar w:name="LW_COVERPAGE_EXISTS" w:val="True"/>
    <w:docVar w:name="LW_COVERPAGE_GUID" w:val="C73FCF44-C7BA-4F97-97D2-E2F4EC8CCF8C"/>
    <w:docVar w:name="LW_COVERPAGE_TYPE" w:val="1"/>
    <w:docVar w:name="LW_CROSSREFERENCE" w:val="{SWD(2021) 46 final}"/>
    <w:docVar w:name="LW_DocType" w:val="NORMAL"/>
    <w:docVar w:name="LW_EMISSION" w:val="4.3.2021"/>
    <w:docVar w:name="LW_EMISSION_ISODATE" w:val="2021-03-04"/>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lt;FMT:Bold&gt;Handlingsplan för den europeiska pelaren för sociala rättigheter&lt;/FMT&gt;"/>
    <w:docVar w:name="LW_PART_NBR" w:val="&lt;UNUSED&gt;"/>
    <w:docVar w:name="LW_PART_NBR_TOTAL" w:val="&lt;UNUSED&gt;"/>
    <w:docVar w:name="LW_REF.INST.NEW" w:val="COM"/>
    <w:docVar w:name="LW_REF.INST.NEW_ADOPTED" w:val="final"/>
    <w:docVar w:name="LW_REF.INST.NEW_TEXT" w:val="(2021)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OR_x000b_"/>
    <w:docVar w:name="LW_TYPEACTEPRINCIPAL.CP" w:val="MEDDELANDE FRÅN KOMMISSIONEN TILL EUROPAPARLAMENTET, RÅDET, EUROPEISKA EKONOMISKA OCH SOCIALA KOMMITTÉN SAMT REGIONKOMMITTÉN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jc w:val="both"/>
    </w:pPr>
    <w:rPr>
      <w:rFonts w:ascii="Times New Roman" w:eastAsia="Times New Roman" w:hAnsi="Times New Roman" w:cs="Times New Roman"/>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aliases w:val="Footnote Text Char2,Footnote Text Char1 Char"/>
    <w:basedOn w:val="DefaultParagraphFont"/>
    <w:uiPriority w:val="99"/>
    <w:semiHidden/>
    <w:rPr>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Cs w:val="20"/>
      <w:lang w:val="sv-SE"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Cs w:val="20"/>
      <w:lang w:val="sv-SE"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Cs w:val="20"/>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fr-B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Cs w:val="20"/>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fr-B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v-SE"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eastAsia="fr-BE"/>
    </w:rPr>
  </w:style>
  <w:style w:type="paragraph" w:styleId="Revision">
    <w:name w:val="Revision"/>
    <w:hidden/>
    <w:uiPriority w:val="99"/>
    <w:semiHidden/>
    <w:rPr>
      <w:rFonts w:ascii="Times New Roman" w:eastAsia="Times New Roman" w:hAnsi="Times New Roman" w:cs="Times New Roman"/>
      <w:szCs w:val="20"/>
      <w:lang w:eastAsia="fr-B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jc w:val="both"/>
    </w:pPr>
    <w:rPr>
      <w:rFonts w:ascii="Times New Roman" w:eastAsia="Times New Roman" w:hAnsi="Times New Roman" w:cs="Times New Roman"/>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aliases w:val="Footnote Text Char2,Footnote Text Char1 Char"/>
    <w:basedOn w:val="DefaultParagraphFont"/>
    <w:uiPriority w:val="99"/>
    <w:semiHidden/>
    <w:rPr>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Cs w:val="20"/>
      <w:lang w:val="sv-SE"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Cs w:val="20"/>
      <w:lang w:val="sv-SE"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Cs w:val="20"/>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fr-B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Cs w:val="20"/>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fr-B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v-SE"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eastAsia="fr-BE"/>
    </w:rPr>
  </w:style>
  <w:style w:type="paragraph" w:styleId="Revision">
    <w:name w:val="Revision"/>
    <w:hidden/>
    <w:uiPriority w:val="99"/>
    <w:semiHidden/>
    <w:rPr>
      <w:rFonts w:ascii="Times New Roman" w:eastAsia="Times New Roman" w:hAnsi="Times New Roman" w:cs="Times New Roman"/>
      <w:szCs w:val="20"/>
      <w:lang w:eastAsia="fr-B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23EB2D-72EB-46BC-BF9F-2BBB9B3A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1553</Words>
  <Characters>9944</Characters>
  <Application>Microsoft Office Word</Application>
  <DocSecurity>0</DocSecurity>
  <Lines>268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Tchorzewska</dc:creator>
  <cp:keywords/>
  <dc:description/>
  <cp:lastModifiedBy>DIGIT/C6</cp:lastModifiedBy>
  <cp:revision>13</cp:revision>
  <dcterms:created xsi:type="dcterms:W3CDTF">2021-03-02T14:48:00Z</dcterms:created>
  <dcterms:modified xsi:type="dcterms:W3CDTF">2021-03-09T16:13:00Z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7.0.1, Build 20190916</vt:lpwstr>
  </property>
</Properties>
</file>