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670B4C0-5961-4FAF-BA4A-0855E1271FA7" style="width:450.7pt;height:406.75pt">
            <v:imagedata r:id="rId8" o:title=""/>
          </v:shape>
        </w:pict>
      </w:r>
    </w:p>
    <w:bookmarkEnd w:id="0"/>
    <w:p>
      <w:pPr>
        <w:rPr>
          <w:rFonts w:eastAsiaTheme="minorHAnsi"/>
          <w:noProof/>
          <w:lang w:val="en-IE" w:eastAsia="en-US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bookmarkStart w:id="1" w:name="_GoBack"/>
      <w:bookmarkEnd w:id="1"/>
      <w:r>
        <w:rPr>
          <w:b/>
          <w:noProof/>
          <w:szCs w:val="24"/>
        </w:rPr>
        <w:lastRenderedPageBreak/>
        <w:t xml:space="preserve">PŘÍLOHA 1: </w:t>
      </w: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>KLÍČOVÁ OPATŘENÍ KOMISE</w:t>
      </w:r>
    </w:p>
    <w:p>
      <w:pPr>
        <w:spacing w:after="0"/>
        <w:jc w:val="center"/>
        <w:rPr>
          <w:rFonts w:eastAsiaTheme="minorHAnsi"/>
          <w:b/>
          <w:noProof/>
          <w:szCs w:val="24"/>
          <w:lang w:eastAsia="en-GB"/>
        </w:r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27700" cy="809180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noProof/>
        </w:rPr>
        <w:br w:type="page"/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lastRenderedPageBreak/>
        <w:t>PŘÍLOHA 2:</w:t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 xml:space="preserve">REVIDOVANÝ SROVNÁVACÍ PŘEHLED SOCIÁLNÍCH UKAZATELŮ </w:t>
      </w:r>
    </w:p>
    <w:p>
      <w:pPr>
        <w:spacing w:after="0" w:line="276" w:lineRule="auto"/>
        <w:jc w:val="center"/>
        <w:rPr>
          <w:rFonts w:eastAsiaTheme="minorHAnsi"/>
          <w:noProof/>
          <w:szCs w:val="24"/>
          <w:lang w:eastAsia="en-U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9"/>
        <w:gridCol w:w="2984"/>
        <w:gridCol w:w="5319"/>
        <w:gridCol w:w="1344"/>
      </w:tblGrid>
      <w:tr>
        <w:trPr>
          <w:trHeight w:val="503"/>
        </w:trPr>
        <w:tc>
          <w:tcPr>
            <w:tcW w:w="563" w:type="dxa"/>
          </w:tcPr>
          <w:p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after="0"/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Hlavní ukazatele</w:t>
            </w:r>
          </w:p>
        </w:tc>
        <w:tc>
          <w:tcPr>
            <w:tcW w:w="5479" w:type="dxa"/>
            <w:vAlign w:val="center"/>
          </w:tcPr>
          <w:p>
            <w:pPr>
              <w:spacing w:after="0"/>
              <w:jc w:val="center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Sekundární ukazatele</w:t>
            </w:r>
          </w:p>
        </w:tc>
        <w:tc>
          <w:tcPr>
            <w:tcW w:w="1114" w:type="dxa"/>
            <w:vAlign w:val="center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Cíl udržitelného rozvoje (SDG)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Rovné příležitosti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Účast dospělých na vzdělávání během posledních 12 měsíců**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Podíl osob předčasně odcházejících ze vzdělávání a odborné přípravy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Úroveň digitálních dovedností jednotlivců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mladých lidí (ve věku 15–29 let), kteří nejsou zaměstnaní ani se neúčastní vzdělávání nebo odborné přípravy (NEET)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Rozdíly v zaměstnanosti žen a mužů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Koeficient příjmové nerovnosti (S80/S20)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Dosažení terciárního vzdělání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Slabé výsledky ve vzdělávání (včetně digitálních dovedností**)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Účast dospělých s nízkou kvalifikací na vzdělávání**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Podíl dospělých nezaměstnaných s nedávnou zkušeností získanou během vzdělávání**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Rozdíly v oblasti slabých výsledků mezi nejnižší a nejvyšší čtvrtinou socio-ekonomického indexu (PISA)**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Rozdíly v zaměstnanosti žen a mužů na částečný úvazek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Neočištěné rozdíly v odměňování žen a mužů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Podíl 40 % nejchudšího obyvatelstva na příjmech (SDG)**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4. Kvalitní vzdělávání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5. Rovnost žen a mužů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10. Méně nerovností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lang w:val="en-IE"/>
              </w:rPr>
            </w:pPr>
          </w:p>
        </w:tc>
      </w:tr>
      <w:tr>
        <w:trPr>
          <w:cantSplit/>
          <w:trHeight w:val="1625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Spravedlivé pracovní podmínky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zaměstnanosti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Míra nezaměstnanosti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dlouhodobé nezaměstnanosti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Růst hrubého disponibilního příjmu domácností na obyvatele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Míra ekonomické aktivity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nezaměstnanosti mladých lidí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Zaměstnání podle délky současného pracovního poměru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přechodu ze smluv na dobu určitou na smlouvy na dobu neurčitou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Podíl nedobrovolných dočasných zaměstnanců**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Smrtelné pracovní úrazy na 100 000 pracovníků (SDG)**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Míra ohrožení chudobou u zaměstnaných osob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8. Důstojná práce a ekonomický růst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Sociální ochrana a začleňování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ohrožení chudobou nebo sociálním vyloučením (AROPE)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b/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ohrožení chudobou nebo vyloučením u dětí (ve věku 0–17 let)**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Vliv sociálních transferů (kromě důchodů) na snižování chudoby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Rozdíly v zaměstnanosti osob se zdravotním postižením**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Zatížení příliš vysokými náklady na bydlení**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Děti do tří let věku ve formální péči o děti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Subjektivně neuspokojená potřeba zdravotní péče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ohrožení chudobou (AROP)</w:t>
            </w:r>
            <w:r>
              <w:rPr>
                <w:noProof/>
              </w:rPr>
              <w:t xml:space="preserve">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silné materiální a sociální deprivace (SMSD)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Osoby žijící v domácnosti s velmi nízkou intenzitou práce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Závažná deprivace v oblasti bydlení (vlastník a nájemce)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Mediánový propad příjmů**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Míra příjemců dávek [podíl osob ve věku 18–59 let pobírajících sociální dávky (jiné než dávky ve stáří) na počtu obyvatel ohrožených chudobou]**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Celkové sociální výdaje podle funkce (% HDP): sociální ochrana, zdravotní péče, vzdělávání, dlouhodobá péče**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Pokrytí dávkami v nezaměstnanosti [u krátkodobě nezaměstnaných]**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Pokrytí potřeb dlouhodobé péče**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Agregovaný náhradový poměr u důchodů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Podíl populace, která si nemůže přiměřeně vytápět domácnost (SDG)**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Index digitální ekonomiky a společnosti – aspekt konektivity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Děti ve věku od tří let do věku povinné základní školní docházky ve formální péči o děti**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Přímé výdaje na zdravotní péči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Střední délka života prožitá ve zdraví ve věku 65 let: ženy a muži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 xml:space="preserve">Standardizovaná preventabilní a léčitelná úmrtnost (SDG)**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 Konec chudoby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 Zdraví a kvalitní život</w:t>
            </w:r>
          </w:p>
        </w:tc>
      </w:tr>
    </w:tbl>
    <w:p>
      <w:pPr>
        <w:spacing w:after="0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** Nový ukazatel ve srovnání se stávající verzí srovnávacího přehledu (v závorkách rámec, v němž se v současné době používá)</w:t>
      </w:r>
    </w:p>
    <w:p>
      <w:pPr>
        <w:spacing w:after="160" w:line="259" w:lineRule="auto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Pozn.: K doplnění analýzy se sociální ukazatele srovnávacího přehledu v příslušných případech rozdělí podle věkové skupiny, pohlaví, země narození a statusu zdravotního postižení.</w:t>
      </w:r>
    </w:p>
    <w:p>
      <w:pPr>
        <w:spacing w:after="0"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8121"/>
      </w:tblGrid>
      <w:tr>
        <w:trPr>
          <w:trHeight w:val="557"/>
        </w:trPr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/>
              <w:jc w:val="center"/>
              <w:rPr>
                <w:rFonts w:eastAsiaTheme="minorHAns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PŘÍLOHA 3: ZÁSADY PILÍŘE VYHLÁŠENÉ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Cs w:val="24"/>
              </w:rPr>
              <w:t>NA SUMMITU V GÖTEBORGU V ROCE 2017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1960" cy="33395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0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 xml:space="preserve">1. Všeobecné a odborné vzdělávání a celoživotní učení </w:t>
            </w:r>
          </w:p>
          <w:p>
            <w:pPr>
              <w:shd w:val="clear" w:color="auto" w:fill="FFFFFF"/>
              <w:spacing w:after="0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w:t>Každý má právo na kvalitní a inkluzivní všeobecné a odborné vzdělávání a celoživotní učení, aby si udržel a nabyl dovednosti, které mu umožní účastnit se plně na životě společnosti a úspěšně zvládat přechody na trhu práce.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98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3695" cy="29781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2. Rovnost žen a mužů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Rovnost zacházení a příležitostí pro ženy a muže musí být zajištěna a podporována ve všech oblastech, včetně účasti na trhu práce, podmínek zaměstnání a kariérního růstu.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Ženy a muži mají právo na stejnou odměnu za rovnocennou práci.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6421" cy="341906"/>
                  <wp:effectExtent l="0" t="0" r="698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1" cy="3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3. Rovné příležitosti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Bez ohledu na pohlaví, rasu nebo etnický původ, náboženské vyznání nebo přesvědčení, zdravotní postižení, věk nebo sexuální orientaci má každý právo na rovné zacházení a příležitosti, pokud jde o zaměstnání, sociální ochranu, vzdělávání a přístup ke zboží a službám dostupným veřejnosti. Musí být podporovány rovné příležitosti nedostatečně zastoupených skupin.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7121" cy="353833"/>
                  <wp:effectExtent l="0" t="0" r="3175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21" cy="3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4. Aktivní podpora zaměstnanosti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Každý má právo na včasnou a individuálně uzpůsobenou pomoc pro zlepšení vyhlídek na zaměstnání nebo na výkon samostatné výdělečné činnosti. Zahrnuto je právo na pomoc pro účely hledání pracovního místa a pro účely odborné přípravy a rekvalifikace. Každý má právo na převod nároků na sociální ochranu a odbornou přípravu v době přechodu mezi zaměstnáními.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Mladí lidé mají právo na další vzdělávání, učňovskou přípravu, stáž nebo na nabídku pracovního místa dobré kvality do čtyř měsíců od ztráty zaměstnání nebo ukončení svého vzdělávání.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Nezaměstnaní mají právo na personalizovanou, kontinuální a konzistentní pomoc. Dlouhodobě nezaměstnaní mají právo na hloubkové individuální posouzení své situace nejpozději 18 měsíců od ztráty zaměstnání.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3786" cy="322027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6" cy="32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5. Bezpečné a adaptabilní zaměstnání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Bez ohledu na typ a dobu trvání pracovního poměru mají pracovníci právo na spravedlivé a rovné zacházení, pokud jde o pracovní podmínky a přístup k sociální ochraně a odborné přípravě. Musí se podporovat přechod na formy pracovního poměru na dobu neurčitou.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V souladu s právními předpisy a kolektivními smlouvami musí být zajištěna nezbytná flexibilita pro zaměstnavatele, aby se mohli rychle přizpůsobit změnám hospodářské situace.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Musí se podporovat inovativní formy práce zajišťující kvalitní pracovní podmínky. Musí se podporovat podnikání a samostatná výdělečná činnost. Musí se usnadňovat profesní mobilita.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d. Musí se zamezit pracovním poměrům vedoucím k nejistým pracovním podmínkám, mimo jiné prostřednictvím zákazu zneužívání atypických pracovních smluv. Zkušební doba by měla mít přiměřenou délku.</w:t>
            </w:r>
          </w:p>
        </w:tc>
      </w:tr>
      <w:tr>
        <w:trPr>
          <w:trHeight w:val="1686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7185" cy="317500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6. Mzdy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Pracovníci mají právo na spravedlivou mzdu umožňující důstojnou životní úroveň.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Musí být zajištěna přiměřená minimální mzda, která uspokojí potřeby pracovníků a jejich rodin s přihlédnutím k vnitrostátním hospodářským a sociálním podmínkám, přičemž však musí být zachován přístup k zaměstnání a motivace hledat si práci. Musí být zamezeno chudobě pracujících.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Všechny mzdy musí být stanovovány transparentním a předvídatelným způsobem podle vnitrostátních zvyklostí a musí být uznávána samostatnost sociálních partnerů.</w:t>
            </w:r>
          </w:p>
        </w:tc>
      </w:tr>
      <w:tr>
        <w:trPr>
          <w:trHeight w:val="146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17443" cy="352425"/>
                  <wp:effectExtent l="0" t="0" r="190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7. Informace o pracovních podmínkách a ochrana v případě propuštění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Pracovníci mají právo být na začátku svého pracovního poměru písemně informováni o právech a povinnostech vyplývajících z pracovního poměru, včetně zkušební doby.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Před propuštěním mají pracovníci právo být informováni o jeho důvodech a musí jim být dána přiměřená výpovědní doba. Mají právo na přístup k účinnému a nestrannému řešení sporů a v případě neoprávněného propuštění mají právo na nápravu, včetně přiměřené kompenzace.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85638" cy="3131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8" cy="31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8. Sociální dialog a zapojení pracovníků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Sociální partneři musí být při tvorbě a provádění hospodářské politiky, politiky zaměstnanosti a sociální politiky konzultováni podle vnitrostátních zvyklostí. Musí být podporováni ve sjednávání a uzavírání kolektivních smluv v záležitostech, které se jich týkají, přičemž je uznávána jejich samostatnost a právo na kolektivní akce. V příslušném případě musí být smlouvy uzavřené mezi sociálními partnery prováděny na úrovni Unie a jejích členských států.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Pracovníci nebo jejich zástupci mají právo na včasné informování a projednávání v záležitostech, které se jich týkají, zejména v případě převodu, restrukturalizace a fúze podniku a hromadného propouštění.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Musí být podporováno zvýšení kapacity sociálních partnerů posilovat sociální dialog.</w:t>
            </w:r>
          </w:p>
        </w:tc>
      </w:tr>
      <w:tr>
        <w:tc>
          <w:tcPr>
            <w:tcW w:w="889" w:type="dxa"/>
          </w:tcPr>
          <w:p>
            <w:pPr>
              <w:tabs>
                <w:tab w:val="left" w:pos="425"/>
              </w:tabs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27628" cy="327246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28" cy="3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 xml:space="preserve">9.   Rovnováha mezi pracovním a soukromým životem </w:t>
            </w:r>
          </w:p>
          <w:p>
            <w:pPr>
              <w:shd w:val="clear" w:color="auto" w:fill="FFFFFF"/>
              <w:spacing w:after="0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w:t>Rodiče a osoby s pečovatelskými povinnostmi mají právo na vhodnou dovolenou, pružné pracovní podmínky a přístup k pečovatelským službám. Ženy a muži musí mít rovný přístup ke zvláštním dovoleným, aby mohli plnit své pečovatelské povinnosti, a musí být motivováni k jejich vyváženému využití.</w:t>
            </w:r>
          </w:p>
        </w:tc>
      </w:tr>
      <w:tr>
        <w:trPr>
          <w:trHeight w:val="1291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49857" cy="357719"/>
                  <wp:effectExtent l="0" t="0" r="0" b="444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5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10.   Zdravé, bezpečné a dobře uzpůsobené pracovní prostředí a ochrana údajů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Pracovníci mají právo na vysokou úroveň bezpečnosti a ochrany zdraví při práci.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Pracovníci mají právo na pracovní prostředí, které je uzpůsobené jejich profesním potřebám a které jim umožní prodloužit jejich účast na trhu práce.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Pracovníci mají právo na ochranu svých osobních údajů v kontextu zaměstnání.</w:t>
            </w:r>
          </w:p>
        </w:tc>
      </w:tr>
      <w:tr>
        <w:trPr>
          <w:trHeight w:val="97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06070" cy="298942"/>
                  <wp:effectExtent l="0" t="0" r="0" b="635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2" t="13309" r="1"/>
                          <a:stretch/>
                        </pic:blipFill>
                        <pic:spPr bwMode="auto">
                          <a:xfrm>
                            <a:off x="0" y="0"/>
                            <a:ext cx="306604" cy="29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11. Péče o děti a podpora dětí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Děti mají právo na cenově dostupné a kvalitní vzdělávání a péči v raném věku.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Děti mají právo na ochranu před chudobou. Děti ze znevýhodněných prostředí mají právo na zvláštní opatření pro zvýšení rovných příležitostí.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9857" cy="349857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4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 xml:space="preserve">12.   Sociální ochrana </w:t>
            </w:r>
          </w:p>
          <w:p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w:t>Bez ohledu na typ a dobu trvání pracovního poměru mají zaměstnanci a za srovnatelných podmínek osoby samostatně výdělečně činné právo na přiměřenou sociální ochranu.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5935" cy="357808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5" cy="3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13.   Podpora v nezaměstnanosti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Nezaměstnaní mají právo na přiměřenou aktivační podporu od veřejných služeb zaměstnanosti, aby se mohli (znovu)začlenit na trhu práce, a na přiměřenou podporu v nezaměstnanosti po přiměřenou dobu v souladu se svými příspěvky a vnitrostátními pravidly způsobilosti. Tato podpora nesmí být demotivační pro rychlý návrat do zaměstnání.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66987" cy="3260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87" cy="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14.   Minimální příjem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Každý, kdo nemá dostatečné prostředky, má právo na přiměřené dávky zaručující minimální příjem, který mu umožní důstojný život ve všech etapách života a účinný přístup k podpůrnému zboží a službám. V případě osob, které mohou pracovat, by měly být dávky zaručující minimální příjem kombinovány s pobídkami k (znovu)začlenění na trhu práce.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9410" cy="333375"/>
                  <wp:effectExtent l="0" t="0" r="254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15.   Příjem ve stáří a důchody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Pracovníci a osoby samostatně výdělečně činné v důchodu mají právo na důchod, který odpovídá jejich příspěvkům a zajišťuje přiměřený příjem. Ženy a muži musí mít rovné příležitosti nabývat důchodová práva.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Každý má ve stáří nárok na prostředky zajišťující důstojný život.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57505" cy="31051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16.   Zdravotní péče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Každý má právo na včasný přístup k cenově dostupné a kvalitní preventivní a léčebné zdravotní péči.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37820" cy="303530"/>
                  <wp:effectExtent l="0" t="0" r="508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17.   Začlenění osob se zdravotním postižením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Osoby se zdravotním postižením mají právo na podporu zaručující příjem, který jim zajistí důstojný život, na služby, které jim umožní účast na trhu práce a na životě společnosti, a na pracovní prostředí uzpůsobené jejich potřebám.</w:t>
            </w:r>
          </w:p>
        </w:tc>
      </w:tr>
      <w:tr>
        <w:trPr>
          <w:trHeight w:val="68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26004" cy="3134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4" cy="3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18.   Dlouhodobá péče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Každý má právo na cenově dostupné a kvalitní služby dlouhodobé péče, zejména služby domácí péče a komunitní péče.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3065" cy="290195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19.   Bydlení a pomoc pro osoby bez domova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a. Osobám v nouzi musí být poskytnut přístup k sociálnímu bydlení nebo k pomoci v oblasti bydlení dobré kvality.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b. Zranitelné osoby mají právo na vhodnou pomoc a ochranu před nuceným vystěhováním.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i/>
                <w:noProof/>
                <w:color w:val="000000"/>
                <w:sz w:val="18"/>
                <w:szCs w:val="18"/>
              </w:rPr>
              <w:t>c. Osobám bez domova musí být poskytnuto přiměřené přístřeší a služby, aby se podpořilo jejich sociální začlenění.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97815" cy="339725"/>
                  <wp:effectExtent l="0" t="0" r="698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20.   Přístup k základním službám</w:t>
            </w:r>
          </w:p>
          <w:p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w:t>Každý má právo na přístup ke kvalitním základním službám, včetně vody, hygienického zařízení, energií, dopravy, finančních služeb a digitálních komunikací. Osobám v nouzi musí být k dispozici pomoc pro přístup k těmto službám.</w:t>
            </w:r>
          </w:p>
        </w:tc>
      </w:tr>
    </w:tbl>
    <w:p>
      <w:pPr>
        <w:rPr>
          <w:noProof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142915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0670B4C0-5961-4FAF-BA4A-0855E1271FA7"/>
    <w:docVar w:name="LW_COVERPAGE_TYPE" w:val="1"/>
    <w:docVar w:name="LW_CROSSREFERENCE" w:val="{SWD(2021) 46 final}"/>
    <w:docVar w:name="LW_DocType" w:val="NORMAL"/>
    <w:docVar w:name="LW_EMISSION" w:val="4.3.2021"/>
    <w:docVar w:name="LW_EMISSION_ISODATE" w:val="2021-03-04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&lt;FMT:Bold&gt;Ak\u269?ní plán pro evropský pilí\u345? sociálních práv &lt;/FMT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1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Y_x000b_"/>
    <w:docVar w:name="LW_TYPEACTEPRINCIPAL.CP" w:val="SD\u282?LENÍ KOMISE EVROPSKÉMU PARLAMENTU, RAD\u282?, EVROPSKÉMU HOSPODÁ\u344?SKÉMU A SOCIÁLNÍMU VÝBORU A VÝBORU REGION\u366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cs-CZ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cs-CZ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cs-CZ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cs-CZ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B7DCB5-14E3-48B3-A65B-515FE7FE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1637</Words>
  <Characters>9712</Characters>
  <Application>Microsoft Office Word</Application>
  <DocSecurity>0</DocSecurity>
  <Lines>277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Tchorzewska</dc:creator>
  <cp:keywords/>
  <dc:description/>
  <cp:lastModifiedBy>WES PDFC Administrator</cp:lastModifiedBy>
  <cp:revision>14</cp:revision>
  <dcterms:created xsi:type="dcterms:W3CDTF">2021-03-02T14:48:00Z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