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C387187-67F0-4D2F-91A9-EF0F6BD82EA0" style="width:450.45pt;height:420.5pt">
            <v:imagedata r:id="rId8" o:title=""/>
          </v:shape>
        </w:pict>
      </w:r>
    </w:p>
    <w:bookmarkEnd w:id="0"/>
    <w:p>
      <w:pPr>
        <w:rPr>
          <w:rFonts w:eastAsiaTheme="minorHAnsi"/>
          <w:noProof/>
          <w:lang w:val="en-IE" w:eastAsia="en-US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bookmarkStart w:id="1" w:name="_GoBack"/>
      <w:bookmarkEnd w:id="1"/>
      <w:r>
        <w:rPr>
          <w:b/>
          <w:noProof/>
          <w:szCs w:val="24"/>
        </w:rPr>
        <w:lastRenderedPageBreak/>
        <w:t xml:space="preserve">ANEXO 1: </w:t>
      </w: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PRINCIPAIS AÇÕES DA COMISSÃO</w:t>
      </w:r>
    </w:p>
    <w:p>
      <w:pPr>
        <w:spacing w:after="0"/>
        <w:jc w:val="center"/>
        <w:rPr>
          <w:rFonts w:eastAsiaTheme="minorHAnsi"/>
          <w:b/>
          <w:noProof/>
          <w:szCs w:val="24"/>
        </w:rPr>
      </w:pPr>
    </w:p>
    <w:p>
      <w:pPr>
        <w:spacing w:after="0"/>
        <w:jc w:val="center"/>
        <w:rPr>
          <w:rFonts w:eastAsiaTheme="minorHAnsi"/>
          <w:b/>
          <w:noProof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629275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>ANEXO 2:</w:t>
      </w:r>
    </w:p>
    <w:p>
      <w:pPr>
        <w:spacing w:after="0" w:line="276" w:lineRule="auto"/>
        <w:jc w:val="center"/>
        <w:rPr>
          <w:rFonts w:eastAsiaTheme="minorHAnsi"/>
          <w:b/>
          <w:noProof/>
          <w:szCs w:val="24"/>
        </w:rPr>
      </w:pPr>
      <w:r>
        <w:rPr>
          <w:b/>
          <w:noProof/>
          <w:szCs w:val="24"/>
        </w:rPr>
        <w:t xml:space="preserve">O PAINEL DE INDICADORES SOCIAIS REVISTO </w:t>
      </w:r>
    </w:p>
    <w:p>
      <w:pPr>
        <w:spacing w:after="0" w:line="276" w:lineRule="auto"/>
        <w:jc w:val="center"/>
        <w:rPr>
          <w:rFonts w:eastAsiaTheme="minorHAnsi"/>
          <w:noProof/>
          <w:szCs w:val="24"/>
          <w:lang w:eastAsia="en-US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8"/>
        <w:gridCol w:w="2989"/>
        <w:gridCol w:w="5321"/>
        <w:gridCol w:w="1338"/>
      </w:tblGrid>
      <w:tr>
        <w:trPr>
          <w:trHeight w:val="503"/>
        </w:trPr>
        <w:tc>
          <w:tcPr>
            <w:tcW w:w="563" w:type="dxa"/>
          </w:tcPr>
          <w:p>
            <w:pPr>
              <w:spacing w:after="0"/>
              <w:jc w:val="left"/>
              <w:rPr>
                <w:noProof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after="0"/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Indicadores principais</w:t>
            </w:r>
          </w:p>
        </w:tc>
        <w:tc>
          <w:tcPr>
            <w:tcW w:w="5479" w:type="dxa"/>
            <w:vAlign w:val="center"/>
          </w:tcPr>
          <w:p>
            <w:pPr>
              <w:spacing w:after="0"/>
              <w:jc w:val="center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Indicadores secundários</w:t>
            </w:r>
          </w:p>
        </w:tc>
        <w:tc>
          <w:tcPr>
            <w:tcW w:w="1114" w:type="dxa"/>
            <w:vAlign w:val="center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b/>
                <w:i/>
                <w:noProof/>
                <w:sz w:val="20"/>
              </w:rPr>
              <w:t>ODS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Igualdade de oportunidades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Participação de adultos em aprendizagens nos últimos 12 meses**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Percentagem de jovens que abandonaram prematuramente o ensino e a formação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Nível de competências digitais dos indivíduos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jovens NEET (15-29 anos)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Disparidades entre homens e mulheres no emprego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Rácio dos quintis de rendimento (S80/S20)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Conclusão de estudos superiores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Insucesso escolar (incluindo em competências digitais**)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Participação de adultos pouco qualificados na aprendizagem 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Percentagem de adultos desempregados com uma experiência de aprendizagem recente**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Diferença na taxa de insucesso entre os alunos no quarto inferior e no quarto superior do índice socioeconómico (PISA) 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strike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Disparidade entre homens e mulheres no emprego a tempo parcial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Disparidade salarial entre homens e mulheres, em valores não ajustados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Proporção do rendimento dos 40% da população com os rendimentos mais baixos (ODS)**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4. Educação de qualidade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5. Igualdade entre homens e mulheres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10. Redução das desigualdades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lang w:val="en-IE"/>
              </w:rPr>
            </w:pPr>
          </w:p>
        </w:tc>
      </w:tr>
      <w:tr>
        <w:trPr>
          <w:cantSplit/>
          <w:trHeight w:val="1625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Condições de trabalho justas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emprego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Taxa de desemprego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desemprego de longa duração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Crescimento do RDBF per capita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Taxa de atividade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desemprego dos jovens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Duração do emprego atual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Taxas de transição entre emprego temporário e emprego permanente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Proporção de trabalhadores temporários involuntários**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Acidentes de trabalho mortais por 100 000 trabalhadores (ODS)**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Taxa de risco de pobreza no trabalho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8. Trabalho digno e crescimento económico</w:t>
            </w:r>
          </w:p>
        </w:tc>
      </w:tr>
      <w:tr>
        <w:trPr>
          <w:cantSplit/>
          <w:trHeight w:val="1134"/>
        </w:trPr>
        <w:tc>
          <w:tcPr>
            <w:tcW w:w="563" w:type="dxa"/>
            <w:textDirection w:val="btLr"/>
          </w:tcPr>
          <w:p>
            <w:pPr>
              <w:spacing w:after="0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Proteção e inclusão sociais</w:t>
            </w:r>
          </w:p>
        </w:tc>
        <w:tc>
          <w:tcPr>
            <w:tcW w:w="3050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risco de pobreza ou de exclusão social (AROPE)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b/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risco de pobreza ou exclusão das crianças (0-17)**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Impacto das transferências sociais (excluindo as pensões) na redução da pobreza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Disparidades entre homens e mulheres no emprego**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Sobrecarga dos custos de habitação**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Crianças com menos de 3 anos em estruturas de acolhimento formais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>Necessidades de cuidados médicos não satisfeitas, declaradas pelo próprio</w:t>
            </w:r>
          </w:p>
        </w:tc>
        <w:tc>
          <w:tcPr>
            <w:tcW w:w="5479" w:type="dxa"/>
          </w:tcPr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risco de pobreza (AROP)</w:t>
            </w:r>
            <w:r>
              <w:rPr>
                <w:noProof/>
              </w:rPr>
              <w:t xml:space="preserve"> 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privação material e social grave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Pessoas que vivem num agregado familiar com muito baixa intensidade de trabalho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Privação habitacional grave (proprietário e inquilino)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Diferencial mediano do risco de pobreza**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Taxa de beneficiários de prestações [percentagem de indivíduos no grupo etário 18-59 que recebem prestações sociais (que não associadas à velhice) na população em risco de pobreza].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Total das despesas sociais por função (% do PIB): Proteção social, cuidados de saúde, educação, cuidados de longa duração**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Cobertura das prestações de desemprego [entre os desempregados de curta duração]**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Cobertura das necessidades de cuidados de longa duração**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Rácio de substituição agregado para as pensões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Percentagem da população incapaz de manter a casa adequadamente aquecida (ODS)**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Dimensão de conectividade do Índice de Digitalidade da Economia e da Sociedade</w:t>
            </w:r>
          </w:p>
          <w:p>
            <w:pPr>
              <w:shd w:val="clear" w:color="auto" w:fill="FFFFFF" w:themeFill="background1"/>
              <w:spacing w:after="0"/>
              <w:ind w:left="142" w:hanging="141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Crianças dos 3 anos até à idade da escolaridade obrigatória em estruturas formais de acolhimento**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Despesas com cuidados de saúde não reembolsadas</w:t>
            </w:r>
          </w:p>
          <w:p>
            <w:pPr>
              <w:shd w:val="clear" w:color="auto" w:fill="FFFFFF" w:themeFill="background1"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Anos de vida saudável aos 65 anos: mulheres e homens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t xml:space="preserve">Taxa normalizada de mortalidade evitável e tratável (ODS)** </w:t>
            </w:r>
          </w:p>
        </w:tc>
        <w:tc>
          <w:tcPr>
            <w:tcW w:w="1114" w:type="dxa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1. Erradicação da pobreza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>3. Saúde de qualidade e bem-estar</w:t>
            </w:r>
          </w:p>
        </w:tc>
      </w:tr>
    </w:tbl>
    <w:p>
      <w:pPr>
        <w:spacing w:after="0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** Novo indicador em relação à atual versão do painel de indicadores (entre parênteses o quadro em que é atualmente utilizado)</w:t>
      </w:r>
    </w:p>
    <w:p>
      <w:pPr>
        <w:spacing w:after="160" w:line="259" w:lineRule="auto"/>
        <w:rPr>
          <w:rFonts w:eastAsiaTheme="minorHAnsi"/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>Nota — as desagregações dos indicadores do painel social por grupo etário, sexo, país de nascimento e estatuto de deficiência serão utilizadas para complementar a análise, se for caso disso.</w:t>
      </w:r>
    </w:p>
    <w:p>
      <w:pPr>
        <w:spacing w:after="0"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8121"/>
      </w:tblGrid>
      <w:tr>
        <w:trPr>
          <w:trHeight w:val="557"/>
        </w:trPr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/>
              <w:jc w:val="center"/>
              <w:rPr>
                <w:rFonts w:eastAsiaTheme="minorHAns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ANEXO 3: OS PRINCÍPIOS DO PILAR PROCLAMADOS NA CIMEIRA DE GOTEMBURGO DE 2017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71960" cy="33395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60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1. Educação, formação e aprendizagem ao longo da vida </w:t>
            </w:r>
          </w:p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Todas as pessoas têm direito a uma educação inclusiva e de qualidade, a formação e aprendizagem ao longo da vida, a fim de manter e adquirir competências que lhes permitam participar plenamente na sociedade e gerir com êxito as transições no mercado de trabalho.</w:t>
            </w:r>
            <w:r>
              <w:rPr>
                <w:noProof/>
              </w:rPr>
              <w:t xml:space="preserve"> </w:t>
            </w:r>
          </w:p>
        </w:tc>
      </w:tr>
      <w:tr>
        <w:trPr>
          <w:trHeight w:val="98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3695" cy="29781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2. Igualdade de género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A igualdade de tratamento e de oportunidades entre mulheres e homens deve ser assegurada e promovida em todos os domínios, nomeadamente no que diz respeito à participação no mercado de trabalho, às condições de trabalho e à progressão na carreira.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</w:t>
            </w:r>
            <w:r>
              <w:rPr>
                <w:noProof/>
              </w:rPr>
              <w:t xml:space="preserve"> </w:t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As mulheres e os homens têm direito a uma remuneração igual por um trabalho de igual valor.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6421" cy="341906"/>
                  <wp:effectExtent l="0" t="0" r="698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1" cy="3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3. Igualdade de oportunidades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Independentemente do género, raça ou origem étnica, religião ou crença, deficiência, idade ou orientação sexual, todas as pessoas têm direito à igualdade de tratamento e de oportunidades em matéria de emprego, proteção social, educação e acesso a bens e serviços disponíveis ao público. Deve ser promovida a igualdade de oportunidades dos grupos sub-representados.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7121" cy="353833"/>
                  <wp:effectExtent l="0" t="0" r="3175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21" cy="3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4. Apoio ativo ao emprego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Todas as pessoas têm o direito de beneficiar, em tempo útil, de uma assistência individualizada para melhorar as suas perspetivas de trabalho por conta de outrem ou por conta própria. Este direito inclui o de receber apoio em matéria de procura de emprego, de formação e de requalificação. Todas as pessoas têm o direito de transferir os seus direitos em matéria de proteção social e de formação durante as transições profissionais.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Os jovens têm o direito de beneficiar de formação contínua, de aprendizagem, de um estágio ou de uma oferta de emprego de qualidade nos 4 meses seguintes à perda do seu emprego ou à conclusão dos seus estudos.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As pessoas desempregadas têm o direito de beneficiar de apoios personalizados, contínuos e adequados. Os desempregados de longa duração têm o direito de beneficiar de uma avaliação individual aprofundada o mais tardar quando atingirem 18 meses de desemprego.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3786" cy="322027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6" cy="32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5. Emprego seguro e adaptável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Independentemente do tipo e da duração da relação de trabalho, os trabalhadores têm direito a um tratamento justo e equitativo em matéria de condições de trabalho, acesso à proteção social e formação. Deve ser promovida a transição para formas de emprego sujeitas a contrato sem termo.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Deve ser garantida a flexibilidade necessária para permitir que os empregadores se adaptem rapidamente às evoluções do contexto económico, em conformidade com a legislação e com os acordos coletivos.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Devem ser promovidas formas inovadoras de trabalho que garantam condições de trabalho de qualidade. O empreendedorismo e o trabalho por conta própria devem ser incentivados. A mobilidade profissional deve ser facilitada.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d. As relações de trabalho que conduzam a condições de trabalho precárias devem ser evitadas, nomeadamente através da proibição da utilização abusiva de contratos atípicos. Qualquer período experimental deve ter uma duração razoável.</w:t>
            </w:r>
          </w:p>
        </w:tc>
      </w:tr>
      <w:tr>
        <w:trPr>
          <w:trHeight w:val="1686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37185" cy="317500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6. Salários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Os trabalhadores têm direito a um salário justo que lhes garanta um nível de vida decente.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Deve ser garantido um salário mínimo adequado, de forma a permitir a satisfação das necessidades do trabalhador e da sua família, à luz das condições económicas e sociais nacionais, assegurando, ao mesmo tempo, o acesso ao emprego e incentivos à procura de trabalho. A pobreza no trabalho deve ser evitada.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Todos os salários devem ser fixados de forma transparente e previsível, em conformidade com as práticas nacionais e respeitando a autonomia dos parceiros sociais.</w:t>
            </w:r>
          </w:p>
        </w:tc>
      </w:tr>
      <w:tr>
        <w:trPr>
          <w:trHeight w:val="1468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17443" cy="352425"/>
                  <wp:effectExtent l="0" t="0" r="190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7. Informações sobre as condições de emprego e proteção em caso de despedimento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No início da relação de trabalho, os trabalhadores têm o direito de ser informados por escrito sobre os seus direitos e obrigações decorrentes da relação de trabalho, incluindo durante o período experimental.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Antes de serem despedidos, os trabalhadores têm o direito de ser informados dos fundamentos do despedimento e a que lhes seja concedido um período razoável de pré-aviso. Os trabalhadores têm direito de acesso a um sistema de resolução de litígios eficaz e imparcial e, em caso de despedimento sem justa causa, direito de recurso, acompanhado de uma compensação adequada.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85638" cy="3131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8" cy="31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8. Diálogo social e participação dos trabalhadores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Os parceiros sociais devem ser consultados sobre a conceção e a execução das políticas económicas, sociais e de emprego, em conformidade com as práticas nacionais. Devem ser incentivados a negociar e celebrar acordos coletivos em matérias que lhes digam respeito, tendo em atenção, ao mesmo tempo, a sua autonomia e o direito de ação coletiva. Se for caso disso, os acordos celebrados entre os parceiros sociais devem ser aplicados a nível da União e dos seus Estados-Membros.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Os trabalhadores ou os seus representantes têm o direito de ser informados e consultados em tempo útil sobre questões que lhes digam respeito, em especial sobre a transferência, reestruturação e fusão de empresas e sobre despedimentos coletivos.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Os apoios para reforçar a capacidade de os parceiros sociais promoverem o diálogo social devem ser incentivados.</w:t>
            </w:r>
          </w:p>
        </w:tc>
      </w:tr>
      <w:tr>
        <w:tc>
          <w:tcPr>
            <w:tcW w:w="889" w:type="dxa"/>
          </w:tcPr>
          <w:p>
            <w:pPr>
              <w:tabs>
                <w:tab w:val="left" w:pos="425"/>
              </w:tabs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27628" cy="327246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28" cy="3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9.   Equilíbrio entre a vida profissional e a vida privada </w:t>
            </w:r>
          </w:p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Os trabalhadores com filhos e familiares dependentes têm o direito de beneficiar de licenças adequadas, de regimes de trabalho flexíveis e de aceder a serviços de acolhimento. As mulheres e os homens têm igualdade de acesso a licenças especiais para cumprirem as suas responsabilidades familiares e devem ser incentivados a utilizá-las de forma equilibrada.</w:t>
            </w:r>
          </w:p>
        </w:tc>
      </w:tr>
      <w:tr>
        <w:trPr>
          <w:trHeight w:val="1291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49857" cy="357719"/>
                  <wp:effectExtent l="0" t="0" r="0" b="444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5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10.   Ambiente de trabalho são, seguro e bem adaptado e proteção dos dados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Os trabalhadores têm direito a um elevado nível de proteção da sua saúde e de segurança no trabalho.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Os trabalhadores têm direito a um ambiente de trabalho adaptado às suas necessidades profissionais e que lhes permita prolongar a sua participação no mercado de trabalho.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</w:t>
            </w:r>
            <w:r>
              <w:rPr>
                <w:noProof/>
              </w:rPr>
              <w:t xml:space="preserve"> </w:t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Os trabalhadores têm direito à proteção dos seus dados pessoais no âmbito do trabalho.</w:t>
            </w:r>
          </w:p>
        </w:tc>
      </w:tr>
      <w:tr>
        <w:trPr>
          <w:trHeight w:val="97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06070" cy="298942"/>
                  <wp:effectExtent l="0" t="0" r="0" b="635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2" t="13309" r="1"/>
                          <a:stretch/>
                        </pic:blipFill>
                        <pic:spPr bwMode="auto">
                          <a:xfrm>
                            <a:off x="0" y="0"/>
                            <a:ext cx="306604" cy="29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11. Acolhimento e apoio a crianças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As crianças têm direito a serviços de educação e de acolhimento na primeira infância a preços comportáveis e de boa qualidade.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As crianças têm direito à proteção contra a pobreza. As crianças de meios desfavorecidos têm direito a medidas específicas destinadas a promover a igualdade de oportunidades.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49857" cy="349857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57" cy="34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hd w:val="clear" w:color="auto" w:fill="FFFFFF"/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 xml:space="preserve">12.   Proteção social </w:t>
            </w:r>
          </w:p>
          <w:p>
            <w:pPr>
              <w:spacing w:after="0"/>
              <w:rPr>
                <w:noProof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Independentemente do tipo e da duração da sua relação de trabalho, os trabalhadores por conta de outrem e, em condições comparáveis, os trabalhadores por conta própria, têm direito a uma proteção social adequada.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5935" cy="357808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5" cy="3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13.   Prestações por desemprego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Os desempregados têm direito a um apoio adequado à ativação por parte dos serviços públicos de emprego para (re)integrar o mercado de trabalho, bem como a prestações por desemprego adequadas, durante um período razoável, em função das suas contribuições e das regras de elegibilidade nacionais. As referidas prestações não devem constituir um desincentivo para um rápido regresso ao trabalho.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66987" cy="3260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87" cy="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i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14.   Rendimento mínimo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Qualquer pessoa que não disponha de recursos suficientes tem direito a prestações de rendimento mínimo adequadas que lhe garantam um nível de vida digno em todas as fases da vida, bem como ao acesso eficaz a bens e serviços de apoio. Para as pessoas aptas para o trabalho, as prestações de rendimento mínimo devem ser conjugadas com incentivos para (re)integrar o mercado de trabalho.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59410" cy="333375"/>
                  <wp:effectExtent l="0" t="0" r="254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15.   Prestações e pensões de velhice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Os trabalhadores por conta de outrem e por conta própria reformados têm direito a uma pensão proporcional às suas contribuições que lhes garanta um rendimento adequado. As mulheres e os homens devem ter oportunidades iguais de adquirir direitos à pensão.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Todas as pessoas na velhice têm direito a recursos que lhes garantam uma vida digna.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57505" cy="31051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16.   Cuidados de saúde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Todas as pessoas têm direito a aceder, em tempo útil, a cuidados de saúde preventivos e curativos de qualidade e a preços comportáveis.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37820" cy="303530"/>
                  <wp:effectExtent l="0" t="0" r="508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17.   Inclusão das pessoas com deficiência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As pessoas com deficiência têm direito a um apoio ao rendimento que lhes garanta uma vida digna, a serviços que lhes permitam participar no mercado de trabalho e na sociedade e a um ambiente de trabalho adaptado às suas necessidades.</w:t>
            </w:r>
          </w:p>
        </w:tc>
      </w:tr>
      <w:tr>
        <w:trPr>
          <w:trHeight w:val="682"/>
        </w:trP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326004" cy="3134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4" cy="3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18.   Cuidados de longa duração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Todas as pessoas têm direito a serviços de cuidados de longa duração de qualidade e a preços comportáveis, em especial serviços de cuidados ao domicílio e serviços de proximidade.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93065" cy="290195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jc w:val="left"/>
              <w:rPr>
                <w:noProof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19.   Habitação e assistência para os sem-abrigo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a. Deve ser garantido às pessoas necessitadas o acesso a habitação social ou a uma ajuda à habitação de boa qualidade.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b. As pessoas vulneráveis têm direito a assistência e a proteção adequadas em caso de despejo.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Microsoft Himalaya" w:hAnsi="Microsoft Himalaya"/>
                <w:i/>
                <w:noProof/>
                <w:color w:val="000000"/>
              </w:rPr>
              <w:t>c. Devem ser disponibilizados aos sem-abrigo alojamento e serviços adequados para promover a sua inclusão social.</w:t>
            </w:r>
          </w:p>
        </w:tc>
      </w:tr>
      <w:tr>
        <w:tc>
          <w:tcPr>
            <w:tcW w:w="889" w:type="dxa"/>
          </w:tcPr>
          <w:p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97815" cy="339725"/>
                  <wp:effectExtent l="0" t="0" r="698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>
            <w:pPr>
              <w:spacing w:after="0"/>
              <w:rPr>
                <w:rFonts w:ascii="Microsoft Himalaya" w:hAnsi="Microsoft Himalaya" w:cs="Microsoft Himalaya"/>
                <w:b/>
                <w:bCs/>
                <w:noProof/>
                <w:color w:val="000000"/>
              </w:rPr>
            </w:pPr>
            <w:r>
              <w:rPr>
                <w:rFonts w:ascii="Microsoft Himalaya" w:hAnsi="Microsoft Himalaya"/>
                <w:b/>
                <w:bCs/>
                <w:noProof/>
                <w:color w:val="000000"/>
              </w:rPr>
              <w:t>20.   Acesso aos serviços essenciais</w:t>
            </w:r>
          </w:p>
          <w:p>
            <w:pPr>
              <w:spacing w:after="0"/>
              <w:rPr>
                <w:noProof/>
              </w:rPr>
            </w:pPr>
            <w:r>
              <w:rPr>
                <w:rFonts w:ascii="Microsoft Himalaya" w:hAnsi="Microsoft Himalaya"/>
                <w:i/>
                <w:noProof/>
                <w:color w:val="000000"/>
              </w:rPr>
              <w:t>Todas as pessoas têm o direito de aceder a serviços essenciais de qualidade, incluindo água, saneamento, energia, transportes, serviços financeiros e comunicações digitais. Devem ser disponibilizados às pessoas necessitadas apoios ao acesso a estes serviços.</w:t>
            </w:r>
          </w:p>
        </w:tc>
      </w:tr>
    </w:tbl>
    <w:p>
      <w:pPr>
        <w:rPr>
          <w:noProof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142915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8C387187-67F0-4D2F-91A9-EF0F6BD82EA0"/>
    <w:docVar w:name="LW_COVERPAGE_TYPE" w:val="1"/>
    <w:docVar w:name="LW_CROSSREFERENCE" w:val="{SWD(2021) 46 final}"/>
    <w:docVar w:name="LW_DocType" w:val="NORMAL"/>
    <w:docVar w:name="LW_EMISSION" w:val="4.3.2021"/>
    <w:docVar w:name="LW_EMISSION_ISODATE" w:val="2021-03-04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&lt;FMT:Bold&gt;Plano de Ação sobre o Pilar Europeu dos Direitos Sociais&lt;/FMT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1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S_x000b_"/>
    <w:docVar w:name="LW_TYPEACTEPRINCIPAL.CP" w:val="COMUNICAÇÃO DA COMISSÃO AO PARLAMENTO EUROPEU, AO CONSELHO, AO COMITÉ ECONÓMICO E SOCIAL EUROPEU E AO COMITÉ DAS REGIÕE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pt-PT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pt-PT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t-PT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/>
      <w:jc w:val="both"/>
    </w:pPr>
    <w:rPr>
      <w:rFonts w:ascii="Times New Roman" w:eastAsia="Times New Roman" w:hAnsi="Times New Roman" w:cs="Times New Roman"/>
      <w:szCs w:val="20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Footnote Text Char2,Footnote Text Char1 Char"/>
    <w:basedOn w:val="DefaultParagraphFont"/>
    <w:uiPriority w:val="99"/>
    <w:semiHidden/>
    <w:rPr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  <w:lang w:val="pt-PT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val="pt-PT" w:eastAsia="fr-B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Cs w:val="20"/>
      <w:lang w:eastAsia="fr-B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  <w:lang w:eastAsia="fr-B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Times New Roman" w:hAnsi="Times New Roman" w:cs="Times New Roman"/>
      <w:sz w:val="28"/>
      <w:szCs w:val="20"/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t-PT" w:eastAsia="fr-B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Cs w:val="20"/>
      <w:lang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F275CA-025A-429A-9343-87A9969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10920</Characters>
  <Application>Microsoft Office Word</Application>
  <DocSecurity>0</DocSecurity>
  <Lines>280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Tchorzewska</dc:creator>
  <cp:keywords/>
  <dc:description/>
  <cp:lastModifiedBy>DIGIT/C6</cp:lastModifiedBy>
  <cp:revision>8</cp:revision>
  <dcterms:created xsi:type="dcterms:W3CDTF">2021-03-09T14:14:00Z</dcterms:created>
  <dcterms:modified xsi:type="dcterms:W3CDTF">2021-03-09T16:12:00Z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