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CFED2326-4965-491D-A5DB-2EBC2C0C2126" style="width:450.75pt;height:406.5pt">
            <v:imagedata r:id="rId8" o:title=""/>
          </v:shape>
        </w:pict>
      </w:r>
    </w:p>
    <w:bookmarkEnd w:id="0"/>
    <w:p>
      <w:pPr>
        <w:rPr>
          <w:rFonts w:eastAsiaTheme="minorHAnsi"/>
          <w:noProof/>
          <w:lang w:val="en-IE" w:eastAsia="en-US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0"/>
        <w:jc w:val="center"/>
        <w:rPr>
          <w:rFonts w:eastAsiaTheme="minorHAnsi"/>
          <w:b/>
          <w:noProof/>
          <w:szCs w:val="24"/>
        </w:rPr>
      </w:pPr>
      <w:bookmarkStart w:id="1" w:name="_GoBack"/>
      <w:bookmarkEnd w:id="1"/>
      <w:r>
        <w:rPr>
          <w:b/>
          <w:noProof/>
          <w:szCs w:val="24"/>
        </w:rPr>
        <w:lastRenderedPageBreak/>
        <w:t xml:space="preserve">ALLEGATO 1: </w:t>
      </w:r>
    </w:p>
    <w:p>
      <w:pPr>
        <w:spacing w:after="0"/>
        <w:jc w:val="center"/>
        <w:rPr>
          <w:rFonts w:eastAsiaTheme="minorHAnsi"/>
          <w:b/>
          <w:noProof/>
          <w:szCs w:val="24"/>
        </w:rPr>
      </w:pPr>
      <w:r>
        <w:rPr>
          <w:b/>
          <w:noProof/>
          <w:szCs w:val="24"/>
        </w:rPr>
        <w:t>PRINCIPALI AZIONI DELLA COMMISSIONE</w:t>
      </w:r>
    </w:p>
    <w:p>
      <w:pPr>
        <w:spacing w:after="0"/>
        <w:jc w:val="center"/>
        <w:rPr>
          <w:rFonts w:eastAsiaTheme="minorHAnsi"/>
          <w:b/>
          <w:noProof/>
          <w:szCs w:val="24"/>
          <w:lang w:eastAsia="en-GB"/>
        </w:rPr>
      </w:pPr>
    </w:p>
    <w:p>
      <w:pPr>
        <w:spacing w:after="0"/>
        <w:jc w:val="center"/>
        <w:rPr>
          <w:rFonts w:eastAsiaTheme="minorHAnsi"/>
          <w:b/>
          <w:noProof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5677319" cy="812694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479" cy="813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>
      <w:pPr>
        <w:spacing w:after="0"/>
        <w:jc w:val="center"/>
        <w:rPr>
          <w:rFonts w:eastAsiaTheme="minorHAnsi"/>
          <w:b/>
          <w:noProof/>
          <w:szCs w:val="24"/>
        </w:rPr>
      </w:pPr>
      <w:r>
        <w:rPr>
          <w:noProof/>
        </w:rPr>
        <w:br w:type="page"/>
      </w:r>
    </w:p>
    <w:p>
      <w:pPr>
        <w:spacing w:after="0" w:line="276" w:lineRule="auto"/>
        <w:jc w:val="center"/>
        <w:rPr>
          <w:rFonts w:eastAsiaTheme="minorHAnsi"/>
          <w:b/>
          <w:noProof/>
          <w:szCs w:val="24"/>
        </w:rPr>
      </w:pPr>
      <w:r>
        <w:rPr>
          <w:b/>
          <w:noProof/>
          <w:szCs w:val="24"/>
        </w:rPr>
        <w:lastRenderedPageBreak/>
        <w:t>ALLEGATO 2:</w:t>
      </w:r>
    </w:p>
    <w:p>
      <w:pPr>
        <w:spacing w:after="0" w:line="276" w:lineRule="auto"/>
        <w:jc w:val="center"/>
        <w:rPr>
          <w:rFonts w:eastAsiaTheme="minorHAnsi"/>
          <w:b/>
          <w:noProof/>
          <w:szCs w:val="24"/>
        </w:rPr>
      </w:pPr>
      <w:r>
        <w:rPr>
          <w:b/>
          <w:noProof/>
          <w:szCs w:val="24"/>
        </w:rPr>
        <w:t xml:space="preserve">QUADRO DI VALUTAZIONE DELLA SITUAZIONE SOCIALE RIVEDUTO </w:t>
      </w:r>
    </w:p>
    <w:p>
      <w:pPr>
        <w:spacing w:after="0" w:line="276" w:lineRule="auto"/>
        <w:jc w:val="center"/>
        <w:rPr>
          <w:rFonts w:eastAsiaTheme="minorHAnsi"/>
          <w:noProof/>
          <w:szCs w:val="24"/>
          <w:lang w:eastAsia="en-US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57"/>
        <w:gridCol w:w="2968"/>
        <w:gridCol w:w="5265"/>
        <w:gridCol w:w="1416"/>
      </w:tblGrid>
      <w:tr>
        <w:trPr>
          <w:trHeight w:val="503"/>
        </w:trPr>
        <w:tc>
          <w:tcPr>
            <w:tcW w:w="563" w:type="dxa"/>
          </w:tcPr>
          <w:p>
            <w:pPr>
              <w:spacing w:after="0"/>
              <w:jc w:val="left"/>
              <w:rPr>
                <w:noProof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after="0"/>
              <w:jc w:val="center"/>
              <w:rPr>
                <w:b/>
                <w:i/>
                <w:noProof/>
                <w:sz w:val="20"/>
              </w:rPr>
            </w:pPr>
            <w:r>
              <w:rPr>
                <w:b/>
                <w:i/>
                <w:noProof/>
                <w:sz w:val="20"/>
              </w:rPr>
              <w:t>Indicatori principali</w:t>
            </w:r>
          </w:p>
        </w:tc>
        <w:tc>
          <w:tcPr>
            <w:tcW w:w="5479" w:type="dxa"/>
            <w:vAlign w:val="center"/>
          </w:tcPr>
          <w:p>
            <w:pPr>
              <w:spacing w:after="0"/>
              <w:jc w:val="center"/>
              <w:rPr>
                <w:noProof/>
              </w:rPr>
            </w:pPr>
            <w:r>
              <w:rPr>
                <w:b/>
                <w:i/>
                <w:noProof/>
                <w:sz w:val="20"/>
              </w:rPr>
              <w:t>Indicatori secondari</w:t>
            </w:r>
          </w:p>
        </w:tc>
        <w:tc>
          <w:tcPr>
            <w:tcW w:w="1114" w:type="dxa"/>
            <w:vAlign w:val="center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b/>
                <w:i/>
                <w:noProof/>
                <w:sz w:val="20"/>
              </w:rPr>
              <w:t>OSS</w:t>
            </w:r>
          </w:p>
        </w:tc>
      </w:tr>
      <w:tr>
        <w:trPr>
          <w:cantSplit/>
          <w:trHeight w:val="1134"/>
        </w:trPr>
        <w:tc>
          <w:tcPr>
            <w:tcW w:w="563" w:type="dxa"/>
            <w:textDirection w:val="btLr"/>
          </w:tcPr>
          <w:p>
            <w:pPr>
              <w:spacing w:after="0"/>
              <w:ind w:left="113" w:right="113"/>
              <w:jc w:val="left"/>
              <w:rPr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Pari opportunità</w:t>
            </w:r>
          </w:p>
        </w:tc>
        <w:tc>
          <w:tcPr>
            <w:tcW w:w="3050" w:type="dxa"/>
          </w:tcPr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Partecipazione degli adulti all'apprendimento negli ultimi 12 mesi**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Percentuale di abbandono precoce di istruzione e formazione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Livello individuale di competenze digitali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Percentuale di NEET tra i giovani (15-29)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strike/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Divario di genere nei livelli di occupazione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pacing w:after="0"/>
              <w:jc w:val="left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  <w:sz w:val="20"/>
              </w:rPr>
              <w:t>Rapporto tra quintili di reddito (S80/S20)</w:t>
            </w:r>
          </w:p>
        </w:tc>
        <w:tc>
          <w:tcPr>
            <w:tcW w:w="5479" w:type="dxa"/>
          </w:tcPr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Tasso di istruzione terziaria 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Scarso rendimento negli studi (anche per quanto attiene alle competenze digitali**)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Partecipazione di adulti scarsamente qualificati all'apprendimento**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Percentuale di adulti disoccupati con un'esperienza di apprendimento recente**</w:t>
            </w:r>
          </w:p>
          <w:p>
            <w:pPr>
              <w:shd w:val="clear" w:color="auto" w:fill="FFFFFF" w:themeFill="background1"/>
              <w:spacing w:after="0"/>
              <w:ind w:left="142" w:hanging="141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Divario in termini di scarso rendimento tra il quarto inferiore e il quarto superiore dell'indice socioeconomico (PISA)**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strike/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Divario di genere nel lavoro a tempo parziale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Divario retributivo di genere non corretto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Quota di reddito del 40 % della popolazione con reddito più basso (OSS)**</w:t>
            </w:r>
          </w:p>
        </w:tc>
        <w:tc>
          <w:tcPr>
            <w:tcW w:w="1114" w:type="dxa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4. Istruzione di qualità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5. Parità di genere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10. Ridurre le disuguaglianze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lang w:val="en-IE"/>
              </w:rPr>
            </w:pPr>
          </w:p>
        </w:tc>
      </w:tr>
      <w:tr>
        <w:trPr>
          <w:cantSplit/>
          <w:trHeight w:val="1625"/>
        </w:trPr>
        <w:tc>
          <w:tcPr>
            <w:tcW w:w="563" w:type="dxa"/>
            <w:textDirection w:val="btLr"/>
          </w:tcPr>
          <w:p>
            <w:pPr>
              <w:spacing w:after="0"/>
              <w:ind w:left="113" w:right="113"/>
              <w:jc w:val="left"/>
              <w:rPr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Condizioni di lavoro eque</w:t>
            </w:r>
          </w:p>
        </w:tc>
        <w:tc>
          <w:tcPr>
            <w:tcW w:w="3050" w:type="dxa"/>
          </w:tcPr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Tasso di occupazione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Tasso di disoccupazione 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Tasso di disoccupazione di lunga durata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Crescita del reddito lordo disponibile delle famiglie pro capite</w:t>
            </w:r>
          </w:p>
        </w:tc>
        <w:tc>
          <w:tcPr>
            <w:tcW w:w="5479" w:type="dxa"/>
          </w:tcPr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Tasso di attività 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Tasso di disoccupazione giovanile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Permanenza nell'attuale posto di lavoro, per durata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Tasso di transizione da contratti a tempo determinato a contratti a tempo indeterminato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Percentuale di lavoratori a tempo determinato involontari**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Infortuni mortali sul lavoro per 100 000 lavoratori (OSS)**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Tasso di rischio di povertà lavorativa </w:t>
            </w:r>
          </w:p>
        </w:tc>
        <w:tc>
          <w:tcPr>
            <w:tcW w:w="1114" w:type="dxa"/>
          </w:tcPr>
          <w:p>
            <w:pPr>
              <w:spacing w:after="0"/>
              <w:jc w:val="left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  <w:sz w:val="20"/>
              </w:rPr>
              <w:t>8. Lavoro dignitoso e crescita economica</w:t>
            </w:r>
          </w:p>
        </w:tc>
      </w:tr>
      <w:tr>
        <w:trPr>
          <w:cantSplit/>
          <w:trHeight w:val="1134"/>
        </w:trPr>
        <w:tc>
          <w:tcPr>
            <w:tcW w:w="563" w:type="dxa"/>
            <w:textDirection w:val="btLr"/>
          </w:tcPr>
          <w:p>
            <w:pPr>
              <w:spacing w:after="0"/>
              <w:ind w:left="113" w:right="113"/>
              <w:jc w:val="left"/>
              <w:rPr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Protezione sociale e inclusione</w:t>
            </w:r>
          </w:p>
        </w:tc>
        <w:tc>
          <w:tcPr>
            <w:tcW w:w="3050" w:type="dxa"/>
          </w:tcPr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Tasso di rischio di povertà o di esclusione sociale (AROPE)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b/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Tasso di rischio di povertà o di esclusione dei minori (0-17)**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Effetto dei trasferimenti sociali sulla riduzione della povertà (pensioni escluse)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Divario nei livelli di occupazione tra persone con e senza disabilità**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Onerosità eccessiva dei costi abitativi**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Bambini di età inferiore a 3 anni inseriti in strutture formali di cura dell'infanzia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pacing w:after="0"/>
              <w:jc w:val="left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  <w:sz w:val="20"/>
              </w:rPr>
              <w:t>Esigenze di cure mediche insoddisfatte dichiarate dall'interessato</w:t>
            </w:r>
          </w:p>
        </w:tc>
        <w:tc>
          <w:tcPr>
            <w:tcW w:w="5479" w:type="dxa"/>
          </w:tcPr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Tasso di rischio di povertà (AROP)</w:t>
            </w:r>
            <w:r>
              <w:rPr>
                <w:noProof/>
              </w:rPr>
              <w:t xml:space="preserve"> 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Tasso di deprivazione materiale e sociale grave (SMSD)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Persone che vivono in famiglie a intensità di lavoro molto bassa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Tasso di disagio abitativo grave (proprietario e locatario)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Divario mediano del rischio di povertà**</w:t>
            </w:r>
          </w:p>
          <w:p>
            <w:pPr>
              <w:shd w:val="clear" w:color="auto" w:fill="FFFFFF" w:themeFill="background1"/>
              <w:spacing w:after="0"/>
              <w:ind w:left="142" w:hanging="141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Tasso di percettori di prestazioni (percentuale di persone di età compresa tra i 18 e i 59 anni che percepiscono prestazioni sociali (diverse dalla pensione di vecchiaia) sulla popolazione a rischio di povertà)**</w:t>
            </w:r>
          </w:p>
          <w:p>
            <w:pPr>
              <w:shd w:val="clear" w:color="auto" w:fill="FFFFFF" w:themeFill="background1"/>
              <w:spacing w:after="0"/>
              <w:ind w:left="142" w:hanging="141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Spesa sociale totale per funzione (% del PIL): protezione sociale, assistenza sanitaria, istruzione, assistenza a lungo termine**</w:t>
            </w:r>
          </w:p>
          <w:p>
            <w:pPr>
              <w:shd w:val="clear" w:color="auto" w:fill="FFFFFF" w:themeFill="background1"/>
              <w:spacing w:after="0"/>
              <w:ind w:left="142" w:hanging="141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Copertura delle prestazioni di disoccupazione (per i disoccupati di breve periodo)**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Copertura delle esigenze di assistenza a lungo termine**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Tasso di sostituzione aggregato per le pensioni</w:t>
            </w:r>
          </w:p>
          <w:p>
            <w:pPr>
              <w:shd w:val="clear" w:color="auto" w:fill="FFFFFF" w:themeFill="background1"/>
              <w:spacing w:after="0"/>
              <w:ind w:left="142" w:hanging="141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Percentuale della popolazione che non riesce a riscaldare adeguatamente la propria abitazione (OSS)**</w:t>
            </w:r>
          </w:p>
          <w:p>
            <w:pPr>
              <w:shd w:val="clear" w:color="auto" w:fill="FFFFFF" w:themeFill="background1"/>
              <w:spacing w:after="0"/>
              <w:ind w:left="142" w:hanging="141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Dimensione "connettività" dell'indice di digitalizzazione dell'economia e della società</w:t>
            </w:r>
          </w:p>
          <w:p>
            <w:pPr>
              <w:shd w:val="clear" w:color="auto" w:fill="FFFFFF" w:themeFill="background1"/>
              <w:spacing w:after="0"/>
              <w:ind w:left="142" w:hanging="141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Bambini dai 3 anni all'età dell'obbligo scolastico primario in strutture formali di cura dell'infanzia**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Spese non rimborsate per l'assistenza sanitaria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Anni di vita in buona salute a 65 anni: donne e uomini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  <w:sz w:val="20"/>
              </w:rPr>
              <w:t xml:space="preserve">Tasso standardizzato di mortalità per cause prevenibili e trattabili (OSS)** </w:t>
            </w:r>
          </w:p>
        </w:tc>
        <w:tc>
          <w:tcPr>
            <w:tcW w:w="1114" w:type="dxa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1. Sconfiggere la povertà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3. Salute e benessere</w:t>
            </w:r>
          </w:p>
        </w:tc>
      </w:tr>
    </w:tbl>
    <w:p>
      <w:pPr>
        <w:spacing w:after="0"/>
        <w:rPr>
          <w:rFonts w:eastAsiaTheme="minorHAnsi"/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** Nuovo indicatore rispetto all'attuale versione del quadro di valutazione (tra parentesi il quadro in cui è attualmente utilizzato).</w:t>
      </w:r>
    </w:p>
    <w:p>
      <w:pPr>
        <w:spacing w:after="160" w:line="259" w:lineRule="auto"/>
        <w:rPr>
          <w:rFonts w:eastAsiaTheme="minorHAnsi"/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Nota: le disaggregazioni degli indicatori del quadro di valutazione della situazione sociale per classe di età, genere, paese di nascita e stato di disabilità saranno utilizzate a integrazione dell'analisi ove pertinente.</w:t>
      </w:r>
    </w:p>
    <w:p>
      <w:pPr>
        <w:spacing w:after="0"/>
        <w:jc w:val="left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8121"/>
      </w:tblGrid>
      <w:tr>
        <w:trPr>
          <w:trHeight w:val="557"/>
        </w:trPr>
        <w:tc>
          <w:tcPr>
            <w:tcW w:w="901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ALLEGATO 3: I PRINCIPI DEL PILASTRO PROCLAMATI</w:t>
            </w:r>
            <w:r>
              <w:rPr>
                <w:noProof/>
              </w:rPr>
              <w:br/>
            </w:r>
            <w:r>
              <w:rPr>
                <w:b/>
                <w:noProof/>
                <w:szCs w:val="24"/>
              </w:rPr>
              <w:t>AL VERTICE DI GÖTEBORG DEL 2017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71960" cy="33395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960" cy="33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hd w:val="clear" w:color="auto" w:fill="FFFFFF"/>
              <w:spacing w:after="0"/>
              <w:rPr>
                <w:rFonts w:ascii="Microsoft Himalaya" w:hAnsi="Microsoft Himalaya" w:cs="Microsoft Himalaya"/>
                <w:b/>
                <w:bCs/>
                <w:noProof/>
                <w:color w:val="000000"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 xml:space="preserve">1. Istruzione, formazione e apprendimento permanente </w:t>
            </w:r>
          </w:p>
          <w:p>
            <w:pPr>
              <w:shd w:val="clear" w:color="auto" w:fill="FFFFFF"/>
              <w:spacing w:after="0"/>
              <w:rPr>
                <w:rFonts w:ascii="Microsoft Himalaya" w:hAnsi="Microsoft Himalaya" w:cs="Microsoft Himalaya"/>
                <w:i/>
                <w:noProof/>
                <w:color w:val="000000"/>
              </w:rPr>
            </w:pPr>
            <w:r>
              <w:rPr>
                <w:rFonts w:ascii="Microsoft Himalaya" w:hAnsi="Microsoft Himalaya"/>
                <w:i/>
                <w:noProof/>
                <w:color w:val="000000"/>
              </w:rPr>
              <w:t>Ogni persona ha diritto a un'istruzione, a una formazione e a un apprendimento permanente di qualità e inclusivi, al fine di mantenere e acquisire competenze che consentono di partecipare pienamente alla società e di gestire con successo le transizioni nel mercato del lavoro.</w:t>
            </w:r>
            <w:r>
              <w:rPr>
                <w:noProof/>
              </w:rPr>
              <w:t xml:space="preserve"> </w:t>
            </w:r>
          </w:p>
        </w:tc>
      </w:tr>
      <w:tr>
        <w:trPr>
          <w:trHeight w:val="988"/>
        </w:trP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53695" cy="297815"/>
                  <wp:effectExtent l="0" t="0" r="825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29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2. Parità di genere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a. La parità di trattamento e di opportunità tra donne e uomini deve essere garantita e rafforzata in tutti i settori, anche per quanto riguarda la partecipazione al mercato del lavoro, i termini e le condizioni di lavoro e l'avanzamento di carriera.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b. Donne e uomini hanno diritto alla parità di retribuzione per lavori di pari valore.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336421" cy="341906"/>
                  <wp:effectExtent l="0" t="0" r="698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21" cy="34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rFonts w:ascii="Microsoft Himalaya" w:hAnsi="Microsoft Himalaya" w:cs="Microsoft Himalaya"/>
                <w:i/>
                <w:noProof/>
                <w:color w:val="000000"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3. Pari opportunità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A prescindere da sesso, razza o origine etnica, religione o convinzioni personali, disabilità, età o orientamento sessuale, ogni persona ha diritto alla parità di trattamento e di opportunità in materia di occupazione, protezione sociale, istruzione e accesso a beni e servizi disponibili al pubblico. Sono promosse le pari opportunità dei gruppi sottorappresentati.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97121" cy="353833"/>
                  <wp:effectExtent l="0" t="0" r="3175" b="8255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21" cy="353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4. Sostegno attivo all'occupazione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a. Ogni persona ha diritto a un'assistenza tempestiva e su misura per migliorare le prospettive di occupazione o di attività autonoma. Ciò include il diritto a ricevere un sostegno per la ricerca di un impiego, la formazione e la riqualificazione. Ogni persona ha il diritto di trasferire i diritti in materia di protezione sociale e formazione durante le transizioni professionali.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b. I giovani hanno diritto al proseguimento dell'istruzione, al tirocinio o all'apprendistato oppure a un'offerta di lavoro qualitativamente valida entro quattro mesi dalla perdita del lavoro o dall'uscita dal sistema d'istruzione.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c. I disoccupati hanno diritto a un sostegno personalizzato, continuo e coerente. I disoccupati di lungo periodo hanno diritto a una valutazione individuale approfondita entro 18 mesi dall'inizio della disoccupazione.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343786" cy="322027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786" cy="32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5. Occupazione flessibile e sicura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a. Indipendentemente dal tipo e dalla durata del rapporto di lavoro, i lavoratori hanno diritto a un trattamento equo e paritario per quanto riguarda le condizioni di lavoro e l'accesso alla protezione sociale e alla formazione. È promossa la transizione a forme di lavoro a tempo indeterminato.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b. Conformemente alle legislazioni e ai contratti collettivi, è garantita ai datori di lavoro la necessaria flessibilità per adattarsi rapidamente ai cambiamenti del contesto economico.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c. Sono promosse forme innovative di lavoro che garantiscano condizioni di lavoro di qualità. L'imprenditorialità e il lavoro autonomo sono incoraggiati. È agevolata la mobilità professionale.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d. Vanno prevenuti i rapporti di lavoro che portano a condizioni di lavoro precarie, anche vietando l'abuso dei contratti atipici. I periodi di prova sono di durata ragionevole.</w:t>
            </w:r>
          </w:p>
        </w:tc>
      </w:tr>
      <w:tr>
        <w:trPr>
          <w:trHeight w:val="1686"/>
        </w:trP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337185" cy="317500"/>
                  <wp:effectExtent l="0" t="0" r="571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rFonts w:ascii="Microsoft Himalaya" w:hAnsi="Microsoft Himalaya" w:cs="Microsoft Himalaya"/>
                <w:i/>
                <w:noProof/>
                <w:color w:val="000000"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6. Retribuzioni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a. I lavoratori hanno diritto a una retribuzione equa che offra un tenore di vita dignitoso.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b. Sono garantite retribuzioni minime adeguate, che soddisfino i bisogni del lavoratore e della sua famiglia in funzione delle condizioni economiche e sociali nazionali, salvaguardando nel contempo l'accesso al lavoro e gli incentivi alla ricerca di lavoro. La povertà lavorativa va prevenuta.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c. Le retribuzioni sono fissate in maniera trasparente e prevedibile, conformemente alle prassi nazionali e nel rispetto dell'autonomia delle parti sociali.</w:t>
            </w:r>
          </w:p>
        </w:tc>
      </w:tr>
      <w:tr>
        <w:trPr>
          <w:trHeight w:val="1468"/>
        </w:trP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17443" cy="352425"/>
                  <wp:effectExtent l="0" t="0" r="1905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443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7. Informazioni sulle condizioni di lavoro e sulla protezione in caso di licenziamento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a. I lavoratori hanno il diritto di essere informati per iscritto all'inizio del rapporto di lavoro dei diritti e degli obblighi derivanti dal rapporto di lavoro e delle condizioni del periodo di prova.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b. Prima del licenziamento, i lavoratori hanno il diritto di essere informati delle motivazioni e a ricevere un ragionevole periodo di preavviso. Essi hanno il diritto di accedere a una risoluzione delle controversie efficace e imparziale e, in caso di licenziamento ingiustificato, il diritto di ricorso, compresa una compensazione adeguata.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385638" cy="31319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38" cy="313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8. Dialogo sociale e coinvolgimento dei lavoratori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a. Le parti sociali sono consultate per l'elaborazione e l'attuazione delle politiche economiche, occupazionali e sociali nel rispetto delle prassi nazionali. Esse sono incoraggiate a negoziare e concludere accordi collettivi negli ambiti di loro interesse, nel rispetto della propria autonomia e del diritto all'azione collettiva. Ove del caso, gli accordi conclusi tra le parti sociali sono attuati a livello dell'Unione e dei suoi Stati membri.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b. I lavoratori o i loro rappresentanti hanno il diritto di essere informati e consultati in tempo utile su questioni di loro interesse, in particolare in merito al trasferimento, alla ristrutturazione e alla fusione di imprese e ai licenziamenti collettivi.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c. È incoraggiato il sostegno per potenziare la capacità delle parti sociali di promuovere il dialogo sociale.</w:t>
            </w:r>
          </w:p>
        </w:tc>
      </w:tr>
      <w:tr>
        <w:tc>
          <w:tcPr>
            <w:tcW w:w="889" w:type="dxa"/>
          </w:tcPr>
          <w:p>
            <w:pPr>
              <w:tabs>
                <w:tab w:val="left" w:pos="425"/>
              </w:tabs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27628" cy="327246"/>
                  <wp:effectExtent l="0" t="0" r="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28" cy="327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hd w:val="clear" w:color="auto" w:fill="FFFFFF"/>
              <w:spacing w:after="0"/>
              <w:rPr>
                <w:rFonts w:ascii="Microsoft Himalaya" w:hAnsi="Microsoft Himalaya" w:cs="Microsoft Himalaya"/>
                <w:b/>
                <w:bCs/>
                <w:noProof/>
                <w:color w:val="000000"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 xml:space="preserve">9.   Equilibrio tra attività professionale e vita familiare </w:t>
            </w:r>
          </w:p>
          <w:p>
            <w:pPr>
              <w:shd w:val="clear" w:color="auto" w:fill="FFFFFF"/>
              <w:spacing w:after="0"/>
              <w:rPr>
                <w:rFonts w:ascii="Microsoft Himalaya" w:hAnsi="Microsoft Himalaya" w:cs="Microsoft Himalaya"/>
                <w:i/>
                <w:noProof/>
                <w:color w:val="000000"/>
              </w:rPr>
            </w:pPr>
            <w:r>
              <w:rPr>
                <w:rFonts w:ascii="Microsoft Himalaya" w:hAnsi="Microsoft Himalaya"/>
                <w:i/>
                <w:noProof/>
                <w:color w:val="000000"/>
              </w:rPr>
              <w:t>I genitori e le persone con responsabilità di assistenza hanno diritto a un congedo appropriato, modalità di lavoro flessibili e accesso a servizi di assistenza. Gli uomini e le donne hanno pari accesso ai congedi speciali al fine di adempiere le loro responsabilità di assistenza e sono incoraggiati a usufruirne in modo equilibrato.</w:t>
            </w:r>
          </w:p>
        </w:tc>
      </w:tr>
      <w:tr>
        <w:trPr>
          <w:trHeight w:val="1291"/>
        </w:trP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49857" cy="357719"/>
                  <wp:effectExtent l="0" t="0" r="0" b="4445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57" cy="357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10.   Ambiente di lavoro sano, sicuro e adeguato e protezione dei dati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a. I lavoratori hanno diritto a un elevato livello di tutela della salute e della sicurezza sul luogo di lavoro.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b. I lavoratori hanno diritto a un ambiente di lavoro adeguato alle loro esigenze professionali e che consenta loro di prolungare la partecipazione al mercato del lavoro.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c.</w:t>
            </w:r>
            <w:r>
              <w:rPr>
                <w:noProof/>
              </w:rPr>
              <w:t xml:space="preserve"> </w:t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I lavoratori hanno diritto alla protezione dei propri dati personali nell'ambito del rapporto di lavoro.</w:t>
            </w:r>
          </w:p>
        </w:tc>
      </w:tr>
      <w:tr>
        <w:trPr>
          <w:trHeight w:val="972"/>
        </w:trP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306070" cy="298942"/>
                  <wp:effectExtent l="0" t="0" r="0" b="635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2" t="13309" r="1"/>
                          <a:stretch/>
                        </pic:blipFill>
                        <pic:spPr bwMode="auto">
                          <a:xfrm>
                            <a:off x="0" y="0"/>
                            <a:ext cx="306604" cy="299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11. Assistenza all'infanzia e sostegno ai minori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 xml:space="preserve"> a. I bambini hanno diritto all'educazione e cura della prima infanzia a costi sostenibili e di buona qualità.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b. I minori hanno il diritto di essere protetti dalla povertà. I bambini provenienti da contesti svantaggiati hanno diritto a misure specifiche tese a promuovere le pari opportunità.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349857" cy="349857"/>
                  <wp:effectExtent l="0" t="0" r="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57" cy="349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hd w:val="clear" w:color="auto" w:fill="FFFFFF"/>
              <w:spacing w:after="0"/>
              <w:rPr>
                <w:rFonts w:ascii="Microsoft Himalaya" w:hAnsi="Microsoft Himalaya" w:cs="Microsoft Himalaya"/>
                <w:b/>
                <w:bCs/>
                <w:noProof/>
                <w:color w:val="000000"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 xml:space="preserve">12.   Protezione sociale </w:t>
            </w:r>
          </w:p>
          <w:p>
            <w:pPr>
              <w:spacing w:after="0"/>
              <w:rPr>
                <w:noProof/>
              </w:rPr>
            </w:pPr>
            <w:r>
              <w:rPr>
                <w:rFonts w:ascii="Microsoft Himalaya" w:hAnsi="Microsoft Himalaya"/>
                <w:i/>
                <w:noProof/>
                <w:color w:val="000000"/>
              </w:rPr>
              <w:t>Indipendentemente dal tipo e dalla durata del rapporto di lavoro, i lavoratori e, a condizioni comparabili, i lavoratori autonomi hanno diritto a un'adeguata protezione sociale.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55935" cy="357808"/>
                  <wp:effectExtent l="0" t="0" r="635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35" cy="35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rFonts w:ascii="Microsoft Himalaya" w:hAnsi="Microsoft Himalaya" w:cs="Microsoft Himalaya"/>
                <w:i/>
                <w:noProof/>
                <w:color w:val="000000"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13.   Prestazioni di disoccupazione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I disoccupati hanno diritto a un adeguato sostegno all'attivazione da parte dei servizi pubblici per l'impiego per (ri)entrare nel mercato del lavoro e ad adeguate prestazioni di disoccupazione di durata ragionevole, in linea con i loro contributi e le norme nazionali in materia di ammissibilità. Tali prestazioni non costituiscono un disincentivo a un rapido ritorno all'occupazione.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66987" cy="32600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987" cy="32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rFonts w:ascii="Microsoft Himalaya" w:hAnsi="Microsoft Himalaya" w:cs="Microsoft Himalaya"/>
                <w:i/>
                <w:noProof/>
                <w:color w:val="000000"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14.   Reddito minimo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Chiunque non disponga di risorse sufficienti ha diritto a un adeguato reddito minimo che garantisca una vita dignitosa in tutte le fasi della vita e l'accesso a beni e servizi. Per chi può lavorare, il reddito minimo dovrebbe essere combinato con incentivi alla (re)integrazione nel mercato del lavoro.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59410" cy="333375"/>
                  <wp:effectExtent l="0" t="0" r="254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rFonts w:ascii="Microsoft Himalaya" w:hAnsi="Microsoft Himalaya" w:cs="Microsoft Himalaya"/>
                <w:b/>
                <w:bCs/>
                <w:noProof/>
                <w:color w:val="000000"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15.   Reddito e pensioni di vecchiaia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a. I lavoratori dipendenti e i lavoratori autonomi in pensione hanno diritto a una pensione commisurata ai loro contributi e che garantisca un reddito adeguato. Donne e uomini hanno pari opportunità di maturare diritti a pensione.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b. Ogni persona in età avanzata ha diritto a risorse che garantiscano una vita dignitosa.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357505" cy="310515"/>
                  <wp:effectExtent l="0" t="0" r="444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16.   Assistenza sanitaria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Ogni persona ha il diritto di accedere tempestivamente a un'assistenza sanitaria preventiva e terapeutica di buona qualità e a costi accessibili.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37820" cy="303530"/>
                  <wp:effectExtent l="0" t="0" r="508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17.   Inclusione delle persone con disabilità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Le persone con disabilità hanno diritto a un sostegno al reddito che garantisca una vita dignitosa, a servizi che consentano loro di partecipare al mercato del lavoro e alla società e a un ambiente di lavoro adeguato alle loro esigenze.</w:t>
            </w:r>
          </w:p>
        </w:tc>
      </w:tr>
      <w:tr>
        <w:trPr>
          <w:trHeight w:val="682"/>
        </w:trP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326004" cy="31346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04" cy="31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18.   Assistenza a lungo termine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Ogni persona ha diritto a servizi di assistenza a lungo termine di qualità e a prezzi accessibili, in particolare ai servizi di assistenza a domicilio e ai servizi locali.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93065" cy="290195"/>
                  <wp:effectExtent l="0" t="0" r="698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19.   Alloggi e assistenza per i senzatetto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a. Le persone in stato di bisogno hanno accesso ad alloggi sociali o all'assistenza abitativa di qualità.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b. Le persone vulnerabili hanno diritto a un'assistenza e a una protezione adeguate contro lo sgombero forzato.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c. Ai senzatetto sono forniti alloggi e servizi adeguati al fine di promuoverne l'inclusione sociale.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297815" cy="339725"/>
                  <wp:effectExtent l="0" t="0" r="6985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15" cy="33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rPr>
                <w:rFonts w:ascii="Microsoft Himalaya" w:hAnsi="Microsoft Himalaya" w:cs="Microsoft Himalaya"/>
                <w:b/>
                <w:bCs/>
                <w:noProof/>
                <w:color w:val="000000"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20.   Accesso ai servizi essenziali</w:t>
            </w:r>
          </w:p>
          <w:p>
            <w:pPr>
              <w:spacing w:after="0"/>
              <w:rPr>
                <w:noProof/>
              </w:rPr>
            </w:pPr>
            <w:r>
              <w:rPr>
                <w:rFonts w:ascii="Microsoft Himalaya" w:hAnsi="Microsoft Himalaya"/>
                <w:i/>
                <w:noProof/>
                <w:color w:val="000000"/>
              </w:rPr>
              <w:t>Ogni persona ha il diritto di accedere a servizi essenziali di qualità, compresi l'acqua, i servizi igienico-sanitari, l'energia, i trasporti, i servizi finanziari e le comunicazioni digitali. Per le persone in stato di bisogno è disponibile un sostegno per l'accesso a tali servizi.</w:t>
            </w:r>
          </w:p>
        </w:tc>
      </w:tr>
    </w:tbl>
    <w:p>
      <w:pPr>
        <w:rPr>
          <w:noProof/>
        </w:rPr>
      </w:pPr>
    </w:p>
    <w:sectPr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1429156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 xml:space="preserve"> PAGE   \* MERGEFORMAT </w:instrText>
        </w:r>
        <w:r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>
          <w:rPr>
            <w:sz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ella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CFED2326-4965-491D-A5DB-2EBC2C0C2126"/>
    <w:docVar w:name="LW_COVERPAGE_TYPE" w:val="1"/>
    <w:docVar w:name="LW_CROSSREFERENCE" w:val="{SWD(2021) 46 final}"/>
    <w:docVar w:name="LW_DocType" w:val="NORMAL"/>
    <w:docVar w:name="LW_EMISSION" w:val="4.3.2021"/>
    <w:docVar w:name="LW_EMISSION_ISODATE" w:val="2021-03-04"/>
    <w:docVar w:name="LW_EMISSION_LOCATION" w:val="BRX"/>
    <w:docVar w:name="LW_EMISSION_PREFIX" w:val="Bruxelles, "/>
    <w:docVar w:name="LW_EMISSION_SUFFIX" w:val=" "/>
    <w:docVar w:name="LW_ID_DOCTYPE_NONLW" w:val="CP-039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.CP" w:val="&lt;FMT:Bold&gt;Piano d'azione sul pilastro europeo dei diritti sociali&lt;/FMT&gt;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1) 10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LLEGATI_x000b_"/>
    <w:docVar w:name="LW_TYPEACTEPRINCIPAL.CP" w:val="COMUNICAZIONE DELLA COMMISSIONE AL PARLAMENTO EUROPEO, AL CONSIGLIO, AL COMITATO ECONOMICO E SOCIALE EUROPEO E AL COMITATO DELLE REGION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0"/>
    <w:qFormat/>
    <w:pPr>
      <w:spacing w:after="240"/>
      <w:jc w:val="both"/>
    </w:pPr>
    <w:rPr>
      <w:rFonts w:ascii="Times New Roman" w:eastAsia="Times New Roman" w:hAnsi="Times New Roman" w:cs="Times New Roman"/>
      <w:szCs w:val="20"/>
      <w:lang w:eastAsia="fr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aliases w:val="Footnote Text Char2,Footnote Text Char1 Char"/>
    <w:basedOn w:val="DefaultParagraphFont"/>
    <w:uiPriority w:val="99"/>
    <w:semiHidden/>
    <w:rPr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0"/>
      <w:lang w:val="it-IT" w:eastAsia="fr-B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0"/>
      <w:lang w:val="it-IT" w:eastAsia="fr-BE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Cs w:val="20"/>
      <w:lang w:eastAsia="fr-BE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="Times New Roman" w:hAnsi="Times New Roman" w:cs="Times New Roman"/>
      <w:b/>
      <w:sz w:val="32"/>
      <w:szCs w:val="20"/>
      <w:lang w:eastAsia="fr-B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Cs w:val="20"/>
      <w:lang w:eastAsia="fr-BE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="Times New Roman" w:hAnsi="Times New Roman" w:cs="Times New Roman"/>
      <w:b/>
      <w:sz w:val="32"/>
      <w:szCs w:val="20"/>
      <w:lang w:eastAsia="fr-BE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eastAsia="Times New Roman" w:hAnsi="Times New Roman" w:cs="Times New Roman"/>
      <w:sz w:val="28"/>
      <w:szCs w:val="20"/>
      <w:lang w:eastAsia="fr-B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it-IT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it-IT" w:eastAsia="fr-BE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 w:cs="Times New Roman"/>
      <w:szCs w:val="20"/>
      <w:lang w:eastAsia="fr-B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0"/>
    <w:qFormat/>
    <w:pPr>
      <w:spacing w:after="240"/>
      <w:jc w:val="both"/>
    </w:pPr>
    <w:rPr>
      <w:rFonts w:ascii="Times New Roman" w:eastAsia="Times New Roman" w:hAnsi="Times New Roman" w:cs="Times New Roman"/>
      <w:szCs w:val="20"/>
      <w:lang w:eastAsia="fr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aliases w:val="Footnote Text Char2,Footnote Text Char1 Char"/>
    <w:basedOn w:val="DefaultParagraphFont"/>
    <w:uiPriority w:val="99"/>
    <w:semiHidden/>
    <w:rPr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0"/>
      <w:lang w:val="it-IT" w:eastAsia="fr-B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0"/>
      <w:lang w:val="it-IT" w:eastAsia="fr-BE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Cs w:val="20"/>
      <w:lang w:eastAsia="fr-BE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="Times New Roman" w:hAnsi="Times New Roman" w:cs="Times New Roman"/>
      <w:b/>
      <w:sz w:val="32"/>
      <w:szCs w:val="20"/>
      <w:lang w:eastAsia="fr-B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Cs w:val="20"/>
      <w:lang w:eastAsia="fr-BE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="Times New Roman" w:hAnsi="Times New Roman" w:cs="Times New Roman"/>
      <w:b/>
      <w:sz w:val="32"/>
      <w:szCs w:val="20"/>
      <w:lang w:eastAsia="fr-BE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eastAsia="Times New Roman" w:hAnsi="Times New Roman" w:cs="Times New Roman"/>
      <w:sz w:val="28"/>
      <w:szCs w:val="20"/>
      <w:lang w:eastAsia="fr-B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it-IT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it-IT" w:eastAsia="fr-BE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 w:cs="Times New Roman"/>
      <w:szCs w:val="20"/>
      <w:lang w:eastAsia="fr-B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header" Target="header5.xml"/><Relationship Id="rId40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91C2F56-AB71-41EC-BD61-59DC8437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1895</Words>
  <Characters>10920</Characters>
  <Application>Microsoft Office Word</Application>
  <DocSecurity>0</DocSecurity>
  <Lines>273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Tchorzewska</dc:creator>
  <cp:keywords/>
  <dc:description/>
  <cp:lastModifiedBy>WES PDFC Administrator</cp:lastModifiedBy>
  <cp:revision>17</cp:revision>
  <dcterms:created xsi:type="dcterms:W3CDTF">2021-03-02T14:48:00Z</dcterms:created>
  <dcterms:modified xsi:type="dcterms:W3CDTF">2021-03-09T16:13:00Z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3</vt:lpwstr>
  </property>
  <property fmtid="{D5CDD505-2E9C-101B-9397-08002B2CF9AE}" pid="5" name="Unique annex">
    <vt:lpwstr>0</vt:lpwstr>
  </property>
  <property fmtid="{D5CDD505-2E9C-101B-9397-08002B2CF9AE}" pid="6" name="Part">
    <vt:lpwstr>&lt;UNUSED&gt;</vt:lpwstr>
  </property>
  <property fmtid="{D5CDD505-2E9C-101B-9397-08002B2CF9AE}" pid="7" name="Total parts">
    <vt:lpwstr>&lt;UNUSED&gt;</vt:lpwstr>
  </property>
  <property fmtid="{D5CDD505-2E9C-101B-9397-08002B2CF9AE}" pid="8" name="DocStatus">
    <vt:lpwstr>Green</vt:lpwstr>
  </property>
  <property fmtid="{D5CDD505-2E9C-101B-9397-08002B2CF9AE}" pid="9" name="CPTemplateID">
    <vt:lpwstr>CP-039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</Properties>
</file>