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AF1305B-E11F-44D0-915B-F8ADC24ED7CD" style="width:450.35pt;height:352.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 xml:space="preserve">Ved Rådets forordning (EU) 2021/92 fastsættes der fiskerimuligheder for 2021 for visse fiskebestande og grupper af fiskebestande gældende i EU-farvande og for EU-fiskerfartøjer i visse andre farvande. Fiskerimulighederne ændres som regel adskillige gange i løbet af den periode, de er fastsat for. </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rPr>
          <w:noProof/>
        </w:rPr>
      </w:pPr>
      <w:r>
        <w:rPr>
          <w:noProof/>
        </w:rPr>
        <w:t>De foreslåede foranstaltninger er udarbejdet i overensstemmelse med den fælles fiskeripolitiks mål og regler og er i overensstemmelse med EU's politik for bæredygtig udvikling.</w:t>
      </w:r>
    </w:p>
    <w:p>
      <w:pPr>
        <w:pStyle w:val="ManualHeading2"/>
        <w:rPr>
          <w:rFonts w:eastAsia="Arial Unicode MS"/>
          <w:noProof/>
        </w:rPr>
      </w:pPr>
      <w:r>
        <w:rPr>
          <w:noProof/>
          <w:color w:val="000000"/>
          <w:u w:color="000000"/>
          <w:bdr w:val="nil"/>
        </w:rPr>
        <w:t>•</w:t>
      </w:r>
      <w:r>
        <w:rPr>
          <w:noProof/>
        </w:rPr>
        <w:tab/>
        <w:t>Sammenhæng med Unionens politik på andre områder</w:t>
      </w:r>
    </w:p>
    <w:p>
      <w:pPr>
        <w:rPr>
          <w:noProof/>
        </w:rPr>
      </w:pPr>
      <w:r>
        <w:rPr>
          <w:noProof/>
        </w:rPr>
        <w:t>De foreslåede foranstaltninger er i overensstemmelse med andre EU-politikker, navnlig politikkerne på miljøområdet.</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rPr>
          <w:noProof/>
        </w:rPr>
      </w:pPr>
      <w:r>
        <w:rPr>
          <w:noProof/>
        </w:rPr>
        <w:t xml:space="preserve">Dette forslags retsgrundlag er artikel 43, stk. 3, i traktaten om Den Europæiske Unions funktionsmåde. </w:t>
      </w:r>
    </w:p>
    <w:p>
      <w:pPr>
        <w:rPr>
          <w:noProof/>
        </w:rPr>
      </w:pPr>
      <w:r>
        <w:rPr>
          <w:noProof/>
        </w:rPr>
        <w:t>Unionens forpligtelser, når det gælder bæredygtig udnyttelse af de levende akvatiske ressourcer, følger af forpligtelserne i henhold til artikel 2 i den fælles fiskeripolitiks nye grundforordning.</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(for områder, der ikke er omfattet af enekompetence) </w:t>
      </w:r>
    </w:p>
    <w:p>
      <w:pPr>
        <w:spacing w:after="0"/>
        <w:rPr>
          <w:noProof/>
        </w:rPr>
      </w:pPr>
      <w:r>
        <w:rPr>
          <w:noProof/>
        </w:rPr>
        <w:t>Unionen har enekompetence på det område, som forslaget vedrører, jf. traktatens artikel 3, stk. 1, litra d). Nærhedsprincippet finder derfor ikke anvendelse.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pPr>
        <w:pBdr>
          <w:top w:val="nil"/>
          <w:left w:val="nil"/>
          <w:bottom w:val="nil"/>
          <w:right w:val="nil"/>
          <w:between w:val="nil"/>
          <w:bar w:val="nil"/>
        </w:pBdr>
        <w:spacing w:before="0" w:after="240"/>
        <w:rPr>
          <w:rFonts w:eastAsia="Arial Unicode MS"/>
          <w:noProof/>
        </w:rPr>
      </w:pPr>
      <w:r>
        <w:rPr>
          <w:noProof/>
        </w:rPr>
        <w:t>Forslaget er i overensstemmelse med proportionalitetsprincippet af følgende årsag: Den fælles fiskeripolitik er en fælles politik. I henhold til traktatens artikel 43, stk. 3, skal Rådet vedtage de foranstaltninger, der tager sigte på at fastsætte og fordele fiskerimulighederne.</w:t>
      </w:r>
    </w:p>
    <w:p>
      <w:pPr>
        <w:pStyle w:val="ManualHeading2"/>
        <w:rPr>
          <w:rFonts w:eastAsia="Arial Unicode MS"/>
          <w:noProof/>
          <w:u w:color="000000"/>
          <w:bdr w:val="nil"/>
        </w:rPr>
      </w:pPr>
      <w:r>
        <w:rPr>
          <w:noProof/>
          <w:u w:color="000000"/>
          <w:bdr w:val="nil"/>
        </w:rPr>
        <w:t>•</w:t>
      </w:r>
      <w:r>
        <w:rPr>
          <w:noProof/>
        </w:rPr>
        <w:tab/>
      </w:r>
      <w:r>
        <w:rPr>
          <w:noProof/>
          <w:u w:color="000000"/>
          <w:bdr w:val="nil"/>
        </w:rPr>
        <w:t>Valg af retsakt</w:t>
      </w:r>
    </w:p>
    <w:p>
      <w:pPr>
        <w:spacing w:after="0"/>
        <w:rPr>
          <w:noProof/>
        </w:rPr>
      </w:pPr>
      <w:r>
        <w:rPr>
          <w:noProof/>
        </w:rPr>
        <w:t xml:space="preserve">Foreslået retsakt: forordning.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Efterfølgende evalueringer/kvalitetskontrol af gældende lovgivning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Høringer af interesserede parter</w:t>
      </w:r>
    </w:p>
    <w:p>
      <w:pPr>
        <w:pBdr>
          <w:top w:val="nil"/>
          <w:left w:val="nil"/>
          <w:bottom w:val="nil"/>
          <w:right w:val="nil"/>
          <w:between w:val="nil"/>
          <w:bar w:val="nil"/>
        </w:pBdr>
        <w:spacing w:before="0" w:after="240"/>
        <w:rPr>
          <w:noProof/>
        </w:rPr>
      </w:pPr>
      <w:r>
        <w:rPr>
          <w:noProof/>
        </w:rPr>
        <w:t>Der tages i forslaget hensyn til feedback fra de interesserede parter, de rådgivende råd, de nationale forvaltninger, brancheorganisationerne og NGO'erne.</w:t>
      </w:r>
    </w:p>
    <w:p>
      <w:pPr>
        <w:pStyle w:val="ManualHeading2"/>
        <w:rPr>
          <w:rFonts w:eastAsia="Arial Unicode MS"/>
          <w:noProof/>
          <w:u w:color="000000"/>
          <w:bdr w:val="nil"/>
        </w:rPr>
      </w:pPr>
      <w:r>
        <w:rPr>
          <w:noProof/>
          <w:u w:color="000000"/>
          <w:bdr w:val="nil"/>
        </w:rPr>
        <w:t>•</w:t>
      </w:r>
      <w:r>
        <w:rPr>
          <w:noProof/>
        </w:rPr>
        <w:tab/>
      </w:r>
      <w:r>
        <w:rPr>
          <w:noProof/>
          <w:u w:color="000000"/>
          <w:bdr w:val="nil"/>
        </w:rPr>
        <w:t>Indhentning og brug af ekspertbistand</w:t>
      </w:r>
    </w:p>
    <w:p>
      <w:pPr>
        <w:pBdr>
          <w:top w:val="nil"/>
          <w:left w:val="nil"/>
          <w:bottom w:val="nil"/>
          <w:right w:val="nil"/>
          <w:between w:val="nil"/>
          <w:bar w:val="nil"/>
        </w:pBdr>
        <w:spacing w:before="0" w:after="240"/>
        <w:rPr>
          <w:rFonts w:eastAsia="Arial Unicode MS"/>
          <w:noProof/>
        </w:rPr>
      </w:pPr>
      <w:r>
        <w:rPr>
          <w:noProof/>
        </w:rPr>
        <w:t>Forslaget er baseret på videnskabelig rådgivning fra Det Internationale Havundersøgelsesråd (ICES).</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Konsekvensanalyse</w:t>
      </w:r>
    </w:p>
    <w:p>
      <w:pPr>
        <w:rPr>
          <w:noProof/>
        </w:rPr>
      </w:pPr>
      <w:r>
        <w:rPr>
          <w:noProof/>
        </w:rPr>
        <w:t>Anvendelsesområdet for forordningen om fiskerimuligheder er nøje afgrænset i traktatens artikel 43, stk. 3.</w:t>
      </w:r>
    </w:p>
    <w:p>
      <w:pPr>
        <w:pStyle w:val="ManualHeading2"/>
        <w:rPr>
          <w:rFonts w:eastAsia="Arial Unicode MS"/>
          <w:noProof/>
          <w:u w:color="000000"/>
          <w:bdr w:val="nil"/>
        </w:rPr>
      </w:pPr>
      <w:r>
        <w:rPr>
          <w:noProof/>
          <w:u w:color="000000"/>
          <w:bdr w:val="nil"/>
        </w:rPr>
        <w:t>•</w:t>
      </w:r>
      <w:r>
        <w:rPr>
          <w:noProof/>
        </w:rPr>
        <w:tab/>
      </w:r>
      <w:r>
        <w:rPr>
          <w:noProof/>
          <w:u w:color="000000"/>
          <w:bdr w:val="nil"/>
        </w:rPr>
        <w:t>Målrettet regulering og forenkling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Grundlæggende rettigheder</w:t>
      </w:r>
    </w:p>
    <w:p>
      <w:pPr>
        <w:pBdr>
          <w:top w:val="nil"/>
          <w:left w:val="nil"/>
          <w:bottom w:val="nil"/>
          <w:right w:val="nil"/>
          <w:between w:val="nil"/>
          <w:bar w:val="nil"/>
        </w:pBdr>
        <w:spacing w:before="0" w:after="240"/>
        <w:rPr>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De foreslåede foranstaltninger har ingen budgetmæssige konsekvenser.</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Nærmere redegørelse for de enkelte bestemmelser i forslaget</w:t>
      </w:r>
    </w:p>
    <w:p>
      <w:pPr>
        <w:rPr>
          <w:noProof/>
        </w:rPr>
      </w:pPr>
      <w:r>
        <w:rPr>
          <w:noProof/>
        </w:rPr>
        <w:t>De foreslåede ændringer tager sigte på at ændre Rådets forordning (EU) 2021/92 som beskrevet nedenfor.</w:t>
      </w:r>
    </w:p>
    <w:p>
      <w:pPr>
        <w:rPr>
          <w:noProof/>
        </w:rPr>
      </w:pPr>
      <w:r>
        <w:rPr>
          <w:noProof/>
        </w:rPr>
        <w:t>Tobis er en art med kort livscyklus, og den videnskabelige rådgivning forelægges i anden halvdel af februar, mens fiskeriet allerede påbegyndes i april. I Rådets forordning (EU) 2021/92 er de samlede tilladte fangstmængder (TAC'er) for denne art fastsat til nul. De bør derfor ændres i overensstemmelse med den seneste videnskabelige rådgivning fra ICES.</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2021/0056 (NLE)</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 xml:space="preserve">om ændring af forordning (EU) 2021/92, for så vidt angår visse fiskerimuligheder for 2021 i EU-farvande og andre farvande  </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3,</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Ved Rådets forordning (EU) 2021/92</w:t>
      </w:r>
      <w:r>
        <w:rPr>
          <w:rStyle w:val="FootnoteReference"/>
          <w:noProof/>
        </w:rPr>
        <w:footnoteReference w:id="1"/>
      </w:r>
      <w:r>
        <w:rPr>
          <w:noProof/>
        </w:rPr>
        <w:t xml:space="preserve"> fastsættes der fiskerimuligheder for 2021 for visse fiskebestande og grupper af fiskebestande gældende i EU-farvande og for EU-fiskerfartøjer i visse andre farvande.</w:t>
      </w:r>
    </w:p>
    <w:p>
      <w:pPr>
        <w:pStyle w:val="ManualConsidrant"/>
        <w:rPr>
          <w:noProof/>
        </w:rPr>
      </w:pPr>
      <w:r>
        <w:t>(2)</w:t>
      </w:r>
      <w:r>
        <w:tab/>
      </w:r>
      <w:r>
        <w:rPr>
          <w:noProof/>
        </w:rPr>
        <w:t xml:space="preserve">I forordning (EU) 2021/92 blev den samlede tilladte fangstmængde ("TAC") for tobis i ICES-afsnit 2a og 3a og ICES-underområde 4 fastsat til nul, idet man afventede den relevante videnskabelige rådgivning fra Det Internationale Havundersøgelsesråd ("ICES"), som forelå den 25. februar 2021. Tobis er en art med kort livscyklus, og fiskeriet påbegyndes derfor den 1. april umiddelbart efter forelæggelsen af den videnskabelige rådgivning. </w:t>
      </w:r>
    </w:p>
    <w:p>
      <w:pPr>
        <w:pStyle w:val="ManualConsidrant"/>
        <w:rPr>
          <w:noProof/>
        </w:rPr>
      </w:pPr>
      <w:r>
        <w:t>(3)</w:t>
      </w:r>
      <w:r>
        <w:tab/>
      </w:r>
      <w:r>
        <w:rPr>
          <w:noProof/>
        </w:rPr>
        <w:t>Fangstbegrænsningerne for tobis i ICES-afsnit 2a og 3a og ICES-underområde 4 bør ændres i overensstemmelse med den seneste videnskabelige rådgivning fra ICES.</w:t>
      </w:r>
    </w:p>
    <w:p>
      <w:pPr>
        <w:pStyle w:val="ManualConsidrant"/>
        <w:rPr>
          <w:noProof/>
        </w:rPr>
      </w:pPr>
      <w:r>
        <w:t>(4)</w:t>
      </w:r>
      <w:r>
        <w:tab/>
      </w:r>
      <w:r>
        <w:rPr>
          <w:noProof/>
        </w:rPr>
        <w:t>I forordning (EU) 2021/92 fastsættes der foreløbige fiskerimuligheder for første kvartal af 2021. Derudover indføres der ved denne forordnings artikel 14 et forbud i perioden 1. januar-31. marts 2021 for fiskerfartøjer, der fisker efter tobisarter med visse redskaber i ICES-afsnit 2a, 3a og ICES-underområde 4. Da der i denne forordning fastsættes fiskerimuligheder for hele fangståret, bør dette forbud også omfatte perioden 1. august-31. december 2021, som det var tilfældet i 2020.</w:t>
      </w:r>
    </w:p>
    <w:p>
      <w:pPr>
        <w:pStyle w:val="ManualConsidrant"/>
        <w:rPr>
          <w:noProof/>
        </w:rPr>
      </w:pPr>
      <w:r>
        <w:t>(5)</w:t>
      </w:r>
      <w:r>
        <w:tab/>
      </w:r>
      <w:r>
        <w:rPr>
          <w:noProof/>
        </w:rPr>
        <w:t>Forordning (EU) 2021/92 bør derfor ændres.</w:t>
      </w:r>
    </w:p>
    <w:p>
      <w:pPr>
        <w:pStyle w:val="ManualConsidrant"/>
        <w:rPr>
          <w:noProof/>
        </w:rPr>
      </w:pPr>
      <w:r>
        <w:t>(6)</w:t>
      </w:r>
      <w:r>
        <w:tab/>
      </w:r>
      <w:r>
        <w:rPr>
          <w:noProof/>
        </w:rPr>
        <w:t>De fangstbegrænsninger, der er fastsat i forordning (EU) 2021/92, finder anvendelse fra den 1. januar 2021. De bestemmelser vedrørende fangstbegrænsninger, der indføres ved nærværende ændringsforordning, bør derfor også anvendes fra denne dato. En sådan anvendelse med tilbagevirkende kraft berører ikke retssikkerhedsprincippet eller princippet om beskyttelse af berettigede forventninger, idet de pågældende fiskerimuligheder endnu ikke er opbrugt.</w:t>
      </w:r>
    </w:p>
    <w:p>
      <w:pPr>
        <w:pStyle w:val="ManualConsidrant"/>
        <w:rPr>
          <w:noProof/>
        </w:rPr>
      </w:pPr>
      <w:r>
        <w:t>(7)</w:t>
      </w:r>
      <w:r>
        <w:tab/>
      </w:r>
      <w:r>
        <w:rPr>
          <w:noProof/>
        </w:rPr>
        <w:t xml:space="preserve">Denne forordning bør træde i kraft dagen efter offentliggørelsen på grund af tidspresset for at indlede fangstperioden for tobisarter den 1. april 2021 som planlagt. </w:t>
      </w:r>
    </w:p>
    <w:p>
      <w:pPr>
        <w:rPr>
          <w:noProof/>
        </w:rPr>
      </w:pPr>
    </w:p>
    <w:p>
      <w:pPr>
        <w:pStyle w:val="Formuledadoption"/>
        <w:rPr>
          <w:noProof/>
        </w:rPr>
      </w:pPr>
      <w:r>
        <w:rPr>
          <w:noProof/>
        </w:rPr>
        <w:t>VEDTAGET DENNE FORORDNING:</w:t>
      </w:r>
    </w:p>
    <w:p>
      <w:pPr>
        <w:pStyle w:val="Titrearticle"/>
        <w:rPr>
          <w:noProof/>
        </w:rPr>
      </w:pPr>
      <w:r>
        <w:rPr>
          <w:noProof/>
        </w:rPr>
        <w:t>Artikel 1</w:t>
      </w:r>
    </w:p>
    <w:p>
      <w:pPr>
        <w:rPr>
          <w:noProof/>
        </w:rPr>
      </w:pPr>
      <w:r>
        <w:rPr>
          <w:noProof/>
        </w:rPr>
        <w:tab/>
      </w:r>
      <w:r>
        <w:rPr>
          <w:noProof/>
        </w:rPr>
        <w:tab/>
      </w:r>
      <w:r>
        <w:rPr>
          <w:noProof/>
        </w:rPr>
        <w:tab/>
      </w:r>
      <w:r>
        <w:rPr>
          <w:noProof/>
        </w:rPr>
        <w:tab/>
      </w:r>
      <w:r>
        <w:rPr>
          <w:i/>
          <w:noProof/>
        </w:rPr>
        <w:t>Ændring af forordning (EU) 2021/92</w:t>
      </w:r>
    </w:p>
    <w:p>
      <w:pPr>
        <w:rPr>
          <w:noProof/>
        </w:rPr>
      </w:pPr>
      <w:r>
        <w:rPr>
          <w:noProof/>
        </w:rPr>
        <w:t xml:space="preserve">I forordning (EU) 2021/92 foretages følgende ændringer: </w:t>
      </w:r>
    </w:p>
    <w:p>
      <w:pPr>
        <w:pStyle w:val="Point0"/>
        <w:rPr>
          <w:noProof/>
        </w:rPr>
      </w:pPr>
      <w:r>
        <w:t>(1)</w:t>
      </w:r>
      <w:r>
        <w:tab/>
      </w:r>
      <w:r>
        <w:rPr>
          <w:noProof/>
        </w:rPr>
        <w:t>Artikel 14 affattes således:</w:t>
      </w:r>
    </w:p>
    <w:p>
      <w:pPr>
        <w:pStyle w:val="Titrearticle"/>
        <w:rPr>
          <w:noProof/>
        </w:rPr>
      </w:pPr>
      <w:r>
        <w:rPr>
          <w:noProof/>
        </w:rPr>
        <w:t xml:space="preserve">"Artikel 14 </w:t>
      </w:r>
      <w:r>
        <w:rPr>
          <w:noProof/>
        </w:rPr>
        <w:br/>
        <w:t>Fiskeriforbudsperioder for tobisarter</w:t>
      </w:r>
    </w:p>
    <w:p>
      <w:pPr>
        <w:rPr>
          <w:noProof/>
        </w:rPr>
      </w:pPr>
      <w:r>
        <w:rPr>
          <w:noProof/>
        </w:rPr>
        <w:t>Kommercielt fiskeri efter tobisarter med bundtrawl, vod eller lignende trukne redskaber med en maskestørrelse på under 16 mm er forbudt i ICES-afsnit 2a og 3a og ICES-underområde 4 i perioden 1. januar-31. marts 2021 og 1. august-31. december 2021."</w:t>
      </w:r>
    </w:p>
    <w:p>
      <w:pPr>
        <w:pStyle w:val="Point0"/>
        <w:rPr>
          <w:noProof/>
        </w:rPr>
      </w:pPr>
      <w:r>
        <w:t>(2)</w:t>
      </w:r>
      <w:r>
        <w:tab/>
      </w:r>
      <w:r>
        <w:rPr>
          <w:noProof/>
        </w:rPr>
        <w:t>Bilag IA ændres som angivet i bilaget til nærværende forordning.</w:t>
      </w:r>
    </w:p>
    <w:p>
      <w:pPr>
        <w:pStyle w:val="Titrearticle"/>
        <w:rPr>
          <w:noProof/>
        </w:rPr>
      </w:pPr>
      <w:r>
        <w:rPr>
          <w:noProof/>
        </w:rPr>
        <w:t>Artikel 2</w:t>
      </w:r>
    </w:p>
    <w:p>
      <w:pPr>
        <w:rPr>
          <w:noProof/>
        </w:rPr>
      </w:pPr>
      <w:r>
        <w:rPr>
          <w:noProof/>
        </w:rPr>
        <w:t xml:space="preserve">Denne forordning træder i kraft dagen efter offentliggørelsen i </w:t>
      </w:r>
      <w:r>
        <w:rPr>
          <w:i/>
          <w:noProof/>
        </w:rPr>
        <w:t>Den Europæiske Unions Tidende</w:t>
      </w:r>
      <w:r>
        <w:rPr>
          <w:noProof/>
        </w:rPr>
        <w:t>.</w:t>
      </w:r>
    </w:p>
    <w:p>
      <w:pPr>
        <w:rPr>
          <w:i/>
          <w:noProof/>
        </w:rPr>
      </w:pPr>
      <w:r>
        <w:rPr>
          <w:noProof/>
        </w:rPr>
        <w:t>Den anvendes fra den 1. januar 2021.</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keepNext/>
        <w:rPr>
          <w:noProof/>
        </w:rPr>
      </w:pP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forordning (EU) 2021/92 af 28. januar 2021 om fastsættelse for 2021 af fiskerimuligheder for visse fiskebestande og grupper af fiskebestande gældende i EU-farvande og for EU-fiskerfartøjer i visse andre farvande (EUT L 31 af 29.1.2021, s.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A4FE14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3-03 09:03: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F1305B-E11F-44D0-915B-F8ADC24ED7CD"/>
    <w:docVar w:name="LW_COVERPAGE_TYPE" w:val="1"/>
    <w:docVar w:name="LW_CROSSREFERENCE" w:val="&lt;UNUSED&gt;"/>
    <w:docVar w:name="LW_DocType" w:val="COM"/>
    <w:docVar w:name="LW_EMISSION" w:val="10.3.2021"/>
    <w:docVar w:name="LW_EMISSION_ISODATE" w:val="2021-03-10"/>
    <w:docVar w:name="LW_EMISSION_LOCATION" w:val="BRX"/>
    <w:docVar w:name="LW_EMISSION_PREFIX" w:val="Bruxelles, den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56"/>
    <w:docVar w:name="LW_REF.II.NEW.CP_YEAR" w:val="2021"/>
    <w:docVar w:name="LW_REF.INST.NEW" w:val="COM"/>
    <w:docVar w:name="LW_REF.INST.NEW_ADOPTED" w:val="final"/>
    <w:docVar w:name="LW_REF.INST.NEW_TEXT" w:val="(2021) 1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Forslag til"/>
    <w:docVar w:name="LW_SUPERTITRE" w:val="&lt;UNUSED&gt;"/>
    <w:docVar w:name="LW_TITRE.OBJ.CP" w:val="om ændring af forordning (EU) 2021/92, for så vidt angår visse fiskerimuligheder for 2021 i EU-farvande og andre farvande  "/>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4621">
      <w:bodyDiv w:val="1"/>
      <w:marLeft w:val="0"/>
      <w:marRight w:val="0"/>
      <w:marTop w:val="0"/>
      <w:marBottom w:val="0"/>
      <w:divBdr>
        <w:top w:val="none" w:sz="0" w:space="0" w:color="auto"/>
        <w:left w:val="none" w:sz="0" w:space="0" w:color="auto"/>
        <w:bottom w:val="none" w:sz="0" w:space="0" w:color="auto"/>
        <w:right w:val="none" w:sz="0" w:space="0" w:color="auto"/>
      </w:divBdr>
      <w:divsChild>
        <w:div w:id="1807426841">
          <w:marLeft w:val="0"/>
          <w:marRight w:val="0"/>
          <w:marTop w:val="0"/>
          <w:marBottom w:val="0"/>
          <w:divBdr>
            <w:top w:val="none" w:sz="0" w:space="0" w:color="auto"/>
            <w:left w:val="none" w:sz="0" w:space="0" w:color="auto"/>
            <w:bottom w:val="none" w:sz="0" w:space="0" w:color="auto"/>
            <w:right w:val="none" w:sz="0" w:space="0" w:color="auto"/>
          </w:divBdr>
          <w:divsChild>
            <w:div w:id="1876766329">
              <w:marLeft w:val="0"/>
              <w:marRight w:val="0"/>
              <w:marTop w:val="0"/>
              <w:marBottom w:val="0"/>
              <w:divBdr>
                <w:top w:val="none" w:sz="0" w:space="0" w:color="auto"/>
                <w:left w:val="none" w:sz="0" w:space="0" w:color="auto"/>
                <w:bottom w:val="none" w:sz="0" w:space="0" w:color="auto"/>
                <w:right w:val="none" w:sz="0" w:space="0" w:color="auto"/>
              </w:divBdr>
              <w:divsChild>
                <w:div w:id="833491775">
                  <w:marLeft w:val="0"/>
                  <w:marRight w:val="0"/>
                  <w:marTop w:val="0"/>
                  <w:marBottom w:val="0"/>
                  <w:divBdr>
                    <w:top w:val="none" w:sz="0" w:space="0" w:color="auto"/>
                    <w:left w:val="none" w:sz="0" w:space="0" w:color="auto"/>
                    <w:bottom w:val="none" w:sz="0" w:space="0" w:color="auto"/>
                    <w:right w:val="none" w:sz="0" w:space="0" w:color="auto"/>
                  </w:divBdr>
                  <w:divsChild>
                    <w:div w:id="935555531">
                      <w:marLeft w:val="1"/>
                      <w:marRight w:val="1"/>
                      <w:marTop w:val="0"/>
                      <w:marBottom w:val="0"/>
                      <w:divBdr>
                        <w:top w:val="none" w:sz="0" w:space="0" w:color="auto"/>
                        <w:left w:val="none" w:sz="0" w:space="0" w:color="auto"/>
                        <w:bottom w:val="none" w:sz="0" w:space="0" w:color="auto"/>
                        <w:right w:val="none" w:sz="0" w:space="0" w:color="auto"/>
                      </w:divBdr>
                      <w:divsChild>
                        <w:div w:id="1097483941">
                          <w:marLeft w:val="0"/>
                          <w:marRight w:val="0"/>
                          <w:marTop w:val="0"/>
                          <w:marBottom w:val="0"/>
                          <w:divBdr>
                            <w:top w:val="none" w:sz="0" w:space="0" w:color="auto"/>
                            <w:left w:val="none" w:sz="0" w:space="0" w:color="auto"/>
                            <w:bottom w:val="none" w:sz="0" w:space="0" w:color="auto"/>
                            <w:right w:val="none" w:sz="0" w:space="0" w:color="auto"/>
                          </w:divBdr>
                          <w:divsChild>
                            <w:div w:id="840316443">
                              <w:marLeft w:val="0"/>
                              <w:marRight w:val="0"/>
                              <w:marTop w:val="0"/>
                              <w:marBottom w:val="360"/>
                              <w:divBdr>
                                <w:top w:val="none" w:sz="0" w:space="0" w:color="auto"/>
                                <w:left w:val="none" w:sz="0" w:space="0" w:color="auto"/>
                                <w:bottom w:val="none" w:sz="0" w:space="0" w:color="auto"/>
                                <w:right w:val="none" w:sz="0" w:space="0" w:color="auto"/>
                              </w:divBdr>
                              <w:divsChild>
                                <w:div w:id="1164780254">
                                  <w:marLeft w:val="0"/>
                                  <w:marRight w:val="0"/>
                                  <w:marTop w:val="0"/>
                                  <w:marBottom w:val="0"/>
                                  <w:divBdr>
                                    <w:top w:val="none" w:sz="0" w:space="0" w:color="auto"/>
                                    <w:left w:val="none" w:sz="0" w:space="0" w:color="auto"/>
                                    <w:bottom w:val="none" w:sz="0" w:space="0" w:color="auto"/>
                                    <w:right w:val="none" w:sz="0" w:space="0" w:color="auto"/>
                                  </w:divBdr>
                                  <w:divsChild>
                                    <w:div w:id="1265844140">
                                      <w:marLeft w:val="0"/>
                                      <w:marRight w:val="0"/>
                                      <w:marTop w:val="0"/>
                                      <w:marBottom w:val="0"/>
                                      <w:divBdr>
                                        <w:top w:val="none" w:sz="0" w:space="0" w:color="auto"/>
                                        <w:left w:val="none" w:sz="0" w:space="0" w:color="auto"/>
                                        <w:bottom w:val="none" w:sz="0" w:space="0" w:color="auto"/>
                                        <w:right w:val="none" w:sz="0" w:space="0" w:color="auto"/>
                                      </w:divBdr>
                                      <w:divsChild>
                                        <w:div w:id="1358121743">
                                          <w:marLeft w:val="0"/>
                                          <w:marRight w:val="0"/>
                                          <w:marTop w:val="0"/>
                                          <w:marBottom w:val="0"/>
                                          <w:divBdr>
                                            <w:top w:val="none" w:sz="0" w:space="0" w:color="auto"/>
                                            <w:left w:val="none" w:sz="0" w:space="0" w:color="auto"/>
                                            <w:bottom w:val="none" w:sz="0" w:space="0" w:color="auto"/>
                                            <w:right w:val="none" w:sz="0" w:space="0" w:color="auto"/>
                                          </w:divBdr>
                                        </w:div>
                                        <w:div w:id="567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17DE-EC5E-4E18-802D-EE205B74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857</Words>
  <Characters>5457</Characters>
  <Application>Microsoft Office Word</Application>
  <DocSecurity>0</DocSecurity>
  <Lines>121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2020-02-21T08:57:00Z</cp:lastPrinted>
  <dcterms:created xsi:type="dcterms:W3CDTF">2021-03-01T14:51:00Z</dcterms:created>
  <dcterms:modified xsi:type="dcterms:W3CDTF">2021-03-03T08:03:00Z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