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6558D2F2-9BB4-4749-90F8-3F5FE56C8E67" style="width:450.35pt;height:352.5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Przyczyny i cele wniosku</w:t>
      </w:r>
    </w:p>
    <w:p>
      <w:pPr>
        <w:rPr>
          <w:noProof/>
        </w:rPr>
      </w:pPr>
      <w:r>
        <w:rPr>
          <w:noProof/>
        </w:rPr>
        <w:t xml:space="preserve">Rozporządzenie Rady (UE) 2021/92 ustalające uprawnienia do połowów na rok 2021 w odniesieniu do niektórych stad ryb i grup stad ryb, mające zastosowanie w wodach Unii oraz, dla unijnych statków rybackich, w niektórych wodach nienależących do Unii. Te uprawnienia do połowów są zazwyczaj wielokrotnie zmieniane w okresie ich obowiązywania.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 przepisami obowiązującymi w tej dziedzinie polityki</w:t>
      </w:r>
    </w:p>
    <w:p>
      <w:pPr>
        <w:rPr>
          <w:noProof/>
        </w:rPr>
      </w:pPr>
      <w:r>
        <w:rPr>
          <w:noProof/>
        </w:rPr>
        <w:t>Proponowane środki opracowano zgodnie z celami i przepisami wspólnej polityki rybołówstwa i są one spójne z polityką Unii w zakresie zrównoważonego rozwoju.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 innymi politykami Unii</w:t>
      </w:r>
    </w:p>
    <w:p>
      <w:pPr>
        <w:rPr>
          <w:noProof/>
        </w:rPr>
      </w:pPr>
      <w:r>
        <w:rPr>
          <w:noProof/>
        </w:rPr>
        <w:t>Proponowane środki są spójne z pozostałymi obszarami polityki unijnej, w szczególności z polityką w dziedzinie środowiska.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PODSTAWA PRAWNA, POMOCNICZOŚĆ I PROPORCJONALNOŚĆ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Podstawa prawna</w:t>
      </w:r>
    </w:p>
    <w:p>
      <w:pPr>
        <w:rPr>
          <w:noProof/>
        </w:rPr>
      </w:pPr>
      <w:r>
        <w:rPr>
          <w:noProof/>
        </w:rPr>
        <w:t xml:space="preserve">Podstawą prawną niniejszego wniosku jest art. 43 ust. 3 Traktatu o funkcjonowaniu Unii Europejskiej. </w:t>
      </w:r>
    </w:p>
    <w:p>
      <w:pPr>
        <w:rPr>
          <w:noProof/>
        </w:rPr>
      </w:pPr>
      <w:r>
        <w:rPr>
          <w:noProof/>
        </w:rPr>
        <w:t>Zobowiązania Unii dotyczące zrównoważonej eksploatacji żywych zasobów wodnych wynikają z obowiązków określonych w art. 2 nowego rozporządzenia podstawowego w sprawie WPRyb.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Pomocniczość (w przypadku kompetencji niewyłącznych) </w:t>
      </w:r>
    </w:p>
    <w:p>
      <w:pPr>
        <w:spacing w:after="0"/>
        <w:rPr>
          <w:noProof/>
        </w:rPr>
      </w:pPr>
      <w:r>
        <w:rPr>
          <w:noProof/>
        </w:rPr>
        <w:t>Wniosek jest przedmiotem wyłącznej kompetencji Unii, o której mowa w art. 3 ust. 1 lit. d) Traktatu. Zasada pomocniczości nie ma zatem zastosowania.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Proporcjonalność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Wniosek jest zgodny z zasadą proporcjonalności z następującego względu: Wspólna polityka rybołówstwa jest polityką wspólną. Zgodnie z art. 43 ust. 3 Traktatu na Radzie spoczywa obowiązek przyjmowania środków dotyczących ustalania i przydziału uprawnień do połowów.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Wybór instrumentu</w:t>
      </w:r>
    </w:p>
    <w:p>
      <w:pPr>
        <w:spacing w:after="0"/>
        <w:rPr>
          <w:noProof/>
        </w:rPr>
      </w:pPr>
      <w:r>
        <w:rPr>
          <w:noProof/>
        </w:rPr>
        <w:t xml:space="preserve">Proponowany instrument: rozporządzenie.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WYNIKI OCEN EX POST, KONSULTACJI Z ZAINTERESOWANYMI STRONAMI I OCEN SKUTKÓW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Oceny ex post/oceny adekwatności obowiązującego prawodawstwa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Nie dotyczy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Konsultacje z zainteresowanymi stronami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We wniosku uwzględniono uwagi otrzymane od zainteresowanych stron, komitetów doradczych, administracji krajowych, organizacji rybaków i organizacji pozarządowych.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Gromadzenie i wykorzystanie wiedzy eksperckiej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Wniosek opiera się na opinii naukowej Międzynarodowej Rady Badań Morza (ICES).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Ocena skutków</w:t>
      </w:r>
    </w:p>
    <w:p>
      <w:pPr>
        <w:rPr>
          <w:noProof/>
        </w:rPr>
      </w:pPr>
      <w:r>
        <w:rPr>
          <w:noProof/>
        </w:rPr>
        <w:t>Zakres rozporządzenia w sprawie uprawnień do połowów jest ograniczony przez art. 43 ust. 3 Traktatu.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Sprawność regulacyjna i uproszczenie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Nie dotyczy.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Prawa podstawowe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Nie dotyczy.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WPŁYW NA BUDŻET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Proponowane środki nie będą miały wpływu na budżet.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ELEMENTY FAKULTATYWNE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Szczegółowe objaśnienia poszczególnych przepisów wniosku</w:t>
      </w:r>
    </w:p>
    <w:p>
      <w:pPr>
        <w:rPr>
          <w:noProof/>
        </w:rPr>
      </w:pPr>
      <w:r>
        <w:rPr>
          <w:noProof/>
        </w:rPr>
        <w:t>Proponowane zmiany mają na celu modyfikację rozporządzenia Rady (UE) 2021/92 w sposób opisany poniżej.</w:t>
      </w:r>
    </w:p>
    <w:p>
      <w:pPr>
        <w:rPr>
          <w:noProof/>
        </w:rPr>
      </w:pPr>
      <w:r>
        <w:rPr>
          <w:noProof/>
        </w:rPr>
        <w:t>Dobijak jest gatunkiem żyjącym krótko; dotycząca go opinia naukowa jest udostępniana w drugiej połowie lutego, a jego połowy rozpoczynają się już w kwietniu. W rozporządzeniu Rady (UE) 2021/92 całkowity dopuszczalny połów (TAC) ustalono na poziomie zerowym. Należy zatem zmienić ten poziom zgodnie z najnowszą opinią naukową ICES.</w:t>
      </w:r>
    </w:p>
    <w:p>
      <w:pPr>
        <w:rPr>
          <w:noProof/>
        </w:rPr>
      </w:pP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2021/0056 (NLE)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ROZPORZĄDZENIE RADY</w:t>
      </w:r>
    </w:p>
    <w:p>
      <w:pPr>
        <w:pStyle w:val="Titreobjet"/>
        <w:rPr>
          <w:noProof/>
        </w:rPr>
      </w:pPr>
      <w:r>
        <w:rPr>
          <w:noProof/>
        </w:rPr>
        <w:t>zmieniające rozporządzenie (UE) 2021/92 w odniesieniu do niektórych uprawnień do połowów na rok 2021 w wodach Unii i w wodach nienależących do Unii</w:t>
      </w:r>
    </w:p>
    <w:p>
      <w:pPr>
        <w:pStyle w:val="Institutionquiagit"/>
        <w:rPr>
          <w:noProof/>
        </w:rPr>
      </w:pPr>
      <w:r>
        <w:rPr>
          <w:noProof/>
        </w:rPr>
        <w:t>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 w szczególności jego art. 43 ust. 3,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W rozporządzeniu Rady (UE) 2021/92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ustalono uprawnienia do połowów na rok 2021 w odniesieniu do niektórych stad ryb i grup stad ryb, mające zastosowanie w wodach Unii oraz, dla unijnych statków rybackich, w niektórych wodach nienależących do Unii.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W rozporządzeniu (UE) 2021/92 całkowity dopuszczalny połów („TAC”) dobijaków w rejonach ICES 2a i 3a oraz podobszarze ICES 4 został ustalony na poziomie zero do czasu opublikowania przez Międzynarodową Radę Badań Morza („ICES”) odpowiednich opinii naukowych, które stały się dostępne w dniu 25 lutego 2021 r. Dobijak jest gatunkiem krótko żyjącym, w związku z czym połowy rozpoczynają się w dniu 1 kwietnia wkrótce po opublikowaniu opinii naukowej.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Limity połowowe dobijaków w rejonach ICES 2a i 3a oraz w podobszarze ICES 4 należy zmienić zgodnie z najnowszą opinią naukową ICES.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Rozporządzenie (UE) 2021/92 ustanawia wstępne uprawnienia do połowów na pierwszy kwartał 2021 r. Ponadto w jego art. 14 ustanowiono zakaz na okres od dnia 1 stycznia do dnia 31 marca 2021 r. w odniesieniu do statków poławiających dobijaki przy użyciu niektórych narzędzi w rejonach ICES 2a, 3a i podobszarze ICES 4. Ponieważ niniejsze rozporządzenie ustanawia uprawnienia do połowów na cały rok połowowy, zakaz ten powinien również obejmować okres od dnia 1 sierpnia do dnia 31 grudnia 2021 r., podobnie jak w 2020 r.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Należy zatem odpowiednio zmienić rozporządzenie (UE) 2021/92.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Limity połowowe, które wprowadzono w rozporządzeniu (UE) 2021/92, mają zastosowanie od dnia 1 stycznia 2021 r. Przepisy wprowadzone niniejszym rozporządzeniem zmieniającym dotyczące limitów połowowych powinny zatem również mieć zastosowanie od tego dnia. Takie stosowanie z mocą wsteczną nie narusza zasad pewności prawa ani ochrony uzasadnionych oczekiwań, ponieważ uprawnienia do połowów, których to dotyczy, nie zostały jeszcze wyczerpane.</w:t>
      </w:r>
    </w:p>
    <w:p>
      <w:pPr>
        <w:pStyle w:val="ManualConsidrant"/>
        <w:rPr>
          <w:noProof/>
        </w:rPr>
      </w:pPr>
      <w:r>
        <w:lastRenderedPageBreak/>
        <w:t>(7)</w:t>
      </w:r>
      <w:r>
        <w:tab/>
      </w:r>
      <w:r>
        <w:rPr>
          <w:noProof/>
        </w:rPr>
        <w:t xml:space="preserve">Niniejsze rozporządzenie powinno wejść w życie następnego dnia po jego opublikowaniu ze względu na pilną potrzebę terminowego rozpoczęcia okresu połowu dobijaków w dniu 1 kwietnia 2021 r. </w:t>
      </w:r>
    </w:p>
    <w:p>
      <w:pPr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PRZYJMUJE NINIEJSZE ROZPORZĄDZENIE: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i/>
          <w:noProof/>
        </w:rPr>
        <w:t>Zmiana rozporządzenia (UE) 2021/92</w:t>
      </w:r>
    </w:p>
    <w:p>
      <w:pPr>
        <w:rPr>
          <w:noProof/>
        </w:rPr>
      </w:pPr>
      <w:r>
        <w:rPr>
          <w:noProof/>
        </w:rPr>
        <w:t xml:space="preserve">W rozporządzeniu (UE) 2021/92 wprowadza się następujące zmiany: </w:t>
      </w:r>
    </w:p>
    <w:p>
      <w:pPr>
        <w:pStyle w:val="Point0"/>
        <w:rPr>
          <w:noProof/>
        </w:rPr>
      </w:pPr>
      <w:r>
        <w:rPr>
          <w:noProof/>
        </w:rPr>
        <w:t>1)</w:t>
      </w:r>
      <w:r>
        <w:rPr>
          <w:noProof/>
        </w:rPr>
        <w:tab/>
        <w:t>art. 14 otrzymuje brzmienie:</w:t>
      </w:r>
    </w:p>
    <w:p>
      <w:pPr>
        <w:pStyle w:val="Titrearticle"/>
        <w:rPr>
          <w:noProof/>
        </w:rPr>
      </w:pPr>
      <w:r>
        <w:rPr>
          <w:noProof/>
        </w:rPr>
        <w:t xml:space="preserve">„Artykuł 14 </w:t>
      </w:r>
      <w:r>
        <w:rPr>
          <w:noProof/>
        </w:rPr>
        <w:br/>
        <w:t>Okresy zamknięte dla połowów dobijaków</w:t>
      </w:r>
    </w:p>
    <w:p>
      <w:pPr>
        <w:rPr>
          <w:noProof/>
        </w:rPr>
      </w:pPr>
      <w:r>
        <w:rPr>
          <w:noProof/>
        </w:rPr>
        <w:t>Od dnia 1 stycznia do dnia 31 marca 2021 r. oraz od dnia 1 sierpnia do dnia 31 grudnia 2021 r. w rejonach ICES 2a, 3a oraz podobszarze ICES 4 zabrania się przemysłowych połowów dobijaków włokiem dennym, niewodem lub podobnymi narzędziami ciągnionymi o rozmiarze oczek sieci mniejszym niż 16 mm.”;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w załączniku IA wprowadza się zmiany zgodnie z załącznikiem do niniejszego rozporządzenia.</w:t>
      </w:r>
    </w:p>
    <w:p>
      <w:pPr>
        <w:pStyle w:val="Titrearticle"/>
        <w:rPr>
          <w:noProof/>
        </w:rPr>
      </w:pPr>
      <w:r>
        <w:rPr>
          <w:noProof/>
        </w:rPr>
        <w:t>Artykuł 2</w:t>
      </w:r>
    </w:p>
    <w:p>
      <w:pPr>
        <w:rPr>
          <w:noProof/>
        </w:rPr>
      </w:pPr>
      <w:r>
        <w:rPr>
          <w:noProof/>
        </w:rPr>
        <w:t>Niniejsze rozporządzenie wchodzi w życie następnego dnia po jego opublikowaniu w </w:t>
      </w:r>
      <w:r>
        <w:rPr>
          <w:i/>
          <w:noProof/>
        </w:rPr>
        <w:t>Dzienniku Urzędowym Unii Europejskiej</w:t>
      </w:r>
      <w:r>
        <w:rPr>
          <w:noProof/>
        </w:rPr>
        <w:t>.</w:t>
      </w:r>
    </w:p>
    <w:p>
      <w:pPr>
        <w:rPr>
          <w:i/>
          <w:noProof/>
        </w:rPr>
      </w:pPr>
      <w:r>
        <w:rPr>
          <w:noProof/>
        </w:rPr>
        <w:t>Niniejsze rozporządzenie stosuje się od dnia 1 stycznia 2021 r.</w:t>
      </w:r>
    </w:p>
    <w:p>
      <w:pPr>
        <w:pStyle w:val="Applicationdirecte"/>
        <w:rPr>
          <w:noProof/>
        </w:rPr>
      </w:pPr>
      <w:r>
        <w:rPr>
          <w:noProof/>
        </w:rPr>
        <w:t>Niniejsze rozporządzenie wiąże w całości i jest bezpośrednio stosowane we wszystkich państwach członkowskich.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Rozporządzenie Rady (UE) 2021/92 z dnia 28 stycznia 2021 r. ustalające uprawnienia do połowów na rok 2021 w odniesieniu do niektórych stad ryb i grup stad ryb, mające zastosowanie w wodach Unii oraz, dla unijnych statków rybackich, w niektórych wodach nienależących do Unii (Dz.U. L 31 z 29.1.2021, s. 31).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282F9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CA667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57EF4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0BC00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38287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B2EFB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3C257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4FE14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1-03-03 09:03:2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6558D2F2-9BB4-4749-90F8-3F5FE56C8E67"/>
    <w:docVar w:name="LW_COVERPAGE_TYPE" w:val="1"/>
    <w:docVar w:name="LW_CROSSREFERENCE" w:val="&lt;UNUSED&gt;"/>
    <w:docVar w:name="LW_DocType" w:val="COM"/>
    <w:docVar w:name="LW_EMISSION" w:val="10.3.2021"/>
    <w:docVar w:name="LW_EMISSION_ISODATE" w:val="2021-03-10"/>
    <w:docVar w:name="LW_EMISSION_LOCATION" w:val="BRX"/>
    <w:docVar w:name="LW_EMISSION_PREFIX" w:val="Bruksela, dnia "/>
    <w:docVar w:name="LW_EMISSION_SUFFIX" w:val=" r."/>
    <w:docVar w:name="LW_ID_DOCMODEL" w:val="SJ-016"/>
    <w:docVar w:name="LW_ID_DOCSIGNATURE" w:val="SJ-016"/>
    <w:docVar w:name="LW_ID_DOCSTRUCTURE" w:val="COM/PL/ORG"/>
    <w:docVar w:name="LW_ID_DOCTYPE" w:val="SJ-016"/>
    <w:docVar w:name="LW_ID_STATUT" w:val="SJ-016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56"/>
    <w:docVar w:name="LW_REF.II.NEW.CP_YEAR" w:val="2021"/>
    <w:docVar w:name="LW_REF.INST.NEW" w:val="COM"/>
    <w:docVar w:name="LW_REF.INST.NEW_ADOPTED" w:val="final"/>
    <w:docVar w:name="LW_REF.INST.NEW_TEXT" w:val="(2021) 11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TATUT.CP" w:val="Wniosek"/>
    <w:docVar w:name="LW_SUPERTITRE" w:val="&lt;UNUSED&gt;"/>
    <w:docVar w:name="LW_TITRE.OBJ.CP" w:val="zmieniaj\u261?ce rozporz\u261?dzenie (UE) 2021/92 w odniesieniu do niektórych uprawnie\u324? do po\u322?owów na rok 2021 w wodach Unii i w wodach nienale\u380?\u261?cych do Unii"/>
    <w:docVar w:name="LW_TYPE.DOC.CP" w:val="ROZPORZ\u260?DZENIE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553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64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2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95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A9D4-2042-4E84-9A68-490197A3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5</Pages>
  <Words>895</Words>
  <Characters>5525</Characters>
  <Application>Microsoft Office Word</Application>
  <DocSecurity>0</DocSecurity>
  <Lines>122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19</cp:revision>
  <cp:lastPrinted>2020-02-21T08:57:00Z</cp:lastPrinted>
  <dcterms:created xsi:type="dcterms:W3CDTF">2021-03-01T15:06:00Z</dcterms:created>
  <dcterms:modified xsi:type="dcterms:W3CDTF">2021-03-03T08:03:00Z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5.8.86.0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SJ-016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