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1C4E4C1-667A-4987-81CB-1EBEA95C2A24" style="width:450.7pt;height:365.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spacing w:after="360"/>
        <w:rPr>
          <w:noProof/>
        </w:rPr>
      </w:pPr>
      <w:bookmarkStart w:id="0" w:name="_GoBack"/>
      <w:bookmarkEnd w:id="0"/>
      <w:r>
        <w:rPr>
          <w:noProof/>
        </w:rPr>
        <w:lastRenderedPageBreak/>
        <w:t>BEGRUNDELSE</w:t>
      </w:r>
    </w:p>
    <w:p>
      <w:pPr>
        <w:pStyle w:val="ManualHeading1"/>
        <w:rPr>
          <w:rFonts w:eastAsia="Arial Unicode MS"/>
          <w:noProof/>
        </w:rPr>
      </w:pPr>
      <w:r>
        <w:t>1.</w:t>
      </w:r>
      <w:r>
        <w:tab/>
      </w:r>
      <w:r>
        <w:rPr>
          <w:noProof/>
        </w:rPr>
        <w:t>Forslagets genstand</w:t>
      </w:r>
    </w:p>
    <w:p>
      <w:pPr>
        <w:spacing w:before="0" w:after="240"/>
        <w:rPr>
          <w:rFonts w:eastAsia="Arial Unicode MS"/>
          <w:noProof/>
          <w:szCs w:val="24"/>
        </w:rPr>
      </w:pPr>
      <w:r>
        <w:rPr>
          <w:noProof/>
        </w:rPr>
        <w:t>Dette forslag vedrører Rådets afgørelse om fastlæggelse af den holdning, som Den Europæiske Union skal indtage i Det Internationale Råd for Tropisk Træ (herefter "ITTC"), i forbindelse med den foreslåede forlængelse af den internationale overenskomst om tropisk træ af 2006 (herefter "ITTA af 2006" eller "overenskomsten").</w:t>
      </w:r>
    </w:p>
    <w:p>
      <w:pPr>
        <w:pStyle w:val="ManualHeading1"/>
        <w:rPr>
          <w:noProof/>
        </w:rPr>
      </w:pPr>
      <w:r>
        <w:t>2.</w:t>
      </w:r>
      <w:r>
        <w:tab/>
      </w:r>
      <w:r>
        <w:rPr>
          <w:noProof/>
        </w:rPr>
        <w:t>Baggrund for forslaget</w:t>
      </w:r>
    </w:p>
    <w:p>
      <w:pPr>
        <w:pStyle w:val="ManualHeading2"/>
        <w:rPr>
          <w:noProof/>
        </w:rPr>
      </w:pPr>
      <w:r>
        <w:t>2.1.</w:t>
      </w:r>
      <w:r>
        <w:tab/>
      </w:r>
      <w:r>
        <w:rPr>
          <w:noProof/>
        </w:rPr>
        <w:t>Den internationale overenskomst om tropisk træ af 2006</w:t>
      </w:r>
    </w:p>
    <w:p>
      <w:pPr>
        <w:spacing w:before="0" w:after="240"/>
        <w:rPr>
          <w:noProof/>
          <w:szCs w:val="24"/>
        </w:rPr>
      </w:pPr>
      <w:r>
        <w:rPr>
          <w:noProof/>
        </w:rPr>
        <w:t>Målene for ITTA af 2006 er at fremme ekspansion og diversifikation af den internationale handel med tropisk træ fra bæredygtigt forvaltede skove, hvor skovningen foregår på lovlig vis, og at tilskynde til en bæredygtig forvaltning af skove, hvor der produceres tropisk træ. Den Europæiske Union er part i ITTA af 2006</w:t>
      </w:r>
      <w:r>
        <w:rPr>
          <w:rStyle w:val="FootnoteReference"/>
          <w:noProof/>
          <w:szCs w:val="24"/>
        </w:rPr>
        <w:footnoteReference w:id="1"/>
      </w:r>
      <w:r>
        <w:rPr>
          <w:noProof/>
        </w:rPr>
        <w:t xml:space="preserve">. </w:t>
      </w:r>
    </w:p>
    <w:p>
      <w:pPr>
        <w:spacing w:before="0" w:after="240"/>
        <w:rPr>
          <w:noProof/>
          <w:szCs w:val="24"/>
        </w:rPr>
      </w:pPr>
      <w:r>
        <w:rPr>
          <w:noProof/>
        </w:rPr>
        <w:t xml:space="preserve">ITTA af 2006 erstattede ITTA af 1994, og den første ITTA blev vedtaget i 1983 (ITTA af 1983). </w:t>
      </w:r>
    </w:p>
    <w:p>
      <w:pPr>
        <w:spacing w:before="0" w:after="240"/>
        <w:rPr>
          <w:noProof/>
          <w:szCs w:val="24"/>
        </w:rPr>
      </w:pPr>
      <w:r>
        <w:rPr>
          <w:noProof/>
        </w:rPr>
        <w:t>ITTA af 2006 (vedtaget in 2006) trådte i kraft den 7. december 2011 for en periode på ti år. Den udløber derfor den 6. december 2021, medmindre ITTC med kvalificeret flertal træffer afgørelse om at forlænge dens gyldighedsperiode, at genforhandle den eller at bringe den til ophør i overensstemmelse med artikel 44, stk. 1, i ITTA af 2006. Gyldighedsperioden for ITTA af 2006 kan forlænges, første gang med fem år og anden gang med yderligere tre år, jf. 44, stk. 2.</w:t>
      </w:r>
    </w:p>
    <w:p>
      <w:pPr>
        <w:pStyle w:val="ManualHeading2"/>
        <w:rPr>
          <w:noProof/>
        </w:rPr>
      </w:pPr>
      <w:r>
        <w:t>2.2.</w:t>
      </w:r>
      <w:r>
        <w:tab/>
      </w:r>
      <w:r>
        <w:rPr>
          <w:noProof/>
        </w:rPr>
        <w:t>Det Internationale Råd for Tropisk Træ</w:t>
      </w:r>
    </w:p>
    <w:p>
      <w:pPr>
        <w:spacing w:before="0" w:after="240"/>
        <w:rPr>
          <w:rFonts w:eastAsia="Arial Unicode MS"/>
          <w:noProof/>
          <w:color w:val="0D0D0D" w:themeColor="text1" w:themeTint="F2"/>
          <w:szCs w:val="24"/>
        </w:rPr>
      </w:pPr>
      <w:r>
        <w:rPr>
          <w:noProof/>
          <w:color w:val="0D0D0D" w:themeColor="text1" w:themeTint="F2"/>
          <w:szCs w:val="24"/>
        </w:rPr>
        <w:t>I henhold til artikel 6, stk. 1, i ITTA af 2006 er ITTC den højeste myndighed i Den Internationale Organisation for Tropisk Træ</w:t>
      </w:r>
      <w:r>
        <w:rPr>
          <w:rStyle w:val="FootnoteReference"/>
          <w:rFonts w:eastAsia="Arial Unicode MS"/>
          <w:noProof/>
          <w:color w:val="0D0D0D" w:themeColor="text1" w:themeTint="F2"/>
          <w:szCs w:val="24"/>
        </w:rPr>
        <w:footnoteReference w:id="2"/>
      </w:r>
      <w:r>
        <w:rPr>
          <w:noProof/>
          <w:color w:val="0D0D0D" w:themeColor="text1" w:themeTint="F2"/>
          <w:szCs w:val="24"/>
        </w:rPr>
        <w:t xml:space="preserve"> (ITTO). ITTO tegner sig for ca. 80 % af verdens tropiske skove og over 90 % af handelen med træ og træprodukter. ITTC består af alle medlemmerne af ITTO. Der er to medlemskategorier i ITTO: producentmedlemmer og forbrugermedlemmer.</w:t>
      </w:r>
      <w:r>
        <w:rPr>
          <w:noProof/>
        </w:rPr>
        <w:t xml:space="preserve"> </w:t>
      </w:r>
      <w:r>
        <w:rPr>
          <w:noProof/>
          <w:color w:val="0D0D0D" w:themeColor="text1" w:themeTint="F2"/>
          <w:szCs w:val="24"/>
        </w:rPr>
        <w:t>I henhold til artikel 44, stk. 1, i kan ITTC ved kvalificeret flertal træffe afgørelse om at forlænge, genforhandle eller opsige ITTA af 2006 og i henhold til artikel 44, stk. 2, træffe afgørelse om at forlænge overenskomstens gyldighedsperiode, første gang med fem år og anden gang med tre år. I henhold til artikel 12, stk. 1, skal ITTC tilstræbe at vedtage alle afgørelser og henstillinger med enstemmighed. Hvis der ikke kan opnås konsensus, træffer ITTC ved kvalificeret flertal afgørelse om ITTA af 2006, jf. artikel 44, stk. 1. I henhold til artikel 2, stk. 8, forstås ved "kvalificeret flertal" et flertal, hvortil der kræves mindst to tredjedele af de tilstedeværende og stemmeafgivende producentmedlemmers stemmer og mindst 60 % af de tilstedeværende og stemmeafgivende forbrugermedlemmers stemmer, optalt hver for sig, forudsat at disse stemmer er afgivet af mindst halvdelen af de tilstedeværende og stemmeafgivende producentmedlemmer og mindst halvdelen af de tilstedeværende og stemmeafgivende forbrugermedlemmer. I henhold til artikel 7, litra a), kan ITTC også træffe afgørelser uden at afholde møde.</w:t>
      </w:r>
    </w:p>
    <w:p>
      <w:pPr>
        <w:spacing w:before="0" w:after="240"/>
        <w:rPr>
          <w:rFonts w:eastAsia="Arial Unicode MS"/>
          <w:noProof/>
          <w:color w:val="0D0D0D" w:themeColor="text1" w:themeTint="F2"/>
          <w:szCs w:val="24"/>
        </w:rPr>
      </w:pPr>
      <w:r>
        <w:rPr>
          <w:noProof/>
          <w:color w:val="0D0D0D" w:themeColor="text1" w:themeTint="F2"/>
          <w:szCs w:val="24"/>
        </w:rPr>
        <w:lastRenderedPageBreak/>
        <w:t>ITTC's medlemmer råder over i alt 2 000 stemmer (producentmedlemmer og forbrugermedlemmer råder hver over 1 000 stemmer).</w:t>
      </w:r>
      <w:r>
        <w:rPr>
          <w:rFonts w:asciiTheme="minorHAnsi" w:hAnsiTheme="minorHAnsi"/>
          <w:noProof/>
          <w:sz w:val="22"/>
        </w:rPr>
        <w:t xml:space="preserve"> </w:t>
      </w:r>
      <w:r>
        <w:rPr>
          <w:noProof/>
          <w:color w:val="0D0D0D" w:themeColor="text1" w:themeTint="F2"/>
          <w:szCs w:val="24"/>
        </w:rPr>
        <w:t>De årlige bidrag og stemmer fordeles ligeligt mellem disse to medlemsgrupper. Inden for hver medlemsgruppe beregnes de enkelte medlemmers bidrag og stemmer på grundlag af handelen med tropisk træ og for producenternes vedkommende på grundlag af omfanget af tropiske skove i det pågældende land. Det anslås, at EU betaler den største andel af bidragene (betales af Kommissionen for alle medlemsstaterne) til ITTO's administrationsbudget og har det højeste antal stemmer (og det højeste antal forbrugermedlemmer) og vil i tilfælde af kvalificeret flertal kunne have et blokerende mindretal.</w:t>
      </w:r>
    </w:p>
    <w:p>
      <w:pPr>
        <w:pStyle w:val="ManualHeading2"/>
        <w:rPr>
          <w:noProof/>
        </w:rPr>
      </w:pPr>
      <w:r>
        <w:t>2.3.</w:t>
      </w:r>
      <w:r>
        <w:tab/>
      </w:r>
      <w:r>
        <w:rPr>
          <w:noProof/>
        </w:rPr>
        <w:t>Den planlagte forlængelse af ITTA af 2006</w:t>
      </w:r>
    </w:p>
    <w:p>
      <w:pPr>
        <w:spacing w:before="0" w:after="240"/>
        <w:rPr>
          <w:noProof/>
          <w:szCs w:val="24"/>
        </w:rPr>
      </w:pPr>
      <w:r>
        <w:rPr>
          <w:noProof/>
        </w:rPr>
        <w:t xml:space="preserve">ITTO er i alvorlige økonomiske vanskeligheder på grund af fejlinvesteringer foretaget af et tidligere ledelsesteam i sekretariatet, som førte til et tab på 18 mio. USD i perioden 2012-2015. </w:t>
      </w:r>
    </w:p>
    <w:p>
      <w:pPr>
        <w:spacing w:before="0" w:after="240"/>
        <w:rPr>
          <w:noProof/>
          <w:szCs w:val="24"/>
        </w:rPr>
      </w:pPr>
      <w:r>
        <w:rPr>
          <w:noProof/>
        </w:rPr>
        <w:t>ITTO befinder sig i øjeblikket i den første fase af en genopretning af økonomien, hvor der tages fat på finansielle og ledelsesmæssige mangler ved projekter og aktiviteter, og har indledt en reform af den finansielle struktur. Pilotfasen for den nye finansielle struktur løber frem til 2022.</w:t>
      </w:r>
    </w:p>
    <w:p>
      <w:pPr>
        <w:spacing w:before="0" w:after="240"/>
        <w:rPr>
          <w:noProof/>
          <w:szCs w:val="24"/>
        </w:rPr>
      </w:pPr>
      <w:r>
        <w:rPr>
          <w:noProof/>
        </w:rPr>
        <w:t>Med forlængelsen af ITTA af 2006 vil der blive givet tilstrækkelig tid til ITTO og dens medlemmer til at fortsætte arbejdet med at reformere organisationens finansielle struktur og for ITTO til fuldt ud at stabilisere sig finansielt og til at afgøre, hvorvidt ITTA af 2006 vil skulle gennemgå en grundlæggende revision i fremtiden.</w:t>
      </w:r>
    </w:p>
    <w:p>
      <w:pPr>
        <w:pStyle w:val="ManualHeading1"/>
        <w:rPr>
          <w:rFonts w:eastAsia="Arial Unicode MS"/>
          <w:noProof/>
        </w:rPr>
      </w:pPr>
      <w:r>
        <w:t>3.</w:t>
      </w:r>
      <w:r>
        <w:tab/>
      </w:r>
      <w:r>
        <w:rPr>
          <w:noProof/>
        </w:rPr>
        <w:t>Den holdning, der skal indtages på Unionens vegne</w:t>
      </w:r>
    </w:p>
    <w:p>
      <w:pPr>
        <w:spacing w:before="0" w:after="240"/>
        <w:rPr>
          <w:noProof/>
          <w:color w:val="0D0D0D" w:themeColor="text1" w:themeTint="F2"/>
          <w:szCs w:val="24"/>
        </w:rPr>
      </w:pPr>
      <w:r>
        <w:rPr>
          <w:noProof/>
          <w:color w:val="0D0D0D" w:themeColor="text1" w:themeTint="F2"/>
          <w:szCs w:val="24"/>
        </w:rPr>
        <w:t xml:space="preserve">Den påtænkte retsakt er en rådsafgørelse om den holdning, der skal indtages på Unionens vegne på grundlag af artikel 218, stk. 9, i traktaten om Den Europæiske Unions funktionsmåde (TEUF). </w:t>
      </w:r>
    </w:p>
    <w:p>
      <w:pPr>
        <w:spacing w:before="0" w:after="240"/>
        <w:rPr>
          <w:noProof/>
          <w:color w:val="0D0D0D" w:themeColor="text1" w:themeTint="F2"/>
          <w:szCs w:val="24"/>
        </w:rPr>
      </w:pPr>
      <w:r>
        <w:rPr>
          <w:noProof/>
          <w:color w:val="0D0D0D" w:themeColor="text1" w:themeTint="F2"/>
          <w:szCs w:val="24"/>
        </w:rPr>
        <w:t>Formålet med nærværende forslag er, at Rådet bemyndiger Kommissionen til i ITTC på Unionens vegne at godkende eller stemme for forlængelsen af ITTA af 2006.</w:t>
      </w:r>
    </w:p>
    <w:p>
      <w:pPr>
        <w:pStyle w:val="ManualHeading1"/>
        <w:rPr>
          <w:noProof/>
        </w:rPr>
      </w:pPr>
      <w:r>
        <w:t>4.</w:t>
      </w:r>
      <w:r>
        <w:tab/>
      </w:r>
      <w:r>
        <w:rPr>
          <w:noProof/>
        </w:rPr>
        <w:t>Retsgrundlag</w:t>
      </w:r>
    </w:p>
    <w:p>
      <w:pPr>
        <w:pStyle w:val="ManualHeading2"/>
        <w:rPr>
          <w:noProof/>
        </w:rPr>
      </w:pPr>
      <w:r>
        <w:t>4.1.</w:t>
      </w:r>
      <w:r>
        <w:tab/>
      </w:r>
      <w:r>
        <w:rPr>
          <w:noProof/>
        </w:rPr>
        <w:t>Proceduremæssigt retsgrundlag</w:t>
      </w:r>
    </w:p>
    <w:p>
      <w:pPr>
        <w:pStyle w:val="ManualHeading3"/>
        <w:rPr>
          <w:noProof/>
        </w:rPr>
      </w:pPr>
      <w:r>
        <w:t>4.1.1.</w:t>
      </w:r>
      <w:r>
        <w:tab/>
      </w:r>
      <w:r>
        <w:rPr>
          <w:noProof/>
        </w:rPr>
        <w:t>Principper</w:t>
      </w:r>
    </w:p>
    <w:p>
      <w:pPr>
        <w:spacing w:before="0" w:after="240"/>
        <w:rPr>
          <w:noProof/>
          <w:szCs w:val="24"/>
        </w:rPr>
      </w:pPr>
      <w:r>
        <w:rPr>
          <w:noProof/>
        </w:rPr>
        <w:t>Artikel 218, stk. 9, i TEUF muliggør beslutninger, der fastsætter "hvilke holdninger der skal indtages på Unionens vegne i et organ nedsat ved en aftale, når dette organ skal vedtage retsakter, der har retsvirkninger, bortset fra retsakter, der supplerer eller ændrer den institutionelle ramme for aftalen."</w:t>
      </w:r>
    </w:p>
    <w:p>
      <w:pPr>
        <w:spacing w:before="0" w:after="240"/>
        <w:rPr>
          <w:noProof/>
          <w:szCs w:val="24"/>
        </w:rPr>
      </w:pPr>
      <w:r>
        <w:rPr>
          <w:noProof/>
        </w:rPr>
        <w:t>Begrebet "retsakter, der har retsvirkninger" omfatter retsakter, der har retsvirkninger i medfør af de folkeretlige regler, der gælder for det pågældende organ. Det omfatter også instrumenter, der ikke har bindende virkning i henhold til folkeretten, men som vil kunne få afgørende indflydelse på indholdet af de regler, der vedtages af EU-lovgiver</w:t>
      </w:r>
      <w:r>
        <w:rPr>
          <w:rStyle w:val="FootnoteReference"/>
          <w:noProof/>
          <w:szCs w:val="24"/>
        </w:rPr>
        <w:footnoteReference w:id="3"/>
      </w:r>
      <w:r>
        <w:rPr>
          <w:noProof/>
        </w:rPr>
        <w:t>.</w:t>
      </w:r>
    </w:p>
    <w:p>
      <w:pPr>
        <w:pStyle w:val="ManualHeading3"/>
        <w:rPr>
          <w:noProof/>
        </w:rPr>
      </w:pPr>
      <w:r>
        <w:lastRenderedPageBreak/>
        <w:t>4.1.2.</w:t>
      </w:r>
      <w:r>
        <w:tab/>
      </w:r>
      <w:r>
        <w:rPr>
          <w:noProof/>
        </w:rPr>
        <w:t>Princippernes anvendelse på det foreliggende tilfælde</w:t>
      </w:r>
    </w:p>
    <w:p>
      <w:pPr>
        <w:spacing w:before="0" w:after="240"/>
        <w:rPr>
          <w:noProof/>
          <w:color w:val="0D0D0D" w:themeColor="text1" w:themeTint="F2"/>
          <w:szCs w:val="24"/>
        </w:rPr>
      </w:pPr>
      <w:r>
        <w:rPr>
          <w:noProof/>
          <w:color w:val="0D0D0D" w:themeColor="text1" w:themeTint="F2"/>
          <w:szCs w:val="24"/>
        </w:rPr>
        <w:t>Den retsakt, som ITTC vedtager, er en retsakt, der har retsvirkninger.</w:t>
      </w:r>
    </w:p>
    <w:p>
      <w:pPr>
        <w:spacing w:before="0" w:after="240"/>
        <w:rPr>
          <w:noProof/>
          <w:color w:val="0D0D0D" w:themeColor="text1" w:themeTint="F2"/>
          <w:szCs w:val="24"/>
        </w:rPr>
      </w:pPr>
      <w:r>
        <w:rPr>
          <w:noProof/>
          <w:color w:val="0D0D0D" w:themeColor="text1" w:themeTint="F2"/>
          <w:szCs w:val="24"/>
        </w:rPr>
        <w:t>Den påtænkte retsakt supplerer eller ændrer ikke den institutionelle ramme for aftalen.</w:t>
      </w:r>
    </w:p>
    <w:p>
      <w:pPr>
        <w:spacing w:before="0" w:after="240"/>
        <w:rPr>
          <w:noProof/>
        </w:rPr>
      </w:pPr>
      <w:r>
        <w:rPr>
          <w:noProof/>
        </w:rPr>
        <w:t>Det proceduremæssige retsgrundlag for den foreslåede afgørelse er derfor artikel 218, stk. 9, i TEUF.</w:t>
      </w:r>
    </w:p>
    <w:p>
      <w:pPr>
        <w:pStyle w:val="ManualHeading2"/>
        <w:rPr>
          <w:noProof/>
        </w:rPr>
      </w:pPr>
      <w:r>
        <w:t>4.2.</w:t>
      </w:r>
      <w:r>
        <w:tab/>
      </w:r>
      <w:r>
        <w:rPr>
          <w:noProof/>
        </w:rPr>
        <w:t>Materielt retsgrundlag</w:t>
      </w:r>
    </w:p>
    <w:p>
      <w:pPr>
        <w:pStyle w:val="ManualHeading3"/>
        <w:rPr>
          <w:noProof/>
        </w:rPr>
      </w:pPr>
      <w:r>
        <w:t>4.2.1.</w:t>
      </w:r>
      <w:r>
        <w:tab/>
      </w:r>
      <w:r>
        <w:rPr>
          <w:noProof/>
        </w:rPr>
        <w:t>Principper</w:t>
      </w:r>
    </w:p>
    <w:p>
      <w:pPr>
        <w:spacing w:before="0" w:after="240"/>
        <w:rPr>
          <w:noProof/>
        </w:rPr>
      </w:pPr>
      <w:r>
        <w:rPr>
          <w:noProof/>
        </w:rPr>
        <w:t>Det materielle retsgrundlag for en afgørelse i henhold til artikel 218, stk. 9, i TEUF afhænger hovedsagelig af formålet med og indholdet af den påtænkte retsakt, hvortil der skal indtages en holdning på Unionens vegne. Hvis den påtænkte retsakt har et dobbelt formål eller består af to elementer, og det ene af disse formål eller elementer kan bestemmes som det primære, mens det andet kun er sekundært, skal den afgørelse, der vedtages i henhold til artikel 218, stk. 9, i TEUF, have et enkelt materielt retsgrundlag, nemlig det, der kræves af det primære eller fremherskende formål eller element.</w:t>
      </w:r>
    </w:p>
    <w:p>
      <w:pPr>
        <w:pStyle w:val="ManualHeading3"/>
        <w:rPr>
          <w:noProof/>
        </w:rPr>
      </w:pPr>
      <w:r>
        <w:t>4.2.2.</w:t>
      </w:r>
      <w:r>
        <w:tab/>
      </w:r>
      <w:r>
        <w:rPr>
          <w:noProof/>
        </w:rPr>
        <w:t>Princippernes anvendelse på det foreliggende tilfælde</w:t>
      </w:r>
    </w:p>
    <w:p>
      <w:pPr>
        <w:spacing w:before="0" w:after="240"/>
        <w:rPr>
          <w:noProof/>
        </w:rPr>
      </w:pPr>
      <w:r>
        <w:rPr>
          <w:noProof/>
        </w:rPr>
        <w:t xml:space="preserve">Den påtænkte retsakts primære formål og indhold vedrører den fælles handelspolitik. </w:t>
      </w:r>
    </w:p>
    <w:p>
      <w:pPr>
        <w:spacing w:before="0" w:after="240"/>
        <w:rPr>
          <w:noProof/>
        </w:rPr>
      </w:pPr>
      <w:r>
        <w:rPr>
          <w:noProof/>
        </w:rPr>
        <w:t>Det materielle retsgrundlag for den foreslåede afgørelse er derfor artikel 207 i TEUF.</w:t>
      </w:r>
    </w:p>
    <w:p>
      <w:pPr>
        <w:pStyle w:val="ManualHeading2"/>
        <w:rPr>
          <w:noProof/>
        </w:rPr>
      </w:pPr>
      <w:r>
        <w:t>4.3.</w:t>
      </w:r>
      <w:r>
        <w:tab/>
      </w:r>
      <w:r>
        <w:rPr>
          <w:noProof/>
        </w:rPr>
        <w:t>Konklusion</w:t>
      </w:r>
    </w:p>
    <w:p>
      <w:pPr>
        <w:spacing w:before="0" w:after="240"/>
        <w:rPr>
          <w:noProof/>
        </w:rPr>
      </w:pPr>
      <w:r>
        <w:rPr>
          <w:noProof/>
        </w:rPr>
        <w:t>Retsgrundlaget for den foreslåede retsakt bør være artikel 207 i TEUF sammenholdt med artikel 218, stk. 9, i TEUF.</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2021/0057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som Den Europæiske Union skal indtage i Det Internationale Råd for Tropisk Træ, for så vidt angår forlængelsen af den internationale overenskomst om tropisk træ af 2006</w:t>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207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Den internationale overenskomst om tropisk træ af 2006 (ITTA af 2006)</w:t>
      </w:r>
      <w:r>
        <w:rPr>
          <w:noProof/>
        </w:rPr>
        <w:tab/>
        <w:t>blev indgået af Unionen ved Rådets afgørelse 2011/731/EU</w:t>
      </w:r>
      <w:r>
        <w:rPr>
          <w:rStyle w:val="FootnoteReference"/>
          <w:noProof/>
        </w:rPr>
        <w:footnoteReference w:id="4"/>
      </w:r>
      <w:r>
        <w:rPr>
          <w:noProof/>
        </w:rPr>
        <w:t xml:space="preserve"> og trådte i kraft den 7. december 2011.</w:t>
      </w:r>
    </w:p>
    <w:p>
      <w:pPr>
        <w:pStyle w:val="ManualConsidrant"/>
        <w:rPr>
          <w:noProof/>
          <w:szCs w:val="24"/>
        </w:rPr>
      </w:pPr>
      <w:r>
        <w:t>(2)</w:t>
      </w:r>
      <w:r>
        <w:tab/>
      </w:r>
      <w:r>
        <w:rPr>
          <w:noProof/>
        </w:rPr>
        <w:t>I henhold til artikel 44, stk. 1, i ITTA af 2006 forbliver overenskomsten i kraft i en periode på ti år regnet fra ikrafttrædelsesdatoen — indtil den 6. december 2021 — medmindre Det Internationale Råd for Tropisk Træ med kvalificeret flertal, jf. artikel 12, træffer afgørelse om at forlænge dens gyldighedsperiode, at genforhandle den eller at bringe den til ophør i overensstemmelse med bestemmelserne i nævnte artikel.</w:t>
      </w:r>
    </w:p>
    <w:p>
      <w:pPr>
        <w:pStyle w:val="ManualConsidrant"/>
        <w:rPr>
          <w:noProof/>
          <w:szCs w:val="24"/>
        </w:rPr>
      </w:pPr>
      <w:r>
        <w:t>(3)</w:t>
      </w:r>
      <w:r>
        <w:tab/>
      </w:r>
      <w:r>
        <w:rPr>
          <w:noProof/>
        </w:rPr>
        <w:t xml:space="preserve">Det Internationale Råd for Tropisk Træ — den højeste myndighed i Den Internationale Organisation for Tropisk Træ (ITTO) — der henhold til artikel 6 i ITTA af 2006 består af alle medlemmer af ITTO, kan træffe afgørelse om at forlænge ITTA af 2006 to gange, første gang med en periode på fem år og en yderligere periode på tre år, jf. artikel 44, stk. 2. </w:t>
      </w:r>
    </w:p>
    <w:p>
      <w:pPr>
        <w:pStyle w:val="ManualConsidrant"/>
        <w:rPr>
          <w:noProof/>
          <w:szCs w:val="24"/>
        </w:rPr>
      </w:pPr>
      <w:r>
        <w:t>(4)</w:t>
      </w:r>
      <w:r>
        <w:tab/>
      </w:r>
      <w:r>
        <w:rPr>
          <w:noProof/>
        </w:rPr>
        <w:t>Det Internationale Råd for Tropisk Træ træffer afgørelse om forlængelsen af ITTA af 2006, enten ved dets 57. samling, der afholdes i november 2021, eller mellem møderne efter en procedure, efter hvilken det kan træffe afgørelser uden at afholde møde.</w:t>
      </w:r>
    </w:p>
    <w:p>
      <w:pPr>
        <w:pStyle w:val="ManualConsidrant"/>
        <w:rPr>
          <w:noProof/>
        </w:rPr>
      </w:pPr>
      <w:r>
        <w:t>(5)</w:t>
      </w:r>
      <w:r>
        <w:tab/>
      </w:r>
      <w:r>
        <w:rPr>
          <w:noProof/>
        </w:rPr>
        <w:t>Forlængelsen af ITTA af 2006 med første gang en periode på fem år er i Den Europæiske Unions interesse, da ITTO stadig befinder sig i den første fase af økonomisk genopretning og er i gang med at reformere sin finansielle struktur.</w:t>
      </w:r>
    </w:p>
    <w:p>
      <w:pPr>
        <w:pStyle w:val="ManualConsidrant"/>
        <w:rPr>
          <w:noProof/>
        </w:rPr>
      </w:pPr>
      <w:r>
        <w:t>(6)</w:t>
      </w:r>
      <w:r>
        <w:tab/>
      </w:r>
      <w:r>
        <w:rPr>
          <w:noProof/>
        </w:rPr>
        <w:t>Unionens holdning i Det Internationale Råd for Tropisk Træ bør fastlægges —</w:t>
      </w:r>
    </w:p>
    <w:p>
      <w:pPr>
        <w:rPr>
          <w:noProof/>
        </w:rPr>
      </w:pPr>
    </w:p>
    <w:p>
      <w:pPr>
        <w:pStyle w:val="Formuledadoption"/>
        <w:rPr>
          <w:noProof/>
        </w:rPr>
      </w:pPr>
      <w:r>
        <w:rPr>
          <w:noProof/>
        </w:rPr>
        <w:lastRenderedPageBreak/>
        <w:t>VEDTAGET DENNE AFGØRELSE:</w:t>
      </w:r>
    </w:p>
    <w:p>
      <w:pPr>
        <w:pStyle w:val="Titrearticle"/>
        <w:rPr>
          <w:noProof/>
        </w:rPr>
      </w:pPr>
      <w:r>
        <w:rPr>
          <w:noProof/>
        </w:rPr>
        <w:t>Artikel 1</w:t>
      </w:r>
    </w:p>
    <w:p>
      <w:pPr>
        <w:rPr>
          <w:i/>
          <w:noProof/>
        </w:rPr>
      </w:pPr>
      <w:r>
        <w:rPr>
          <w:noProof/>
        </w:rPr>
        <w:t>Den Europæiske Unions holdning i Det Internationale Råd for Tropisk Træ er at godkende eller stemme for en forlængelse af den internationale overenskomst om tropisk træ af 2006 med en indledende periode på fem år.</w:t>
      </w:r>
    </w:p>
    <w:p>
      <w:pPr>
        <w:pStyle w:val="Titrearticle"/>
        <w:rPr>
          <w:noProof/>
        </w:rPr>
      </w:pPr>
      <w:r>
        <w:rPr>
          <w:noProof/>
        </w:rPr>
        <w:t>Artikel 2</w:t>
      </w:r>
    </w:p>
    <w:p>
      <w:pPr>
        <w:rPr>
          <w:noProof/>
        </w:rPr>
      </w:pPr>
      <w:r>
        <w:rPr>
          <w:noProof/>
        </w:rPr>
        <w:t>Denne afgørelse er rettet til Kommissionen.</w:t>
      </w:r>
      <w:r>
        <w:rPr>
          <w:rFonts w:ascii="Calibri" w:hAnsi="Calibri"/>
          <w:noProof/>
          <w:color w:val="1F497D"/>
          <w:sz w:val="22"/>
        </w:rPr>
        <w:t xml:space="preserve"> </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2007/648/EF: Rådets afgørelse af 26. september 2007 om undertegnelse på Det Europæiske Fællesskabs vegne og foreløbig anvendelse af den internationale overenskomst om tropisk træ af 2006 (EUT L 262 af 9.10.2007, s. 6).</w:t>
      </w:r>
    </w:p>
  </w:footnote>
  <w:footnote w:id="2">
    <w:p>
      <w:pPr>
        <w:pStyle w:val="FootnoteText"/>
      </w:pPr>
      <w:r>
        <w:rPr>
          <w:rStyle w:val="FootnoteReference"/>
        </w:rPr>
        <w:footnoteRef/>
      </w:r>
      <w:r>
        <w:tab/>
        <w:t>ITTO blev oprettet ved ITTA af 1983.</w:t>
      </w:r>
    </w:p>
  </w:footnote>
  <w:footnote w:id="3">
    <w:p>
      <w:pPr>
        <w:pStyle w:val="FootnoteText"/>
      </w:pPr>
      <w:r>
        <w:rPr>
          <w:rStyle w:val="FootnoteReference"/>
        </w:rPr>
        <w:footnoteRef/>
      </w:r>
      <w:r>
        <w:tab/>
        <w:t>Domstolens dom af 7. oktober 2014, Tyskland mod Rådet, C-399/12, ECLI:EU:C:2014:2258, præmis 61-64.</w:t>
      </w:r>
    </w:p>
  </w:footnote>
  <w:footnote w:id="4">
    <w:p>
      <w:pPr>
        <w:pStyle w:val="FootnoteText"/>
      </w:pPr>
      <w:r>
        <w:rPr>
          <w:rStyle w:val="FootnoteReference"/>
        </w:rPr>
        <w:footnoteRef/>
      </w:r>
      <w:r>
        <w:tab/>
        <w:t>Rådets afgørelse 2011/731/EU af 8. november 2011 om indgåelse på Den Europæiske Unions vegne af den internationale overenskomst om tropisk træ af 2006 (EUT L 294 af 12.11.2011,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8E15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D63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18724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7454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E619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EF0F97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CABE3E"/>
    <w:lvl w:ilvl="0">
      <w:start w:val="1"/>
      <w:numFmt w:val="decimal"/>
      <w:pStyle w:val="ListNumber"/>
      <w:lvlText w:val="%1."/>
      <w:lvlJc w:val="left"/>
      <w:pPr>
        <w:tabs>
          <w:tab w:val="num" w:pos="360"/>
        </w:tabs>
        <w:ind w:left="360" w:hanging="360"/>
      </w:pPr>
    </w:lvl>
  </w:abstractNum>
  <w:abstractNum w:abstractNumId="7">
    <w:nsid w:val="FFFFFF89"/>
    <w:multiLevelType w:val="singleLevel"/>
    <w:tmpl w:val="8BD4E5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6"/>
  </w:num>
  <w:num w:numId="4">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3 10:18: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1C4E4C1-667A-4987-81CB-1EBEA95C2A24"/>
    <w:docVar w:name="LW_COVERPAGE_TYPE" w:val="1"/>
    <w:docVar w:name="LW_CROSSREFERENCE" w:val="&lt;UNUSED&gt;"/>
    <w:docVar w:name="LW_DocType" w:val="COM"/>
    <w:docVar w:name="LW_EMISSION" w:val="10.3.2021"/>
    <w:docVar w:name="LW_EMISSION_ISODATE" w:val="2021-03-10"/>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57"/>
    <w:docVar w:name="LW_REF.II.NEW.CP_YEAR" w:val="2021"/>
    <w:docVar w:name="LW_REF.INST.NEW" w:val="COM"/>
    <w:docVar w:name="LW_REF.INST.NEW_ADOPTED" w:val="final"/>
    <w:docVar w:name="LW_REF.INST.NEW_TEXT" w:val="(2021)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som Den Europæiske Union skal indtage i Det Internationale Råd for Tropisk Træ, for så vidt angår forlængelsen af den internationale overenskomst om tropisk træ af 2006"/>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1445</Words>
  <Characters>7818</Characters>
  <Application>Microsoft Office Word</Application>
  <DocSecurity>0</DocSecurity>
  <Lines>144</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2021-01-12T10:08:00Z</cp:lastPrinted>
  <dcterms:created xsi:type="dcterms:W3CDTF">2021-02-25T15:21:00Z</dcterms:created>
  <dcterms:modified xsi:type="dcterms:W3CDTF">2021-03-03T09:18:00Z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