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33C5639-D9A9-4761-AB2D-F9C33B6CF786" style="width:450.75pt;height:379.9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Предмет на предложението</w:t>
      </w:r>
    </w:p>
    <w:p>
      <w:pP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Настоящото предложение се отнася до решение на Съвета за установяване на позицията, която трябва да се заеме от Европейския съюз в рамките на Международния съвет за тропически дървен материал, във връзка с предложеното удължаване на срока на действие на Международното споразумение за тропическия дървен материал от 2006 г. (наричано по-долу „МСТДМ от 2006 г.“ или „споразумението“).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Контекст на предложението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Международното споразумение за тропическия дървен материал от 2006 г.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Целта на МСТДМ от 2006 г. е да се насърчи разширяването и разнообразяването на международната търговия с тропически дървен материал от устойчиво стопанисвани гори и законно добит от гори и да се подпомогне устойчивото стопанисване на горите, произвеждащи тропически дървен материал. Европейският съюз е страна по МСТДМ от 2006 г.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. 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МСТДМ от 2006 г. замени МСТДМ от 1994 г., като първото МСТДМ бе прието през 1983 г. (МСТДМ от 1983 г.). 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МСТДМ от 2006 г. (прието през 2006 г.) влезе в сила на 7 декември 2011 г. за срок от десет години. Следователно срокът му на действие изтича на 6 декември 2021 г., освен ако Международният съвет за тропически дървен материал не реши чрез специално гласуване да го удължи, да го предоговори или да го прекрати в съответствие с член 44, параграф 1 от МСТДМ от 2006 г. В съответствие с член 44, параграф 2 срокът на действие на МСТДМ от 2006 г. може да бъде удължен за първоначален период от пет години и допълнителен от три години.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Международният съвет за тропически дървен материал</w:t>
      </w:r>
    </w:p>
    <w:p>
      <w:pPr>
        <w:spacing w:before="0" w:after="240"/>
        <w:rPr>
          <w:rFonts w:eastAsia="Arial Unicode MS"/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>Съгласно член 6, параграф 1 от МСТДМ от 2006 г. Международният съвет за тропически дървен материал е висшият орган на Международната организация за тропически дървен материал (МОТДМ)</w:t>
      </w:r>
      <w:r>
        <w:rPr>
          <w:rStyle w:val="FootnoteReference"/>
          <w:rFonts w:eastAsia="Arial Unicode MS"/>
          <w:noProof/>
          <w:color w:val="0D0D0D" w:themeColor="text1" w:themeTint="F2"/>
          <w:szCs w:val="24"/>
        </w:rPr>
        <w:footnoteReference w:id="2"/>
      </w:r>
      <w:r>
        <w:rPr>
          <w:noProof/>
          <w:color w:val="0D0D0D" w:themeColor="text1" w:themeTint="F2"/>
          <w:szCs w:val="24"/>
        </w:rPr>
        <w:t>. МОТДМ представлява около 80 % от тропическите гори в света и над 90 % от търговията с дървен материал и продукти от дървен материал. Международният съвет за тропически дървен материал се състои от всички членове на МОТДМ. В МОТДМ има две категории членство: производител и потребител.</w:t>
      </w:r>
      <w:r>
        <w:rPr>
          <w:noProof/>
        </w:rPr>
        <w:t xml:space="preserve"> </w:t>
      </w:r>
      <w:r>
        <w:rPr>
          <w:noProof/>
          <w:color w:val="0D0D0D" w:themeColor="text1" w:themeTint="F2"/>
          <w:szCs w:val="24"/>
        </w:rPr>
        <w:t xml:space="preserve">В съответствие с член 44, параграф 1 Международният съвет за тропически дървен материал може чрез специално гласуване да реши да удължи срока на действие на МСТДМ от 2006 г., да го предоговори или да го прекрати, докато в съответствие с член 44, параграф 2 срокът на действие на споразумението може да бъде удължен за първоначален период от пет години и допълнителен от три години. В съответствие с член 12, параграф 1 Международният съвет за тропически дървен материал се стреми да взема всички решения и да прави всички препоръки с консенсус. Ако не може да бъде постигнат консенсус, в съответствие с член 44, параграф 1 Международният съвет за тропически дървен материал взема решение относно МСТДМ от 2006 г. със </w:t>
      </w:r>
      <w:r>
        <w:rPr>
          <w:noProof/>
          <w:color w:val="0D0D0D" w:themeColor="text1" w:themeTint="F2"/>
          <w:szCs w:val="24"/>
        </w:rPr>
        <w:lastRenderedPageBreak/>
        <w:t>специално гласуване. В съответствие с член 2, параграф 8 „специално гласуване“ означава гласуване, изискващо поне две трети от гласовете, подадени от присъстващите и гласуващи членове производители, и поне 60 % от гласовете, подадени от присъстващите и гласуващи членове потребители, броени отделно, при условие че тези гласове са подадени от поне половината от присъстващите и гласуващи членове производители и от поне половината от присъстващите и гласуващи членове потребители. В съответствие с член 7, буква а) Международният съвет за тропически дървен материал може също така да взема решения, без да провежда заседание.</w:t>
      </w:r>
    </w:p>
    <w:p>
      <w:pPr>
        <w:spacing w:before="0" w:after="240"/>
        <w:rPr>
          <w:rFonts w:eastAsia="Arial Unicode MS"/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>Членовете на Международния съвет за тропически дървен материал разполагат с общо 2000 гласа (всяка от групите на производителите и потребителите разполага с по 1000 гласа).</w:t>
      </w:r>
      <w:r>
        <w:rPr>
          <w:rFonts w:asciiTheme="minorHAnsi" w:hAnsiTheme="minorHAnsi"/>
          <w:noProof/>
          <w:sz w:val="22"/>
        </w:rPr>
        <w:t xml:space="preserve"> </w:t>
      </w:r>
      <w:r>
        <w:rPr>
          <w:noProof/>
          <w:color w:val="0D0D0D" w:themeColor="text1" w:themeTint="F2"/>
          <w:szCs w:val="24"/>
        </w:rPr>
        <w:t>Годишните вноски и гласовете се разпределят поравно между тези две групи. В рамките на всяка група таксите и гласовете на отделните членове се изчисляват въз основа на търговията с тропически дървен материал, а при производителите — въз основа на размера на тропическите гори в държавата. ЕС плаща най-големия изчислен дял от вноските (заплащани от Комисията за всички държави членки) в административния бюджет на МОТДМ, има най-голям брой гласове (и най-голям брой членове потребители) и може да има блокиращо малцинство в случай на специално гласуване.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Предвиденото удължаване на срока на действие на МСТДМ от 2006 г.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МОТДМ се сблъска със сериозни финансови проблеми, свързани с лоши инвестиции на средства от бивш ръководен екип на секретариата, довели до загуба от 18 милиона щатски долара през периода 2012—2015 г. 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МОТДМ е в процес на финансово възстановяване, макар и той да е все още на ранен етап, с цел преодоляване на недостига на финансови средства и проблемите от управленски характер във връзка с проекти и дейности, и започна реформа на своята финансова структура. Пилотната фаза на новата финансова структура ще продължи до 2022 г.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Удължаването на срока на действие на МСТДМ от 2006 г. ще предостави на МОТДМ и нейните членове необходимото време за продължаване на работата по реформирането на финансовата структура на организацията, както и за цялостното финансово стабилизиране на МОТДМ, и за определяне на необходимостта от съществено преразглеждане на МСТДМ от 2006 г. в бъдеще.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Позиция, която трябва да се заеме от името на Съюза</w:t>
      </w:r>
    </w:p>
    <w:p>
      <w:pPr>
        <w:spacing w:before="0" w:after="240"/>
        <w:rPr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 xml:space="preserve">Предвиденият акт е решение на Съвета относно позицията, която трябва да се заеме от името на Съюза, въз основа на член 218, параграф 9 от Договора за функционирането на Европейския съюз (ДФЕС). </w:t>
      </w:r>
    </w:p>
    <w:p>
      <w:pPr>
        <w:spacing w:before="0" w:after="240"/>
        <w:rPr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>Целта на настоящото предложение е Съветът да упълномощи Комисията да даде одобрение или да гласува от името на Съюза в подкрепа на удължаването на срока на действие на МСТДМ от 2006 г. в рамките на Международният съвет за тропически дървен материал.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Правно основание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Процесуалноправно основание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Принципи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В член 218, параграф 9 от ДФЕС се предвижда приемането на решения за установяване на „позициите, които трябва да се заемат от името на Съюза в рамките на орган, създаден със споразумение, когато този орган има за задача да приема актове с правно действие, с изключение на актовете за допълнение или изменение на институционалната рамка на споразумението“.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Понятието „актове с правно действие“ включва актове с правно действие по силата на нормите на международното право, които уреждат съответния орган. То включва и инструменти, които нямат обвързващ характер съгласно международното право, но са „годни да окажат съществено въздействие върху съдържанието на приеманата от законодателя на Съюза нормативна уредба“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Приложение в конкретния случай</w:t>
      </w:r>
    </w:p>
    <w:p>
      <w:pPr>
        <w:spacing w:before="0" w:after="240"/>
        <w:rPr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>Актът, който Международният съвет за тропически дървен материал може да реши да приеме, представлява акт с правно действие.</w:t>
      </w:r>
    </w:p>
    <w:p>
      <w:pPr>
        <w:spacing w:before="0" w:after="240"/>
        <w:rPr>
          <w:noProof/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t>Предвиденият акт не допълва, нито изменя институционалната рамка на споразумението.</w:t>
      </w:r>
    </w:p>
    <w:p>
      <w:pPr>
        <w:spacing w:before="0" w:after="240"/>
        <w:rPr>
          <w:noProof/>
        </w:rPr>
      </w:pPr>
      <w:r>
        <w:rPr>
          <w:noProof/>
        </w:rPr>
        <w:t>Поради това процесуалноправното основание за предложеното решение е член 218, параграф 9 от ДФЕС.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Материалноправно основание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Принципи</w:t>
      </w:r>
    </w:p>
    <w:p>
      <w:pPr>
        <w:spacing w:before="0" w:after="240"/>
        <w:rPr>
          <w:noProof/>
        </w:rPr>
      </w:pPr>
      <w:r>
        <w:rPr>
          <w:noProof/>
        </w:rPr>
        <w:t>Материалноправното основание за дадено решение съгласно член 218, параграф 9 от ДФЕС зависи преди всичко от целта и съдържанието на предвидения акт, във връзка с който се заема позиция от името на Съюза. Ако предвиденият акт преследва две цели или се състои от две части и ако едната от целите или частите може да се определи като основна, докато другата е само акцесорна, решението съгласно член 218, параграф 9 от ДФЕС трябва да се основава на едно-единствено материалноправно основание, а именно на изискваното от основната или преобладаващата цел или част.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Приложение в конкретния случай</w:t>
      </w:r>
    </w:p>
    <w:p>
      <w:pPr>
        <w:spacing w:before="0" w:after="240"/>
        <w:rPr>
          <w:noProof/>
        </w:rPr>
      </w:pPr>
      <w:r>
        <w:rPr>
          <w:noProof/>
        </w:rPr>
        <w:t xml:space="preserve">Основната цел и съдържание на предвидения акт са свързани с общата търговска политика. </w:t>
      </w:r>
    </w:p>
    <w:p>
      <w:pPr>
        <w:spacing w:before="0" w:after="240"/>
        <w:rPr>
          <w:noProof/>
        </w:rPr>
      </w:pPr>
      <w:r>
        <w:rPr>
          <w:noProof/>
        </w:rPr>
        <w:t>Поради това материалноправното основание за предложеното решение е член 207 от ДФЕС.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Заключение</w:t>
      </w:r>
    </w:p>
    <w:p>
      <w:pPr>
        <w:spacing w:before="0" w:after="240"/>
        <w:rPr>
          <w:noProof/>
        </w:rPr>
      </w:pPr>
      <w:r>
        <w:rPr>
          <w:noProof/>
        </w:rPr>
        <w:t>Правното основание за предложеното решение следва да бъде член 207 от ДФЕС във връзка с член 218, параграф 9 от ДФЕС.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2021/0057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относно позицията, която трябва да се заеме от Европейския съюз в рамките на Международния съвет за тропически дървен материал относно удължаването на срока на действие на Международното споразумение за тропическия дървен материал от 2006 г.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207 във връзка с член 218, параграф 9 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Международното споразумение за тропическия дървен материал от 2006 г. (МСТДМ от 2006 г.)</w:t>
      </w:r>
      <w:r>
        <w:rPr>
          <w:noProof/>
        </w:rPr>
        <w:tab/>
        <w:t>бе сключено от Съюза с Решение 2011/731/ЕС на Съвета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и влезе в сила на 7 декември 2011 г.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В съответствие с член 44, параграф 1 от МСТДМ от 2006 г. споразумението ще остане в сила за срок от десет години след влизането му в сила — до 6 декември 2021 г. — освен ако Международният съвет за тропически дървен материал, със специално гласуване в съответствие с член 12, не реши да удължи срока, да го предоговори или да го прекрати в съответствие с разпоредбите на посочения член.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 xml:space="preserve">Международният съвет за тропически дървен материал — в качеството си на висш орган на Международната организация за тропически дървен материал (МОТДМ) — състоящ се от всички членове на МСТДМ в съответствие с член 6 от МСТДМ от 2006 г. — в съответствие с член 44, параграф 2 може да реши да удължи срока на действие на МСТДМ от 2006 г. за два периода — първоначален период от пет години и допълнителен от три години.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Международният съвет за тропически дървен материал ще вземе решение за удължаване на срока на действие на МСТДМ от 2006 г. или на своята 57-та сесия, която ще се проведе през ноември 2021 г., или в периода между сесиите чрез процес на вземане на решение без провеждане на заседание.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Удължаването на срока на действие на МСТДМ от 2006 г. за първоначален период от пет години е в интерес на Европейския съюз, тъй като МОТДМ все още е в ранните етапи на финансово възстановяване и на процеса на реформиране на финансовата си структура.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Следва да бъде установена позицията на Съюза в рамките на Международния съвет за тропически дървен материал,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 1</w:t>
      </w:r>
    </w:p>
    <w:p>
      <w:pPr>
        <w:rPr>
          <w:i/>
          <w:noProof/>
        </w:rPr>
      </w:pPr>
      <w:r>
        <w:rPr>
          <w:noProof/>
        </w:rPr>
        <w:t>Позицията на Европейския съюз в рамките на Международния съвет за тропически дървен материал е да се даде одобрение или да се гласува в подкрепа на удължаването на срока на действие на Международното споразумение за тропическия дървен материал от 2006 г. за първоначален период от пет години.</w:t>
      </w:r>
    </w:p>
    <w:p>
      <w:pPr>
        <w:pStyle w:val="Titrearticle"/>
        <w:rPr>
          <w:noProof/>
        </w:rPr>
      </w:pPr>
      <w:r>
        <w:rPr>
          <w:noProof/>
        </w:rPr>
        <w:t>Член 2</w:t>
      </w:r>
    </w:p>
    <w:p>
      <w:pPr>
        <w:rPr>
          <w:noProof/>
        </w:rPr>
      </w:pPr>
      <w:r>
        <w:rPr>
          <w:noProof/>
        </w:rPr>
        <w:t>Адресат на настоящото решение е Комисията.</w:t>
      </w:r>
      <w:r>
        <w:rPr>
          <w:rFonts w:ascii="Calibri" w:hAnsi="Calibri"/>
          <w:noProof/>
          <w:color w:val="1F497D"/>
          <w:sz w:val="22"/>
        </w:rPr>
        <w:t xml:space="preserve"> 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2007/648/ЕО: Решение на Съвета от 26 септември 2007 г. за подписване от името на Европейската общност и временно прилагане на Международното споразумение за тропическия дървен материал от 2006 г. (ОВ L 262, 9.10.2007 г., стр. 6—7).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МОТДМ е създадена с МСТДМ от 1983 г.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Решение на Съда на Европейския съюз от 7 октомври 2014 г., Германия/Съвет, C-399/12, ECLI:EU:C:2014:2258, т. 61—64.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Решение 2011/731/ЕС на Съвета от 8 ноември 2011 г. относно сключването, от името на Европейския съюз, на Международното споразумение за тропическия дървен материал от 2006 г. (ОВ L 294, 12.11.2011 г., стр.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8E15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D633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E187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C7454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E619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EF0F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CAB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BD4E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6"/>
  </w:num>
  <w:num w:numId="4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03 10:16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33C5639-D9A9-4761-AB2D-F9C33B6CF786"/>
    <w:docVar w:name="LW_COVERPAGE_TYPE" w:val="1"/>
    <w:docVar w:name="LW_CROSSREFERENCE" w:val="&lt;UNUSED&gt;"/>
    <w:docVar w:name="LW_DocType" w:val="COM"/>
    <w:docVar w:name="LW_EMISSION" w:val="10.3.2021"/>
    <w:docVar w:name="LW_EMISSION_ISODATE" w:val="2021-03-10"/>
    <w:docVar w:name="LW_EMISSION_LOCATION" w:val="BRX"/>
    <w:docVar w:name="LW_EMISSION_PREFIX" w:val="Брюксел, "/>
    <w:docVar w:name="LW_EMISSION_SUFFIX" w:val=" \u1075?.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7"/>
    <w:docVar w:name="LW_REF.II.NEW.CP_YEAR" w:val="2021"/>
    <w:docVar w:name="LW_REF.INST.NEW" w:val="COM"/>
    <w:docVar w:name="LW_REF.INST.NEW_ADOPTED" w:val="final"/>
    <w:docVar w:name="LW_REF.INST.NEW_TEXT" w:val="(2021) 1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45?\u1074?\u1088?\u1086?\u1087?\u1077?\u1081?\u1089?\u1082?\u1080?\u1103? \u1089?\u1098?\u1102?\u1079? \u1074? \u1088?\u1072?\u1084?\u1082?\u1080?\u1090?\u1077? \u1085?\u1072? \u1052?\u1077?\u1078?\u1076?\u1091?\u1085?\u1072?\u1088?\u1086?\u1076?\u1085?\u1080?\u1103? \u1089?\u1098?\u1074?\u1077?\u1090? \u1079?\u1072? \u1090?\u1088?\u1086?\u1087?\u1080?\u1095?\u1077?\u1089?\u1082?\u1080? \u1076?\u1098?\u1088?\u1074?\u1077?\u1085? \u1084?\u1072?\u1090?\u1077?\u1088?\u1080?\u1072?\u1083? \u1086?\u1090?\u1085?\u1086?\u1089?\u1085?\u1086? \u1091?\u1076?\u1098?\u1083?\u1078?\u1072?\u1074?\u1072?\u1085?\u1077?\u1090?\u1086? \u1085?\u1072? \u1089?\u1088?\u1086?\u1082?\u1072? \u1085?\u1072? \u1076?\u1077?\u1081?\u1089?\u1090?\u1074?\u1080?\u1077? \u1085?\u1072? \u1052?\u1077?\u1078?\u1076?\u1091?\u1085?\u1072?\u1088?\u1086?\u1076?\u1085?\u1086?\u1090?\u1086? \u1089?\u1087?\u1086?\u1088?\u1072?\u1079?\u1091?\u1084?\u1077?\u1085?\u1080?\u1077? \u1079?\u1072? \u1090?\u1088?\u1086?\u1087?\u1080?\u1095?\u1077?\u1089?\u1082?\u1080?\u1103? \u1076?\u1098?\u1088?\u1074?\u1077?\u1085? \u1084?\u1072?\u1090?\u1077?\u1088?\u1080?\u1072?\u1083? \u1086?\u1090? 2006 \u1075?.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1617</Words>
  <Characters>8641</Characters>
  <Application>Microsoft Office Word</Application>
  <DocSecurity>0</DocSecurity>
  <Lines>169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2021-01-12T10:08:00Z</cp:lastPrinted>
  <dcterms:created xsi:type="dcterms:W3CDTF">2021-02-25T07:19:00Z</dcterms:created>
  <dcterms:modified xsi:type="dcterms:W3CDTF">2021-03-03T09:16:00Z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