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A3804D2-F530-4790-9719-07972438C064" style="width:450.35pt;height:37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INDOKOLÁS</w:t>
      </w:r>
    </w:p>
    <w:p>
      <w:pPr>
        <w:pStyle w:val="ManualHeading1"/>
        <w:rPr>
          <w:noProof/>
          <w:szCs w:val="24"/>
        </w:rPr>
      </w:pPr>
      <w:r>
        <w:rPr>
          <w:noProof/>
        </w:rPr>
        <w:t>1.</w:t>
      </w:r>
      <w:r>
        <w:rPr>
          <w:noProof/>
        </w:rPr>
        <w:tab/>
        <w:t>A JAVASLAT HÁTTERE</w:t>
      </w:r>
    </w:p>
    <w:p>
      <w:pPr>
        <w:pStyle w:val="ManualHeading2"/>
        <w:rPr>
          <w:rFonts w:eastAsia="Arial Unicode MS"/>
          <w:noProof/>
          <w:szCs w:val="24"/>
        </w:rPr>
      </w:pPr>
      <w:r>
        <w:rPr>
          <w:noProof/>
          <w:color w:val="000000"/>
          <w:szCs w:val="24"/>
          <w:u w:color="000000"/>
          <w:bdr w:val="nil"/>
        </w:rPr>
        <w:t>•</w:t>
      </w:r>
      <w:r>
        <w:rPr>
          <w:noProof/>
          <w:color w:val="000000"/>
          <w:szCs w:val="24"/>
          <w:u w:color="000000"/>
          <w:bdr w:val="nil"/>
        </w:rPr>
        <w:tab/>
        <w:t>A javaslat indokai és céljai</w:t>
      </w:r>
    </w:p>
    <w:p>
      <w:pPr>
        <w:rPr>
          <w:noProof/>
          <w:szCs w:val="24"/>
        </w:rPr>
      </w:pPr>
      <w:r>
        <w:rPr>
          <w:noProof/>
        </w:rPr>
        <w:t>Az Európai Unió működéséről szóló szerződés (EUMSZ) rendelkezései az Unió legkülső régióira is alkalmazandók. A francia legkülső régiók azonban nem tartoznak a héára és a jövedéki adóra vonatkozó irányelvek területi hatálya alá.</w:t>
      </w:r>
    </w:p>
    <w:p>
      <w:pPr>
        <w:rPr>
          <w:noProof/>
          <w:szCs w:val="24"/>
        </w:rPr>
      </w:pPr>
      <w:r>
        <w:rPr>
          <w:noProof/>
        </w:rPr>
        <w:t>Az EUMSZ rendelkezései – különösen 110. cikke – elvben semmilyen eltérést nem tesznek lehetővé a francia legkülső régiókban a helyi termékek, illetőleg a francia anyaországból, más tagállamokból vagy harmadik országokból érkező termékek adóztatásában. Az EUMSZ 349. cikke azonban lehetőséget nyújt e régiókra vonatkozó olyan egyedi intézkedések bevezetésére, amelyeket a legkülső régiók gazdasági és társadalmi helyzetét érintő állandó korlátok indokolnak. E rendelkezések különféle szakpolitikákra, többek között az adópolitikára is vonatkoznak.</w:t>
      </w:r>
    </w:p>
    <w:p>
      <w:pPr>
        <w:rPr>
          <w:noProof/>
          <w:szCs w:val="24"/>
        </w:rPr>
      </w:pPr>
      <w:r>
        <w:rPr>
          <w:noProof/>
        </w:rPr>
        <w:t>Az ún. „octroi de mer” olyan közvetett adó, amely kizárólag Martinique, Guadeloupe, Francia Guyana, Réunion és Mayotte francia legkülső régiókban van hatályban. Ez az adó származási helytől függetlenül a termékbehozatalra, valamint a termelési tevékenységet folytató személyek által ellenérték fejében végzett termékértékesítésre alkalmazandó. Elvben ugyanúgy érvényes a helyben előállított, mint a behozatali termékekre.</w:t>
      </w:r>
    </w:p>
    <w:p>
      <w:pPr>
        <w:rPr>
          <w:noProof/>
          <w:szCs w:val="24"/>
        </w:rPr>
      </w:pPr>
      <w:r>
        <w:rPr>
          <w:noProof/>
        </w:rPr>
        <w:t>A 2014. december 17-i 940/2014/EU tanácsi határozat</w:t>
      </w:r>
      <w:r>
        <w:rPr>
          <w:rStyle w:val="FootnoteReference"/>
          <w:noProof/>
          <w:szCs w:val="24"/>
        </w:rPr>
        <w:footnoteReference w:id="1"/>
      </w:r>
      <w:r>
        <w:rPr>
          <w:noProof/>
        </w:rPr>
        <w:t xml:space="preserve"> azonban felhatalmazza Franciaországot arra, hogy az „octroi de mer” adó vonatkozásában 2020. december 31-ig mentességeket és kedvezményeket alkalmazzon azokra a termékekre, amelyek esetében van helyi termelés, a helyi termelés fenntartását potenciálisan veszélyeztető jelentős árubehozatal áll fenn, valamint olyan többletköltségek vannak, amelyek a külföldről származó termékekhez képest megdrágítják a helyi termelés önköltségi árát. Az említett határozat melléklete felsorolja azokat a termékeket, amelyekre az adómentesség vagy az adókedvezmény alkalmazható. A helyben előállított termékek és az egyéb termékek eltérő adóztatásának mértéke – a terméktől függően – nem haladhatja meg a 10, 20 vagy 30 százalékpontot.</w:t>
      </w:r>
    </w:p>
    <w:p>
      <w:pPr>
        <w:rPr>
          <w:noProof/>
          <w:szCs w:val="24"/>
        </w:rPr>
      </w:pPr>
      <w:r>
        <w:rPr>
          <w:noProof/>
        </w:rPr>
        <w:t>Ezen adókülönbségek igyekeznek ellensúlyozni a legkülső régiók által elszenvedett versenyhátrányokat, amelyek a helyben előállított termékek termelési költségeinek és ezáltal önköltségi árának növekedését okozzák. Egyedi intézkedések hiányában a helyi termékek kevésbé lennének versenyképesek a máshonnan érkező termékekhez képest, még a szállítási költségek figyelembevételével is. Mindez veszélyeztetné a helyi termelés fenntartását, amely e régiók állandó sajátos korlátai miatt magasabb termelési költségekkel működik.</w:t>
      </w:r>
    </w:p>
    <w:p>
      <w:pPr>
        <w:rPr>
          <w:noProof/>
          <w:szCs w:val="24"/>
        </w:rPr>
      </w:pPr>
      <w:r>
        <w:rPr>
          <w:noProof/>
        </w:rPr>
        <w:t>2019. március 1-jén a francia hatóságok az „octroi de mer” rendszer 2020. december 31-én túli meghosszabbítását kérték a Bizottságtól.</w:t>
      </w:r>
    </w:p>
    <w:p>
      <w:pPr>
        <w:rPr>
          <w:noProof/>
          <w:szCs w:val="24"/>
        </w:rPr>
      </w:pPr>
      <w:r>
        <w:rPr>
          <w:noProof/>
        </w:rPr>
        <w:t>A tanácsi határozat közelgő hatályvesztése miatt a Bizottság előzetesen külső szakértőket kért fel tanulmány készítésére a jelenlegi rendelkezések értékelése, valamint a 2020 utáni időszakban elképzelhető különböző opciók lehetséges hatásainak felmérése céljából. E tanulmány alapján a Bizottság megalapozottnak ítélte a hosszabbítási kérelem jóváhagyását, a jelenlegi rendszer néhány módosításával.</w:t>
      </w:r>
    </w:p>
    <w:p>
      <w:pPr>
        <w:autoSpaceDE w:val="0"/>
        <w:autoSpaceDN w:val="0"/>
        <w:adjustRightInd w:val="0"/>
        <w:spacing w:before="0" w:after="0"/>
        <w:rPr>
          <w:noProof/>
          <w:szCs w:val="24"/>
        </w:rPr>
      </w:pPr>
      <w:r>
        <w:rPr>
          <w:noProof/>
        </w:rPr>
        <w:t xml:space="preserve">Annak érdekében, hogy a francia hatóságok az összes olyan szükséges adatot össze tudják gyűjteni, amelyek begyűjtése a Covid19 okozta egészségügyi válság következtében késedelmet szenvedett, és hogy a Bizottságnak elegendő idő álljon rendelkezésére a </w:t>
      </w:r>
      <w:r>
        <w:rPr>
          <w:noProof/>
        </w:rPr>
        <w:lastRenderedPageBreak/>
        <w:t>kiegyensúlyozott és a különféle érdekeket figyelembe vevő javaslat kidolgozásához, a 2020. november 16-i (EU) 2020/1793 tanácsi határozat</w:t>
      </w:r>
      <w:r>
        <w:rPr>
          <w:rStyle w:val="FootnoteReference"/>
          <w:noProof/>
          <w:szCs w:val="24"/>
        </w:rPr>
        <w:footnoteReference w:id="2"/>
      </w:r>
      <w:r>
        <w:rPr>
          <w:noProof/>
        </w:rPr>
        <w:t xml:space="preserve"> 6 hónappal, vagyis 2020. december 31. helyett 2021. június 30-ig meghosszabbította a 940/2014/EU tanácsi határozat időbeli hatályát.</w:t>
      </w:r>
    </w:p>
    <w:p>
      <w:pPr>
        <w:rPr>
          <w:noProof/>
          <w:szCs w:val="24"/>
        </w:rPr>
      </w:pPr>
      <w:r>
        <w:rPr>
          <w:noProof/>
        </w:rPr>
        <w:t>A javaslat meghatározza továbbá az „octroi de mer” adóra 2021. június 30. után alkalmazandó jogi keretet: a jelenlegi rendelkezések felülvizsgálatával új mentességi rendszert határoz meg a 2022. január 1-jétől 2027. december 31-ig terjedő időszakra abból a célból, hogy a rendszert rugalmasabbá és átláthatóbbá tegye. Ezzel párhuzamosan hat hónappal, 2021. december 31-ig meghosszabbítja a 940/2014/EU határozat hatályát annak érdekében, hogy elegendő idő álljon Franciaország rendelkezésére arra, hogy a 2022. január 1. és 2027. december 31. közötti időszakban alkalmazandó új rendszert átültesse nemzeti jogába.</w:t>
      </w:r>
    </w:p>
    <w:p>
      <w:pPr>
        <w:rPr>
          <w:noProof/>
          <w:szCs w:val="24"/>
        </w:rPr>
      </w:pPr>
      <w:r>
        <w:rPr>
          <w:noProof/>
        </w:rPr>
        <w:t>A jelenlegi rendszerhez képest javasolt módosítások a következők:</w:t>
      </w:r>
    </w:p>
    <w:p>
      <w:pPr>
        <w:pStyle w:val="Point0"/>
        <w:rPr>
          <w:noProof/>
          <w:szCs w:val="24"/>
        </w:rPr>
      </w:pPr>
      <w:r>
        <w:rPr>
          <w:noProof/>
        </w:rPr>
        <w:t>a)</w:t>
      </w:r>
      <w:r>
        <w:rPr>
          <w:noProof/>
        </w:rPr>
        <w:tab/>
        <w:t xml:space="preserve">A differenciált adózásra jogosult termékek kiválasztási szempontjainak meghatározása. </w:t>
      </w:r>
    </w:p>
    <w:p>
      <w:pPr>
        <w:tabs>
          <w:tab w:val="left" w:pos="2100"/>
        </w:tabs>
        <w:rPr>
          <w:noProof/>
          <w:szCs w:val="24"/>
        </w:rPr>
      </w:pPr>
      <w:r>
        <w:rPr>
          <w:noProof/>
        </w:rPr>
        <w:t xml:space="preserve">A jegyzékben szereplő termékeket azon igazolt termelési többletköltségek alapján választották ki, amelyek a máshol előállított termékekhez képest növelik a helyi termelés önköltségi árát és veszélyeztetik a helyben előállított termékek versenyképességét. </w:t>
      </w:r>
    </w:p>
    <w:p>
      <w:pPr>
        <w:tabs>
          <w:tab w:val="left" w:pos="2100"/>
        </w:tabs>
        <w:rPr>
          <w:noProof/>
          <w:szCs w:val="24"/>
        </w:rPr>
      </w:pPr>
      <w:r>
        <w:rPr>
          <w:noProof/>
        </w:rPr>
        <w:t xml:space="preserve">Amennyiben: </w:t>
      </w:r>
    </w:p>
    <w:p>
      <w:pPr>
        <w:pStyle w:val="Point1"/>
        <w:rPr>
          <w:noProof/>
          <w:szCs w:val="24"/>
        </w:rPr>
      </w:pPr>
      <w:r>
        <w:rPr>
          <w:noProof/>
        </w:rPr>
        <w:t>1.</w:t>
      </w:r>
      <w:r>
        <w:rPr>
          <w:noProof/>
        </w:rPr>
        <w:tab/>
        <w:t>a helyi termék piaci részesedése nem éri el az 5 %-ot;</w:t>
      </w:r>
    </w:p>
    <w:p>
      <w:pPr>
        <w:pStyle w:val="Point1"/>
        <w:rPr>
          <w:noProof/>
          <w:szCs w:val="24"/>
        </w:rPr>
      </w:pPr>
      <w:r>
        <w:rPr>
          <w:noProof/>
        </w:rPr>
        <w:t>2.</w:t>
      </w:r>
      <w:r>
        <w:rPr>
          <w:noProof/>
        </w:rPr>
        <w:tab/>
        <w:t>vagy a piaci részesedése meghaladja a 90 %-ot.</w:t>
      </w:r>
    </w:p>
    <w:p>
      <w:pPr>
        <w:rPr>
          <w:noProof/>
          <w:szCs w:val="24"/>
        </w:rPr>
      </w:pPr>
      <w:r>
        <w:rPr>
          <w:noProof/>
        </w:rPr>
        <w:t>További igazolásokat kértek, amelyek alapján részben vagy teljesen bizonyíthatók a következő körülmények:</w:t>
      </w:r>
    </w:p>
    <w:p>
      <w:pPr>
        <w:pStyle w:val="Tiret1"/>
        <w:numPr>
          <w:ilvl w:val="0"/>
          <w:numId w:val="12"/>
        </w:numPr>
        <w:rPr>
          <w:noProof/>
          <w:szCs w:val="24"/>
        </w:rPr>
      </w:pPr>
      <w:r>
        <w:rPr>
          <w:noProof/>
        </w:rPr>
        <w:t xml:space="preserve">a munkaerő-igényes termékek; </w:t>
      </w:r>
    </w:p>
    <w:p>
      <w:pPr>
        <w:pStyle w:val="Tiret1"/>
        <w:rPr>
          <w:noProof/>
          <w:szCs w:val="24"/>
        </w:rPr>
      </w:pPr>
      <w:r>
        <w:rPr>
          <w:noProof/>
        </w:rPr>
        <w:t>a vállalkozás termékeinek diverzifikálását célzó új termékek vagy a termékskálát kiegészítő termékek;</w:t>
      </w:r>
    </w:p>
    <w:p>
      <w:pPr>
        <w:pStyle w:val="Tiret1"/>
        <w:rPr>
          <w:noProof/>
          <w:szCs w:val="24"/>
        </w:rPr>
      </w:pPr>
      <w:r>
        <w:rPr>
          <w:noProof/>
        </w:rPr>
        <w:t>a helyi fejlesztés szempontjából stratégiai jelentőségű termékek (például a körforgásos gazdaság, úgymint a fafeldolgozás, illetve a biológiai sokféleség javítása és a környezetvédelem területén);</w:t>
      </w:r>
    </w:p>
    <w:p>
      <w:pPr>
        <w:pStyle w:val="Tiret1"/>
        <w:rPr>
          <w:noProof/>
          <w:szCs w:val="24"/>
        </w:rPr>
      </w:pPr>
      <w:r>
        <w:rPr>
          <w:noProof/>
        </w:rPr>
        <w:t>az innovatív vagy nagy hozzáadott értéket képviselő termékek;</w:t>
      </w:r>
    </w:p>
    <w:p>
      <w:pPr>
        <w:pStyle w:val="Tiret1"/>
        <w:rPr>
          <w:noProof/>
          <w:szCs w:val="24"/>
        </w:rPr>
      </w:pPr>
      <w:r>
        <w:rPr>
          <w:noProof/>
        </w:rPr>
        <w:t>olyan máshonnan származó termékek, például az építőanyagok és az élelmiszeripari termékek, amelyek ellátási zavara veszélyeztetheti a terület gazdaságát vagy lakosságát;</w:t>
      </w:r>
    </w:p>
    <w:p>
      <w:pPr>
        <w:pStyle w:val="Tiret1"/>
        <w:rPr>
          <w:noProof/>
          <w:szCs w:val="24"/>
        </w:rPr>
      </w:pPr>
      <w:r>
        <w:rPr>
          <w:noProof/>
        </w:rPr>
        <w:t>olyan termékek, amelyek a legkülső régiók piacainak kis mérete miatt csak akkor tudnak fennmaradni, ha erőfölényben vannak a piacon;</w:t>
      </w:r>
    </w:p>
    <w:p>
      <w:pPr>
        <w:pStyle w:val="Tiret1"/>
        <w:rPr>
          <w:noProof/>
          <w:szCs w:val="24"/>
        </w:rPr>
      </w:pPr>
      <w:r>
        <w:rPr>
          <w:noProof/>
        </w:rPr>
        <w:t xml:space="preserve">az egészségügyi válságok kezeléséhez szükséges gyógyszerek és egyéni védőeszközök előállítása. </w:t>
      </w:r>
    </w:p>
    <w:p>
      <w:pPr>
        <w:pStyle w:val="ListParagraph"/>
        <w:pBdr>
          <w:top w:val="nil"/>
          <w:left w:val="nil"/>
          <w:bottom w:val="nil"/>
          <w:right w:val="nil"/>
          <w:between w:val="nil"/>
          <w:bar w:val="nil"/>
        </w:pBdr>
        <w:spacing w:before="0" w:after="240"/>
        <w:rPr>
          <w:noProof/>
          <w:szCs w:val="24"/>
        </w:rPr>
      </w:pPr>
    </w:p>
    <w:p>
      <w:pPr>
        <w:pStyle w:val="Point0"/>
        <w:rPr>
          <w:noProof/>
          <w:szCs w:val="24"/>
        </w:rPr>
      </w:pPr>
      <w:r>
        <w:rPr>
          <w:noProof/>
        </w:rPr>
        <w:lastRenderedPageBreak/>
        <w:t>b)</w:t>
      </w:r>
      <w:r>
        <w:rPr>
          <w:noProof/>
        </w:rPr>
        <w:tab/>
        <w:t>A jelenlegi 3 helyett két maximális, 20 %-os és 30 %-os differenciálási arány bevezetése. Az engedélyezett adókülönbözet azonban nem haladhatja meg az igazolt többletköltségeket.</w:t>
      </w:r>
    </w:p>
    <w:p>
      <w:pPr>
        <w:pStyle w:val="ListParagraph"/>
        <w:tabs>
          <w:tab w:val="left" w:pos="2100"/>
        </w:tabs>
        <w:rPr>
          <w:noProof/>
          <w:szCs w:val="24"/>
        </w:rPr>
      </w:pPr>
      <w:r>
        <w:rPr>
          <w:noProof/>
        </w:rPr>
        <w:t xml:space="preserve"> </w:t>
      </w:r>
    </w:p>
    <w:p>
      <w:pPr>
        <w:pStyle w:val="Point0"/>
        <w:rPr>
          <w:noProof/>
          <w:szCs w:val="24"/>
        </w:rPr>
      </w:pPr>
      <w:r>
        <w:rPr>
          <w:noProof/>
        </w:rPr>
        <w:t>c)</w:t>
      </w:r>
      <w:r>
        <w:rPr>
          <w:noProof/>
        </w:rPr>
        <w:tab/>
        <w:t>Az „octroi de mer” adó küszöbértékének 550 000 EUR-ra emelése a javasolt rendszer keretében. A javasolt rendszerben az említett küszöbértéknél alacsonyabb éves forgalommal rendelkező piaci szereplők nem tartoznának az „octroi de mer” adó hatálya alá. Viszonzásképpen nem vonhatnák le a már előzetesen megfizetett ilyen adó összegét. Ennek az a célja, hogy biztosítsa a kistermelők által előállított termékek adómentességét, csökkentse a kistermelők adminisztratív terheit és a fejlődésüket is támogassa. Ezt az intézkedést az indokolja, hogy csekély a költségvetési</w:t>
      </w:r>
      <w:r>
        <w:rPr>
          <w:rStyle w:val="FootnoteReference"/>
          <w:noProof/>
          <w:szCs w:val="24"/>
        </w:rPr>
        <w:footnoteReference w:id="3"/>
      </w:r>
      <w:r>
        <w:rPr>
          <w:noProof/>
        </w:rPr>
        <w:t xml:space="preserve"> és a versenytorzító hatása, tekintettel arra, hogy kevés gazdasági szereplőt érint</w:t>
      </w:r>
      <w:r>
        <w:rPr>
          <w:rStyle w:val="FootnoteReference"/>
          <w:noProof/>
          <w:szCs w:val="24"/>
        </w:rPr>
        <w:footnoteReference w:id="4"/>
      </w:r>
      <w:r>
        <w:rPr>
          <w:noProof/>
        </w:rPr>
        <w:t>.</w:t>
      </w:r>
    </w:p>
    <w:p>
      <w:pPr>
        <w:pStyle w:val="ListParagraph"/>
        <w:tabs>
          <w:tab w:val="left" w:pos="2100"/>
        </w:tabs>
        <w:rPr>
          <w:noProof/>
          <w:szCs w:val="24"/>
        </w:rPr>
      </w:pPr>
    </w:p>
    <w:p>
      <w:pPr>
        <w:pStyle w:val="Point0"/>
        <w:rPr>
          <w:noProof/>
          <w:szCs w:val="24"/>
        </w:rPr>
      </w:pPr>
      <w:r>
        <w:rPr>
          <w:noProof/>
        </w:rPr>
        <w:t>d)</w:t>
      </w:r>
      <w:r>
        <w:rPr>
          <w:noProof/>
        </w:rPr>
        <w:tab/>
        <w:t>A félidős jelentés helyett egy 2025. szeptember 30-án benyújtandó jelentés készítése, amelynek legalább a határozat II. mellékletében meghatározott információkat kell tartalmaznia. Ezek az elemek szolgálnak majd alapul a rendszer megújításához. E javaslat célja továbbá, hogy csökkentse az eszköz – feleslegesen gyakori – értékelésével járó terheket, és növelje a nyomonkövetési és értékelési tevékenységek hasznosságát és hatékonyságát.</w:t>
      </w:r>
    </w:p>
    <w:p>
      <w:pPr>
        <w:pStyle w:val="ListParagraph"/>
        <w:rPr>
          <w:noProof/>
          <w:szCs w:val="24"/>
        </w:rPr>
      </w:pPr>
    </w:p>
    <w:p>
      <w:pPr>
        <w:rPr>
          <w:noProof/>
          <w:szCs w:val="24"/>
        </w:rPr>
      </w:pPr>
      <w:r>
        <w:rPr>
          <w:noProof/>
        </w:rPr>
        <w:t xml:space="preserve">Ezenfelül a differenciált adóztatással ellentételezni kívánt termelési többletköltségek értékeléséhez a francia hatóságok a vámnómenklatúra minden négyjegyű vámtarifaszámára vonatkozóan megadták a helyi vállalkozások által viselt termelési többletköltségeket, amelyek elsősorban a következők: ellátási költségek, bérek, magasabb energiaköltségek, a nagyobb készletek tartásából eredő pénzügyi költségek, magasabb karbantartási költségek, a termelőberendezések kihasználatlansága, magasabb pénzügyi költségek. </w:t>
      </w:r>
    </w:p>
    <w:p>
      <w:pPr>
        <w:rPr>
          <w:noProof/>
          <w:szCs w:val="24"/>
        </w:rPr>
      </w:pPr>
      <w:r>
        <w:rPr>
          <w:noProof/>
        </w:rPr>
        <w:t>A határozat melléklete felsorolja azokat a termékeket, amelyekre az „octroi de mer” adó alóli mentesség vagy az arra vonatkozó kedvezmény alkalmazható. A helyben előállított termékek és az egyéb termékek eltérő adóztatásának mértéke – a terméktől függően – nem haladhatja meg a 20 vagy 30 százalékpontot. A melléklet A. része azokat a termékeket sorolja fel, amelyek esetében az adókülönbözet nem haladhatja meg a 20 százalékpontot, a B. rész pedig azokat, amelyek esetében a különbözet nem haladhatja meg a 30 százalékpontot.</w:t>
      </w:r>
    </w:p>
    <w:p>
      <w:pPr>
        <w:rPr>
          <w:noProof/>
          <w:szCs w:val="24"/>
        </w:rPr>
      </w:pPr>
      <w:r>
        <w:rPr>
          <w:noProof/>
        </w:rPr>
        <w:t>A mellékletben szereplő termékek többségükben megegyeznek a 940/2014/EU tanácsi határozat mellékletében foglalt termékekkel. A jegyzékek teljes körű felülvizsgálata azonban számos olyan termék eltávolítását eredményezte, amelyek esetében már nem volt indokolt az eltérő adózás. Ezzel ellentétben a jegyzékek olyan, a 940/2014/EU határozatban nem szereplő termékekkel egészültek ki, amelyeket újonnan kezdtek előállítani, vagy amelyek előállítása fejlődésen ment keresztül. Végezetül egyes termékeket meghagytak a jegyzékekben, viszont a többletköltségek változásainak figyelembevétele érdekében az engedélyezett adókülönbözetet felfelé vagy lefelé módosították.</w:t>
      </w:r>
    </w:p>
    <w:p>
      <w:pPr>
        <w:rPr>
          <w:noProof/>
          <w:szCs w:val="24"/>
        </w:rPr>
      </w:pPr>
    </w:p>
    <w:p>
      <w:pPr>
        <w:pStyle w:val="ManualHeading2"/>
        <w:rPr>
          <w:rFonts w:eastAsia="Arial Unicode MS"/>
          <w:noProof/>
          <w:color w:val="000000"/>
          <w:szCs w:val="24"/>
          <w:u w:color="000000"/>
          <w:bdr w:val="nil"/>
        </w:rPr>
      </w:pPr>
      <w:r>
        <w:rPr>
          <w:noProof/>
          <w:color w:val="000000"/>
          <w:szCs w:val="24"/>
          <w:u w:color="000000"/>
          <w:bdr w:val="nil"/>
        </w:rPr>
        <w:lastRenderedPageBreak/>
        <w:t>•</w:t>
      </w:r>
      <w:r>
        <w:rPr>
          <w:noProof/>
          <w:color w:val="000000"/>
          <w:szCs w:val="24"/>
          <w:u w:color="000000"/>
          <w:bdr w:val="nil"/>
        </w:rPr>
        <w:tab/>
        <w:t>Összhang a szabályozási terület jelenlegi rendelkezéseivel</w:t>
      </w:r>
    </w:p>
    <w:p>
      <w:pPr>
        <w:rPr>
          <w:noProof/>
          <w:szCs w:val="24"/>
        </w:rPr>
      </w:pPr>
      <w:r>
        <w:rPr>
          <w:noProof/>
        </w:rPr>
        <w:t>A „Szorosabb és megújított stratégiai partnerség az Európai Unió legkülső régióival” című 2017. évi közlemény</w:t>
      </w:r>
      <w:r>
        <w:rPr>
          <w:rStyle w:val="FootnoteReference"/>
          <w:noProof/>
          <w:szCs w:val="24"/>
        </w:rPr>
        <w:footnoteReference w:id="5"/>
      </w:r>
      <w:r>
        <w:rPr>
          <w:noProof/>
        </w:rPr>
        <w:t xml:space="preserve"> hangsúlyozza, hogy a legkülső régiók továbbra is komoly nehézségekkel szembesülnek, amelyek közül sok állandó jellegű. Ez a közlemény a Bizottság új megközelítését mutatja be, amely arra irányul, hogy felélénkítse a legkülső régiók fejlődését az adottságaik maximális hasznosítása, valamint az új növekedési és munkahelyteremtési tényezők által kínált lehetőségek kiaknázása révén.</w:t>
      </w:r>
    </w:p>
    <w:p>
      <w:pPr>
        <w:rPr>
          <w:noProof/>
          <w:szCs w:val="24"/>
        </w:rPr>
      </w:pPr>
      <w:r>
        <w:rPr>
          <w:noProof/>
        </w:rPr>
        <w:t>Ebben az összefüggésben e javaslat célja, hogy a francia legkülső régiókban előmozdítsa a helyi termékek előállítását, és ezáltal elősegítse a foglalkoztatást. Ez a javaslat – a földrajzi és gazdasági helyzetből fakadó hátrányok ellensúlyozása révén – a helyi termékek versenyképességének helyreállítását szolgálja. Kiegészíti a távoli fekvéssel és szigetjelleggel összefüggő támogatási programot (POSEI)</w:t>
      </w:r>
      <w:r>
        <w:rPr>
          <w:rStyle w:val="FootnoteReference"/>
          <w:noProof/>
          <w:szCs w:val="24"/>
        </w:rPr>
        <w:footnoteReference w:id="6"/>
      </w:r>
      <w:r>
        <w:rPr>
          <w:noProof/>
        </w:rPr>
        <w:t>, amelynek célja, hogy támogassa a primer szektort és a nyersanyagtermelést, az Európai Tengerügyi és Halászati Alapot (ETHA)</w:t>
      </w:r>
      <w:r>
        <w:rPr>
          <w:rStyle w:val="FootnoteReference"/>
          <w:noProof/>
          <w:szCs w:val="24"/>
        </w:rPr>
        <w:footnoteReference w:id="7"/>
      </w:r>
      <w:r>
        <w:rPr>
          <w:noProof/>
        </w:rPr>
        <w:t xml:space="preserve"> és az Európai Regionális Fejlesztési Alapot (ERFA)</w:t>
      </w:r>
      <w:r>
        <w:rPr>
          <w:rStyle w:val="FootnoteReference"/>
          <w:noProof/>
          <w:szCs w:val="24"/>
        </w:rPr>
        <w:footnoteReference w:id="8"/>
      </w:r>
      <w:r>
        <w:rPr>
          <w:noProof/>
        </w:rPr>
        <w:t>, amely további külön juttatást biztosít a legkülső régiók állandó korlátaiból fakadó többletköltségeinek ellentételezésére.</w:t>
      </w:r>
    </w:p>
    <w:p>
      <w:pPr>
        <w:rPr>
          <w:noProof/>
          <w:szCs w:val="24"/>
        </w:rPr>
      </w:pPr>
      <w:r>
        <w:rPr>
          <w:noProof/>
        </w:rPr>
        <w:t>Ezenfelül az agrárpolitikai szabályokkal való összhang biztosítása érdekében elvetették a differenciált adózás alkalmazását mindazon élelmiszerek esetében, amelyek az Unió legkülső régiói részére egyedi mezőgazdasági intézkedések megállapításáról szóló, 2013. március 13-i 228/2013/EU tanácsi rendelet III. fejezetében meghatározott támogatásokban részesülnek és különösen azok esetében, amelyek az egyedi ellátási szabályok hatálya alá tartoznak.</w:t>
      </w:r>
    </w:p>
    <w:p>
      <w:pPr>
        <w:pStyle w:val="ManualHeading2"/>
        <w:rPr>
          <w:rFonts w:eastAsia="Arial Unicode MS"/>
          <w:noProof/>
          <w:szCs w:val="24"/>
        </w:rPr>
      </w:pPr>
      <w:r>
        <w:rPr>
          <w:noProof/>
          <w:color w:val="000000"/>
          <w:szCs w:val="24"/>
          <w:u w:color="000000"/>
          <w:bdr w:val="nil"/>
        </w:rPr>
        <w:t>•</w:t>
      </w:r>
      <w:r>
        <w:rPr>
          <w:noProof/>
          <w:color w:val="000000"/>
          <w:szCs w:val="24"/>
          <w:u w:color="000000"/>
          <w:bdr w:val="nil"/>
        </w:rPr>
        <w:tab/>
        <w:t>Összhang az Unió egyéb szakpolitikáival</w:t>
      </w:r>
    </w:p>
    <w:p>
      <w:pPr>
        <w:pBdr>
          <w:top w:val="nil"/>
          <w:left w:val="nil"/>
          <w:bottom w:val="nil"/>
          <w:right w:val="nil"/>
          <w:between w:val="nil"/>
          <w:bar w:val="nil"/>
        </w:pBdr>
        <w:spacing w:before="0" w:after="240"/>
        <w:rPr>
          <w:noProof/>
          <w:szCs w:val="24"/>
        </w:rPr>
      </w:pPr>
      <w:r>
        <w:rPr>
          <w:noProof/>
        </w:rPr>
        <w:t>A javaslat összhangban van a 2015-ös egységes piaci stratégiával</w:t>
      </w:r>
      <w:r>
        <w:rPr>
          <w:rStyle w:val="FootnoteReference"/>
          <w:noProof/>
          <w:szCs w:val="24"/>
        </w:rPr>
        <w:footnoteReference w:id="9"/>
      </w:r>
      <w:r>
        <w:rPr>
          <w:noProof/>
        </w:rPr>
        <w:t xml:space="preserve"> amelyben a Bizottság az összes részt vevő fél számára előnyös, mélyebb és méltányosabb egységes piac megvalósítását tűzi ki célul. A javasolt intézkedés egyik célja, hogy enyhítse a legkülső régiókban működő vállalatokra háruló többletköltségeket, amelyek gátolják az egységes piacon való teljes körű részvételüket. Az intézkedéssel érintett, francia legkülső régiókban folyó termelés korlátozott mértéke miatt semmiféle negatív hatás nem fenyegeti az egységes piac megfelelő működését.</w:t>
      </w:r>
    </w:p>
    <w:p>
      <w:pPr>
        <w:pStyle w:val="ManualHeading1"/>
        <w:rPr>
          <w:noProof/>
          <w:szCs w:val="24"/>
        </w:rPr>
      </w:pPr>
      <w:r>
        <w:rPr>
          <w:noProof/>
        </w:rPr>
        <w:t>2.</w:t>
      </w:r>
      <w:r>
        <w:rPr>
          <w:noProof/>
        </w:rPr>
        <w:tab/>
        <w:t>JOGALAP, SZUBSZIDIARITÁS ÉS ARÁNYOSSÁG</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Jogalap</w:t>
      </w:r>
    </w:p>
    <w:p>
      <w:pPr>
        <w:pBdr>
          <w:top w:val="nil"/>
          <w:left w:val="nil"/>
          <w:bottom w:val="nil"/>
          <w:right w:val="nil"/>
          <w:between w:val="nil"/>
          <w:bar w:val="nil"/>
        </w:pBdr>
        <w:spacing w:before="0" w:after="240"/>
        <w:rPr>
          <w:noProof/>
          <w:szCs w:val="24"/>
        </w:rPr>
      </w:pPr>
      <w:r>
        <w:rPr>
          <w:noProof/>
        </w:rPr>
        <w:t>A javaslat jogalapja az EUMSZ 349. cikke. Ez a rendelkezés lehetővé teszi a Tanács számára, hogy egyedi rendelkezéseket fogadjon el a Szerződéseknek az EU legkülső régióira való alkalmazása feltételeinek meghatározása céljából.</w:t>
      </w:r>
    </w:p>
    <w:p>
      <w:pPr>
        <w:pBdr>
          <w:top w:val="nil"/>
          <w:left w:val="nil"/>
          <w:bottom w:val="nil"/>
          <w:right w:val="nil"/>
          <w:between w:val="nil"/>
          <w:bar w:val="nil"/>
        </w:pBdr>
        <w:spacing w:before="0" w:after="240"/>
        <w:rPr>
          <w:rFonts w:eastAsia="Arial Unicode MS"/>
          <w:noProof/>
          <w:szCs w:val="24"/>
          <w:u w:color="000000"/>
          <w:bdr w:val="nil"/>
        </w:rPr>
      </w:pPr>
      <w:r>
        <w:rPr>
          <w:noProof/>
          <w:szCs w:val="24"/>
          <w:u w:color="000000"/>
          <w:bdr w:val="nil"/>
        </w:rPr>
        <w:lastRenderedPageBreak/>
        <w:t>•</w:t>
      </w:r>
      <w:r>
        <w:rPr>
          <w:b/>
          <w:noProof/>
          <w:szCs w:val="24"/>
          <w:u w:color="000000"/>
          <w:bdr w:val="nil"/>
        </w:rPr>
        <w:tab/>
        <w:t>Szubszidiaritás (nem kizárólagos hatáskör esetén)</w:t>
      </w:r>
    </w:p>
    <w:p>
      <w:pPr>
        <w:pBdr>
          <w:top w:val="nil"/>
          <w:left w:val="nil"/>
          <w:bottom w:val="nil"/>
          <w:right w:val="nil"/>
          <w:between w:val="nil"/>
          <w:bar w:val="nil"/>
        </w:pBdr>
        <w:spacing w:before="0" w:after="240"/>
        <w:rPr>
          <w:noProof/>
          <w:szCs w:val="24"/>
        </w:rPr>
      </w:pPr>
      <w:r>
        <w:rPr>
          <w:noProof/>
        </w:rPr>
        <w:t>Kizárólag a Tanács jogosult – az EUMSZ 349. cikke alapján – a legkülső régiókra vonatkozó egyedi intézkedéseket elfogadni azzal a céllal, hogy a Szerződések – és ezen belül a közös politikák – alkalmazását e régiókhoz igazítsa, tekintettel az említett régiók gazdasági és társadalmi helyzetét érintő állandó korlátok fennállására. Ez az EUMSZ 110. cikkétől való eltérések engedélyezésére is érvényes. A javaslat ezért megfelel a szubszidiaritás elvének.</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Arányosság</w:t>
      </w:r>
    </w:p>
    <w:p>
      <w:pPr>
        <w:pBdr>
          <w:top w:val="nil"/>
          <w:left w:val="nil"/>
          <w:bottom w:val="nil"/>
          <w:right w:val="nil"/>
          <w:between w:val="nil"/>
          <w:bar w:val="nil"/>
        </w:pBdr>
        <w:spacing w:before="0" w:after="240"/>
        <w:rPr>
          <w:noProof/>
          <w:szCs w:val="24"/>
        </w:rPr>
      </w:pPr>
      <w:r>
        <w:rPr>
          <w:noProof/>
        </w:rPr>
        <w:t>A javaslat megfelel az Európai Unióról szóló szerződés 5. cikkének (4) bekezdésében meghatározott arányossági elvnek. Ez a javaslat csak azokra a termékekre vonatkozik, amelyek tekintetében igazolták, hogy a helyben előállított termékek előállítása során többletköltségek merülnek fel.</w:t>
      </w:r>
    </w:p>
    <w:p>
      <w:pPr>
        <w:pBdr>
          <w:top w:val="nil"/>
          <w:left w:val="nil"/>
          <w:bottom w:val="nil"/>
          <w:right w:val="nil"/>
          <w:between w:val="nil"/>
          <w:bar w:val="nil"/>
        </w:pBdr>
        <w:spacing w:before="0" w:after="240"/>
        <w:rPr>
          <w:noProof/>
          <w:szCs w:val="24"/>
        </w:rPr>
      </w:pPr>
      <w:r>
        <w:rPr>
          <w:noProof/>
        </w:rPr>
        <w:t>Ugyanígy az e javaslat tárgyát képező egyes termékek tekintetében javasolt legnagyobb adózási eltérés is csak arra a mértékre korlátozódik, amely az egyes érintett helyi termékekre terhelődő többletköltségek miatt szükséges. Így a francia legkülső régiókba importált termékekre nehezedő adóteher nem haladja meg azt a mértéket, amely a helyben előállított termékeknek a behozatali termékekkel szembeni alacsonyabb szintű versenyképességének kiegyenlítéséhez, és ezáltal a Szerződés azon célkitűzéseinek megvalósításához szükséges, amelyek a belső piac megfelelő és hatékony működését hivatottak biztosítani.</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A jogi aktus típusának megválasztása</w:t>
      </w:r>
    </w:p>
    <w:p>
      <w:pPr>
        <w:pBdr>
          <w:top w:val="nil"/>
          <w:left w:val="nil"/>
          <w:bottom w:val="nil"/>
          <w:right w:val="nil"/>
          <w:between w:val="nil"/>
          <w:bar w:val="nil"/>
        </w:pBdr>
        <w:spacing w:before="0" w:after="240"/>
        <w:rPr>
          <w:noProof/>
          <w:szCs w:val="24"/>
        </w:rPr>
      </w:pPr>
      <w:r>
        <w:rPr>
          <w:noProof/>
        </w:rPr>
        <w:t>A Bizottság a 940/2014/EU tanácsi határozat felváltására irányuló tanácsi határozatra tesz javaslatot.</w:t>
      </w:r>
    </w:p>
    <w:p>
      <w:pPr>
        <w:pStyle w:val="ManualHeading1"/>
        <w:rPr>
          <w:noProof/>
          <w:szCs w:val="24"/>
        </w:rPr>
      </w:pPr>
      <w:r>
        <w:rPr>
          <w:noProof/>
        </w:rPr>
        <w:t>3.</w:t>
      </w:r>
      <w:r>
        <w:rPr>
          <w:noProof/>
        </w:rPr>
        <w:tab/>
        <w:t>AZ UTÓLAGOS ÉRTÉKELÉSEK, AZ ÉRDEKELT FELEKKEL FOLYTATOTT KONZULTÁCIÓK ÉS A HATÁSVIZSGÁLATOK EREDMÉNYEI</w:t>
      </w:r>
    </w:p>
    <w:p>
      <w:pPr>
        <w:rPr>
          <w:b/>
          <w:noProof/>
          <w:szCs w:val="24"/>
          <w:u w:color="000000"/>
          <w:bdr w:val="nil"/>
        </w:rPr>
      </w:pPr>
      <w:r>
        <w:rPr>
          <w:b/>
          <w:noProof/>
          <w:szCs w:val="24"/>
          <w:u w:color="000000"/>
          <w:bdr w:val="nil"/>
        </w:rPr>
        <w:t>•</w:t>
      </w:r>
      <w:r>
        <w:rPr>
          <w:b/>
          <w:noProof/>
          <w:szCs w:val="24"/>
          <w:u w:color="000000"/>
          <w:bdr w:val="nil"/>
        </w:rPr>
        <w:tab/>
        <w:t>A jelenleg hatályban lévő jogszabályok utólagos értékelése / célravezetőségi vizsgálata</w:t>
      </w:r>
    </w:p>
    <w:p>
      <w:pPr>
        <w:pBdr>
          <w:top w:val="nil"/>
          <w:left w:val="nil"/>
          <w:bottom w:val="nil"/>
          <w:right w:val="nil"/>
          <w:between w:val="nil"/>
          <w:bar w:val="nil"/>
        </w:pBdr>
        <w:spacing w:before="0" w:after="240"/>
        <w:rPr>
          <w:noProof/>
          <w:szCs w:val="24"/>
        </w:rPr>
      </w:pPr>
      <w:r>
        <w:rPr>
          <w:noProof/>
        </w:rPr>
        <w:t>Az „octroi de mer” rendszer hatálya megfelelően elégíti ki az érintett gazdasági szereplők igényeit. E rendszer célja a helyi termékek támogatása azáltal, hogy csökkenti a helyi termékek versenyképessége és a nem ezekből a régiókból származó termékek versenyképessége között az állandó korlátok miatt fennálló szakadékot, amelyek növelik a helyben előállított termékek termelési költségeit és ezáltal az önköltségi árukat is. Az „octroi de mer” rendszer a többletköltségek mintegy felét ellentételezi. A 2014–2020-as időszakban alkalmazott adókülönbözetek arányosnak bizonyultak a kiszámított többletköltségekkel</w:t>
      </w:r>
      <w:r>
        <w:rPr>
          <w:rStyle w:val="FootnoteReference"/>
          <w:noProof/>
          <w:szCs w:val="24"/>
        </w:rPr>
        <w:footnoteReference w:id="10"/>
      </w:r>
      <w:r>
        <w:rPr>
          <w:noProof/>
        </w:rPr>
        <w:t>.</w:t>
      </w:r>
    </w:p>
    <w:p>
      <w:pPr>
        <w:pBdr>
          <w:top w:val="nil"/>
          <w:left w:val="nil"/>
          <w:bottom w:val="nil"/>
          <w:right w:val="nil"/>
          <w:between w:val="nil"/>
          <w:bar w:val="nil"/>
        </w:pBdr>
        <w:spacing w:before="0" w:after="240"/>
        <w:rPr>
          <w:noProof/>
          <w:szCs w:val="24"/>
        </w:rPr>
      </w:pPr>
      <w:r>
        <w:rPr>
          <w:noProof/>
        </w:rPr>
        <w:t xml:space="preserve">A külső tanulmány kvantitatív adatelemzésének eredményei azt jelzik, hogy az „octroi de mer” rendszer nélkül a helyi termelés teljesítményei sokkal rosszabbak lettek volna. A differenciált adózásra jogosult termékek értékének mintegy 37 %-a (kb. 850 millió EUR) az adókülönbözeti mechanizmusnak köszönhetően jött létre, amely kedvező hatást gyakorolt a foglalkoztatásra – amely az „octroi de mer” adóra 2014 óta jogosult ágazatokban növekedett (míg az arra nem jogosult ágazatokban csökkent) –, valamint az aktív vállalkozások számára, amely ugyanebben az időszakban mintegy 1,7 %-kal nőtt (szemben a 3 %-os általános </w:t>
      </w:r>
      <w:r>
        <w:rPr>
          <w:noProof/>
        </w:rPr>
        <w:lastRenderedPageBreak/>
        <w:t>csökkenéssel). A beruházásokra és a helyi termelés diverzifikációjára gyakorolt hatásra azonban nincs bizonyíték. Az „octroi de mer” rendszer költség-haszon aránya összességében pozitív, és a differenciált adóknak köszönhetően keletkező helyi többlettermelés mértéke 2,5-szer nagyobb volt, mint az intézkedés „költsége”.</w:t>
      </w:r>
    </w:p>
    <w:p>
      <w:pPr>
        <w:pBdr>
          <w:top w:val="nil"/>
          <w:left w:val="nil"/>
          <w:bottom w:val="nil"/>
          <w:right w:val="nil"/>
          <w:between w:val="nil"/>
          <w:bar w:val="nil"/>
        </w:pBdr>
        <w:spacing w:before="0" w:after="240"/>
        <w:rPr>
          <w:noProof/>
          <w:szCs w:val="24"/>
        </w:rPr>
      </w:pPr>
      <w:r>
        <w:rPr>
          <w:noProof/>
        </w:rPr>
        <w:t>Az „octroi de mer” rendszer alkalmazása nem járt a behozatal helyettesítésével. A gyakorlatban a differenciált adózásra jogosult helyi termékek többsége idővel piaci részesedést veszített, ami megerősíti, hogy az „octroi de mer” rendszer inkább a helyi termelés versenyképesség-romlását csökkentő intézkedés, mintsem fejlesztési eszköz.</w:t>
      </w:r>
    </w:p>
    <w:p>
      <w:pPr>
        <w:pBdr>
          <w:top w:val="nil"/>
          <w:left w:val="nil"/>
          <w:bottom w:val="nil"/>
          <w:right w:val="nil"/>
          <w:between w:val="nil"/>
          <w:bar w:val="nil"/>
        </w:pBdr>
        <w:spacing w:before="0" w:after="240"/>
        <w:rPr>
          <w:noProof/>
          <w:szCs w:val="24"/>
        </w:rPr>
      </w:pPr>
      <w:r>
        <w:rPr>
          <w:noProof/>
        </w:rPr>
        <w:t>Az „octroi de mer” adókülönbözeteknek a francia legkülső régiókban a fogyasztói árakra és a megélhetési költségekre gyakorolt hatásával kapcsolatban a külső tanulmány megállapítja, hogy ez a hatás csekély mértékű, mivel a differenciált adózásra jogosult termékeket terhelő többletadó a legkülső régiókban nem haladja meg a végső fogyasztás 1,5 %-át.</w:t>
      </w:r>
    </w:p>
    <w:p>
      <w:pPr>
        <w:pBdr>
          <w:top w:val="nil"/>
          <w:left w:val="nil"/>
          <w:bottom w:val="nil"/>
          <w:right w:val="nil"/>
          <w:between w:val="nil"/>
          <w:bar w:val="nil"/>
        </w:pBdr>
        <w:spacing w:before="0" w:after="240"/>
        <w:rPr>
          <w:noProof/>
          <w:szCs w:val="24"/>
        </w:rPr>
      </w:pPr>
      <w:r>
        <w:rPr>
          <w:noProof/>
        </w:rPr>
        <w:t>Végezetül a regionális kereskedelmi adatok elemzésének eredményei azt mutatják, hogy az „octroi de mer” adókülönbözetek csekély hatást gyakorolnak a CARIFORUM-országokból, valamint a dél- és kelet-afrikai országokból származó behozatal összegére. Ezenkívül az „octroi de mer” adó esetleges teljes eltörlése csak igen korlátozott hatást gyakorolna az ezen országokból származó termékek behozatalára (kb. 2 millió EUR), viszont nagyon rossz hatással lenne a helyi termelésre (kb. 300 millió EUR). Ez elsősorban az uniós exportőrök, valamint a CARIFORUM-országoktól és a dél- és kelet-afrikai országoktól eltérő harmadik országok exportőrei számára lenne kedvező.</w:t>
      </w:r>
    </w:p>
    <w:p>
      <w:pPr>
        <w:rPr>
          <w:b/>
          <w:noProof/>
          <w:szCs w:val="24"/>
          <w:u w:color="000000"/>
          <w:bdr w:val="nil"/>
        </w:rPr>
      </w:pPr>
      <w:r>
        <w:rPr>
          <w:b/>
          <w:noProof/>
          <w:szCs w:val="24"/>
          <w:u w:color="000000"/>
          <w:bdr w:val="nil"/>
        </w:rPr>
        <w:t>•</w:t>
      </w:r>
      <w:r>
        <w:rPr>
          <w:b/>
          <w:noProof/>
          <w:szCs w:val="24"/>
          <w:u w:color="000000"/>
          <w:bdr w:val="nil"/>
        </w:rPr>
        <w:tab/>
        <w:t>Az érdekelt felekkel folytatott konzultációk</w:t>
      </w:r>
    </w:p>
    <w:p>
      <w:pPr>
        <w:rPr>
          <w:noProof/>
          <w:szCs w:val="24"/>
        </w:rPr>
      </w:pPr>
      <w:r>
        <w:rPr>
          <w:noProof/>
        </w:rPr>
        <w:t>E kezdeményezés keretében teljes körű konzultációra került sor a főbb politikai és gazdasági szereplőkkel, amely három régióban (La Réunion, Guadeloupe és Martinique) interjúkat (80) és látogatásokat, valamint a legkülső régiókban letelepedett vállalkozások (196) körében mind az öt érintett régióra kiterjedően végzett felmérést foglalt magában. Ezt a gazdasági szereplők körében végzett célzott (online) felmérést elsősorban a különböző területeken működő szakmai szervezeteken keresztül, valamint a kereskedelmi kamarák által rendelkezésre bocsátott vállalkozói listából meghatározott 15 420 vállalkozásnak közvetlenül megküldött meghívókkal terjesztették.</w:t>
      </w:r>
    </w:p>
    <w:p>
      <w:pPr>
        <w:pBdr>
          <w:top w:val="nil"/>
          <w:left w:val="nil"/>
          <w:bottom w:val="nil"/>
          <w:right w:val="nil"/>
          <w:between w:val="nil"/>
          <w:bar w:val="nil"/>
        </w:pBdr>
        <w:spacing w:before="0" w:after="240"/>
        <w:rPr>
          <w:noProof/>
          <w:szCs w:val="24"/>
        </w:rPr>
      </w:pPr>
      <w:r>
        <w:rPr>
          <w:noProof/>
        </w:rPr>
        <w:t>Felhívták a figyelmet arra, hogy a konzultáció során biztosítani kell az érdekelt felek megfelelő képviseletét és egyensúlyát. A konzultáció célja többek között az volt, hogy a közigazgatási szintek (központi és helyi szint) és a hatáskörök (a politikák kialakításáért felelős hatóságok, adó- és vámhatóságok, statisztikai hivatalok stb.) szempontjából érintett összes hatóságot bevonják. Ezenfelül a konzultációba bevonták a helyi termelő ágazatok – azaz az „octroi de mer” adókülönbözetek kedvezményezettjeinek – képviselőit, valamint az e differenciált adózási rendszerrel közvetlenül vagy közvetve érintett kereskedelmi és szolgáltatási ágazatokat is.</w:t>
      </w:r>
    </w:p>
    <w:p>
      <w:pPr>
        <w:rPr>
          <w:b/>
          <w:noProof/>
          <w:szCs w:val="24"/>
          <w:u w:color="000000"/>
          <w:bdr w:val="nil"/>
        </w:rPr>
      </w:pPr>
      <w:r>
        <w:rPr>
          <w:b/>
          <w:noProof/>
          <w:szCs w:val="24"/>
          <w:u w:color="000000"/>
          <w:bdr w:val="nil"/>
        </w:rPr>
        <w:t>•</w:t>
      </w:r>
      <w:r>
        <w:rPr>
          <w:b/>
          <w:noProof/>
          <w:szCs w:val="24"/>
          <w:u w:color="000000"/>
          <w:bdr w:val="nil"/>
        </w:rPr>
        <w:tab/>
        <w:t>Hatásvizsgálat</w:t>
      </w:r>
    </w:p>
    <w:p>
      <w:pPr>
        <w:pBdr>
          <w:top w:val="nil"/>
          <w:left w:val="nil"/>
          <w:bottom w:val="nil"/>
          <w:right w:val="nil"/>
          <w:between w:val="nil"/>
          <w:bar w:val="nil"/>
        </w:pBdr>
        <w:spacing w:before="0" w:after="240"/>
        <w:rPr>
          <w:noProof/>
          <w:szCs w:val="24"/>
        </w:rPr>
      </w:pPr>
      <w:r>
        <w:rPr>
          <w:noProof/>
        </w:rPr>
        <w:t>A hatásvizsgálat szorosan egymást követő értékelések – a jelenlegi rendszer utólagos értékelése, közvetlenül utána pedig előretekintő értékelés – keretében valósul meg. Ez a meglévő rendszer fenntartásának és esetleges módosításának lehetséges hatásaira irányuló elemzés egy elemző dokumentumban szerepel, amely mellékletként tartalmazza a rendszer értékelését is. Ez a dokumentum egy külső tanulmány és a tagállam által szolgáltatott információk alapján készült.</w:t>
      </w:r>
    </w:p>
    <w:p>
      <w:pPr>
        <w:pStyle w:val="ManualHeading1"/>
        <w:rPr>
          <w:noProof/>
          <w:szCs w:val="24"/>
        </w:rPr>
      </w:pPr>
      <w:r>
        <w:rPr>
          <w:noProof/>
        </w:rPr>
        <w:lastRenderedPageBreak/>
        <w:t>4.</w:t>
      </w:r>
      <w:r>
        <w:rPr>
          <w:noProof/>
        </w:rPr>
        <w:tab/>
        <w:t>KÖLTSÉGVETÉSI VONZATOK</w:t>
      </w:r>
    </w:p>
    <w:p>
      <w:pPr>
        <w:pBdr>
          <w:top w:val="nil"/>
          <w:left w:val="nil"/>
          <w:bottom w:val="nil"/>
          <w:right w:val="nil"/>
          <w:between w:val="nil"/>
          <w:bar w:val="nil"/>
        </w:pBdr>
        <w:spacing w:before="0" w:after="240"/>
        <w:rPr>
          <w:noProof/>
          <w:szCs w:val="24"/>
        </w:rPr>
      </w:pPr>
      <w:r>
        <w:rPr>
          <w:noProof/>
        </w:rPr>
        <w:t xml:space="preserve">A javaslatnak nincsenek az uniós költségvetést érintő vonzatai. </w:t>
      </w:r>
    </w:p>
    <w:p>
      <w:pPr>
        <w:pStyle w:val="ManualHeading1"/>
        <w:rPr>
          <w:noProof/>
          <w:szCs w:val="24"/>
        </w:rPr>
      </w:pPr>
      <w:r>
        <w:rPr>
          <w:noProof/>
        </w:rPr>
        <w:t>5.</w:t>
      </w:r>
      <w:r>
        <w:rPr>
          <w:noProof/>
        </w:rPr>
        <w:tab/>
        <w:t>EGYÉB ELEMEK</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Végrehajtási tervek, valamint a nyomon követés, az értékelés és a jelentéstétel szabályai</w:t>
      </w:r>
    </w:p>
    <w:p>
      <w:pPr>
        <w:pBdr>
          <w:top w:val="nil"/>
          <w:left w:val="nil"/>
          <w:bottom w:val="nil"/>
          <w:right w:val="nil"/>
          <w:between w:val="nil"/>
          <w:bar w:val="nil"/>
        </w:pBdr>
        <w:spacing w:before="0" w:after="240"/>
        <w:rPr>
          <w:noProof/>
          <w:szCs w:val="24"/>
        </w:rPr>
      </w:pPr>
      <w:r>
        <w:rPr>
          <w:noProof/>
        </w:rPr>
        <w:t>A rendszer időtartamát hat évben, 2027. december 31-ig állapítják meg. Mindazonáltal ezt megelőzően értékelni kell a rendszer alkalmazásának eredményeit.</w:t>
      </w:r>
    </w:p>
    <w:p>
      <w:pPr>
        <w:pBdr>
          <w:top w:val="nil"/>
          <w:left w:val="nil"/>
          <w:bottom w:val="nil"/>
          <w:right w:val="nil"/>
          <w:between w:val="nil"/>
          <w:bar w:val="nil"/>
        </w:pBdr>
        <w:spacing w:before="0" w:after="240"/>
        <w:rPr>
          <w:noProof/>
          <w:szCs w:val="24"/>
        </w:rPr>
      </w:pPr>
      <w:r>
        <w:rPr>
          <w:noProof/>
        </w:rPr>
        <w:t>Franciaországnak ezért legkésőbb 2025. szeptember 30-ig jelentést kell benyújtania az adórendszernek a 2019 és 2024 közötti időszakban történő alkalmazásáról</w:t>
      </w:r>
      <w:r>
        <w:rPr>
          <w:rStyle w:val="FootnoteReference"/>
          <w:noProof/>
          <w:szCs w:val="24"/>
        </w:rPr>
        <w:footnoteReference w:id="11"/>
      </w:r>
      <w:r>
        <w:rPr>
          <w:noProof/>
        </w:rPr>
        <w:t xml:space="preserve">. Ennek a jelentésnek a következő elemeket kell tartalmaznia: </w:t>
      </w:r>
    </w:p>
    <w:p>
      <w:pPr>
        <w:pStyle w:val="Tiret0"/>
        <w:numPr>
          <w:ilvl w:val="0"/>
          <w:numId w:val="11"/>
        </w:numPr>
        <w:rPr>
          <w:noProof/>
          <w:szCs w:val="24"/>
        </w:rPr>
      </w:pPr>
      <w:r>
        <w:rPr>
          <w:noProof/>
        </w:rPr>
        <w:t xml:space="preserve">a termeléshez kapcsolódó többletköltségekre vonatkozó adatok; </w:t>
      </w:r>
    </w:p>
    <w:p>
      <w:pPr>
        <w:pStyle w:val="Tiret0"/>
        <w:numPr>
          <w:ilvl w:val="0"/>
          <w:numId w:val="10"/>
        </w:numPr>
        <w:rPr>
          <w:noProof/>
          <w:szCs w:val="24"/>
        </w:rPr>
      </w:pPr>
      <w:r>
        <w:rPr>
          <w:noProof/>
        </w:rPr>
        <w:t>az esetleges versenytorzulások és a belső piacra gyakorolt hatások;</w:t>
      </w:r>
    </w:p>
    <w:p>
      <w:pPr>
        <w:pStyle w:val="Tiret0"/>
        <w:numPr>
          <w:ilvl w:val="0"/>
          <w:numId w:val="10"/>
        </w:numPr>
        <w:rPr>
          <w:noProof/>
          <w:szCs w:val="24"/>
        </w:rPr>
      </w:pPr>
      <w:r>
        <w:rPr>
          <w:noProof/>
        </w:rPr>
        <w:t>a rendszernek az eredményesség, a hatékonyság, a relevancia, a más uniós szakpolitikákkal való koherencia és az uniós hozzáadott érték kritériumai alapján történő értékeléséhez szükséges adatok.</w:t>
      </w:r>
    </w:p>
    <w:p>
      <w:pPr>
        <w:pBdr>
          <w:top w:val="nil"/>
          <w:left w:val="nil"/>
          <w:bottom w:val="nil"/>
          <w:right w:val="nil"/>
          <w:between w:val="nil"/>
          <w:bar w:val="nil"/>
        </w:pBdr>
        <w:spacing w:before="0" w:after="240"/>
        <w:rPr>
          <w:noProof/>
          <w:szCs w:val="24"/>
        </w:rPr>
      </w:pPr>
      <w:r>
        <w:rPr>
          <w:noProof/>
        </w:rPr>
        <w:t xml:space="preserve">A jelentés készítésekor az összes érdekelt féltől be kell gyűjteni a termelési többletköltségeik és a megfelelési költségeik mértékére és alakulására, valamint az esetleges piactorzulások eseteire vonatkozó adatokat. </w:t>
      </w:r>
    </w:p>
    <w:p>
      <w:pPr>
        <w:pBdr>
          <w:top w:val="nil"/>
          <w:left w:val="nil"/>
          <w:bottom w:val="nil"/>
          <w:right w:val="nil"/>
          <w:between w:val="nil"/>
          <w:bar w:val="nil"/>
        </w:pBdr>
        <w:spacing w:before="0" w:after="240"/>
        <w:rPr>
          <w:noProof/>
          <w:szCs w:val="24"/>
        </w:rPr>
      </w:pPr>
      <w:r>
        <w:rPr>
          <w:noProof/>
        </w:rPr>
        <w:t xml:space="preserve">Annak biztosítása érdekében, hogy a francia hatóságok által gyűjtött információk tartalmazzák az ahhoz szükséges adatokat, hogy a Bizottság megalapozott döntést hozhasson a rendszer jövőbeli érvényességére és életképességére vonatkozóan, a Bizottság külön iránymutatást dolgozott ki az előírt információkról. Ezek az információk a javaslat II. mellékletében találhatók. Ezek az iránymutatások lehetőség szerint meg fognak egyezni az EU legkülső régióiban érvényben lévő más hasonló rendszerekre vonatkozó iránymutatásokkal. </w:t>
      </w:r>
    </w:p>
    <w:p>
      <w:pPr>
        <w:pBdr>
          <w:top w:val="nil"/>
          <w:left w:val="nil"/>
          <w:bottom w:val="nil"/>
          <w:right w:val="nil"/>
          <w:between w:val="nil"/>
          <w:bar w:val="nil"/>
        </w:pBdr>
        <w:spacing w:before="0" w:after="240"/>
        <w:rPr>
          <w:noProof/>
          <w:szCs w:val="24"/>
        </w:rPr>
      </w:pPr>
      <w:r>
        <w:rPr>
          <w:noProof/>
        </w:rPr>
        <w:t xml:space="preserve">Lehetővé teszik a Bizottság számára annak megállapítását, hogy továbbra is fennállnak-e az „octroi de mer” adókülönbözeti eszközt indokolttá tevő okok, hogy a Franciaországnak nyújtott adókedvezmények továbbra is arányosak-e, és hogy lehetségesek-e a rendszer nemzetközi dimenzióját figyelembe vevő alternatív intézkedések. </w:t>
      </w:r>
    </w:p>
    <w:p>
      <w:pPr>
        <w:pBdr>
          <w:top w:val="nil"/>
          <w:left w:val="nil"/>
          <w:bottom w:val="nil"/>
          <w:right w:val="nil"/>
          <w:between w:val="nil"/>
          <w:bar w:val="nil"/>
        </w:pBdr>
        <w:spacing w:before="0" w:after="240"/>
        <w:rPr>
          <w:noProof/>
          <w:szCs w:val="24"/>
        </w:rPr>
      </w:pPr>
      <w:r>
        <w:rPr>
          <w:noProof/>
        </w:rPr>
        <w:t>Amikor a francia hatóságok benyújtják a nyomonkövetési jelentést, a Bizottság értékelni fogja a differenciált adómértékek hatásait, és felméri, hogy szükség van-e változtatásokra.</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A javaslat egyes rendelkezéseinek részletes magyarázata</w:t>
      </w:r>
    </w:p>
    <w:p>
      <w:pPr>
        <w:pBdr>
          <w:top w:val="nil"/>
          <w:left w:val="nil"/>
          <w:bottom w:val="nil"/>
          <w:right w:val="nil"/>
          <w:between w:val="nil"/>
          <w:bar w:val="nil"/>
        </w:pBdr>
        <w:spacing w:before="0" w:after="240"/>
        <w:rPr>
          <w:rFonts w:eastAsia="Arial Unicode MS"/>
          <w:noProof/>
          <w:szCs w:val="24"/>
        </w:rPr>
      </w:pPr>
      <w:r>
        <w:rPr>
          <w:noProof/>
        </w:rPr>
        <w:t>Ez a rész nem alkalmazandó, mivel a javaslat rendelkezései önmagukért beszélnek.</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2021/0051 (CNS)</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 francia legkülső régiókban alkalmazott „octroi de mer” adóról és a 940/2014/EU határozat módosításáról</w:t>
      </w:r>
      <w:r>
        <w:rPr>
          <w:noProof/>
        </w:rPr>
        <w:br/>
      </w:r>
    </w:p>
    <w:p>
      <w:pPr>
        <w:pStyle w:val="Institutionquiagit"/>
        <w:rPr>
          <w:noProof/>
          <w:szCs w:val="24"/>
        </w:rPr>
      </w:pPr>
      <w:r>
        <w:rPr>
          <w:noProof/>
        </w:rPr>
        <w:t>AZ EURÓPAI UNIÓ TANÁCSA,</w:t>
      </w:r>
    </w:p>
    <w:p>
      <w:pPr>
        <w:rPr>
          <w:noProof/>
          <w:szCs w:val="24"/>
        </w:rPr>
      </w:pPr>
      <w:r>
        <w:rPr>
          <w:noProof/>
        </w:rPr>
        <w:t>tekintettel az Európai Unió működéséről szóló szerződésre és különösen annak 349. cikkére,</w:t>
      </w:r>
    </w:p>
    <w:p>
      <w:pPr>
        <w:rPr>
          <w:noProof/>
          <w:szCs w:val="24"/>
        </w:rPr>
      </w:pPr>
      <w:r>
        <w:rPr>
          <w:noProof/>
        </w:rPr>
        <w:t>tekintettel az Európai Bizottság javaslatára,</w:t>
      </w:r>
    </w:p>
    <w:p>
      <w:pPr>
        <w:rPr>
          <w:noProof/>
          <w:szCs w:val="24"/>
        </w:rPr>
      </w:pPr>
      <w:r>
        <w:rPr>
          <w:noProof/>
        </w:rPr>
        <w:t>a jogalkotási aktus tervezete nemzeti parlamenteknek való megküldését követően,</w:t>
      </w:r>
    </w:p>
    <w:p>
      <w:pPr>
        <w:rPr>
          <w:noProof/>
          <w:szCs w:val="24"/>
        </w:rPr>
      </w:pPr>
      <w:r>
        <w:rPr>
          <w:noProof/>
        </w:rPr>
        <w:t>tekintettel az Európai Parlament véleményére</w:t>
      </w:r>
      <w:r>
        <w:rPr>
          <w:rStyle w:val="FootnoteReference"/>
          <w:noProof/>
          <w:szCs w:val="24"/>
        </w:rPr>
        <w:footnoteReference w:id="12"/>
      </w:r>
      <w:r>
        <w:rPr>
          <w:noProof/>
        </w:rPr>
        <w:t xml:space="preserve">, </w:t>
      </w:r>
    </w:p>
    <w:p>
      <w:pPr>
        <w:rPr>
          <w:noProof/>
        </w:rPr>
      </w:pPr>
      <w:r>
        <w:rPr>
          <w:noProof/>
        </w:rPr>
        <w:t>különleges jogalkotási eljárás keretében,</w:t>
      </w:r>
    </w:p>
    <w:p>
      <w:pPr>
        <w:rPr>
          <w:noProof/>
        </w:rPr>
      </w:pPr>
      <w:r>
        <w:rPr>
          <w:noProof/>
        </w:rPr>
        <w:t>mivel:</w:t>
      </w:r>
    </w:p>
    <w:p>
      <w:pPr>
        <w:pStyle w:val="ManualConsidrant"/>
        <w:rPr>
          <w:noProof/>
        </w:rPr>
      </w:pPr>
      <w:r>
        <w:t>(1)</w:t>
      </w:r>
      <w:r>
        <w:tab/>
      </w:r>
      <w:r>
        <w:rPr>
          <w:noProof/>
        </w:rPr>
        <w:t>A Szerződés rendelkezései – melyek hatálya a francia legkülső régiókra is kiterjed – elvben semmilyen eltérést nem tesznek lehetővé a helyi termékek, illetőleg a francia anyaországból vagy más tagállamokból érkező termékek adóztatásában. A Szerződés 349. cikke azonban lehetőséget nyújt a legkülső régiókra vonatkozó olyan egyedi intézkedések bevezetésére, amelyeket a gazdasági és társadalmi helyzetüket érintő állandó korlátok indokolnak.</w:t>
      </w:r>
    </w:p>
    <w:p>
      <w:pPr>
        <w:pStyle w:val="ManualConsidrant"/>
        <w:rPr>
          <w:noProof/>
          <w:szCs w:val="24"/>
        </w:rPr>
      </w:pPr>
      <w:r>
        <w:t>(2)</w:t>
      </w:r>
      <w:r>
        <w:tab/>
      </w:r>
      <w:r>
        <w:rPr>
          <w:noProof/>
        </w:rPr>
        <w:t xml:space="preserve">Ezért egyedi intézkedéseket kell elfogadni, különösen a Szerződés szóban forgó régiókra történő alkalmazására vonatkozó feltételek megállapítása céljából. Ezen intézkedéseknek figyelembe kell venniük a szóban forgó régiók különleges jellemzőit és korlátait, anélkül, hogy veszélyeztetnék az uniós jogrend integritását és koherenciáját, ideértve a belső piacot és a közös politikákat is. A Szerződés 349. cikke felsorolja a francia legkülső régiók által elszenvedett versenyhátrányokat: távoli fekvésük, szigetjellegük, kis méretük, kedvezőtlen domborzati és éghajlati viszonyaik és néhány terméktől való függésük. Ezen állandó korlátok következtében a legkülső régiók függővé válnak a nyersanyagoktól és az energiától, nagyobb készleteket kell felhalmozniuk, a helyi piac kis mérete pedig fejletlen exporttevékenységgel párosul stb. Mindezek a versenyhátrányok azt idézik elő, hogy magasabbak a helyben előállított termékek termelési költségei, így az önköltségi áruk is, ezért egyedi intézkedések nélkül kevésbé lennének versenyképesek a külföldről származó termékekkel szemben, még akkor is, ha a francia legkülső régiókba történő szállítás költségeit is figyelembe vesszük. Következésképpen mindez veszélyeztetné a helyi termelés fenntartását. Ezért egyedi intézkedések elfogadása szükséges a helyi ipar megerősítése céljából, növelve annak versenyképességét. </w:t>
      </w:r>
    </w:p>
    <w:p>
      <w:pPr>
        <w:pStyle w:val="ManualConsidrant"/>
        <w:rPr>
          <w:noProof/>
          <w:szCs w:val="24"/>
        </w:rPr>
      </w:pPr>
      <w:r>
        <w:t>(3)</w:t>
      </w:r>
      <w:r>
        <w:tab/>
      </w:r>
      <w:r>
        <w:rPr>
          <w:noProof/>
        </w:rPr>
        <w:t>A 940/2014/EU tanácsi határozat</w:t>
      </w:r>
      <w:r>
        <w:rPr>
          <w:rStyle w:val="FootnoteReference"/>
          <w:noProof/>
        </w:rPr>
        <w:footnoteReference w:id="13"/>
      </w:r>
      <w:r>
        <w:rPr>
          <w:noProof/>
        </w:rPr>
        <w:t xml:space="preserve"> felhatalmazza Franciaországot arra, hogy a helyben előállított termékek versenyképességének helyreállítása érdekében az „octroi de mer” </w:t>
      </w:r>
      <w:r>
        <w:rPr>
          <w:noProof/>
        </w:rPr>
        <w:lastRenderedPageBreak/>
        <w:t>adó vonatkozásában 2021. június 30-ig mentességeket és kedvezményeket alkalmazzon azokra a Martinique, Guadeloupe, Francia Guyana, Réunion és Mayotte legkülső régiókban előállított termékekre, amelyek esetében van helyi termelés, a helyi termelés fenntartását potenciálisan veszélyeztető jelentős árubehozatal áll fenn, valamint olyan többletköltségek vannak, amelyek a külföldről származó termékekhez képest megdrágítják a helyi termelés önköltségi árát. Az említett határozat melléklete felsorolja azokat a termékeket, amelyekre az adómentesség vagy az adókedvezmény alkalmazható. A helyben előállított termékek és az egyéb termékek eltérő adóztatásának mértéke – a terméktől függően – nem haladhatja meg a 10, 20 vagy 30 százalékpontot.</w:t>
      </w:r>
    </w:p>
    <w:p>
      <w:pPr>
        <w:pStyle w:val="ManualConsidrant"/>
        <w:rPr>
          <w:noProof/>
        </w:rPr>
      </w:pPr>
      <w:r>
        <w:t>(4)</w:t>
      </w:r>
      <w:r>
        <w:tab/>
      </w:r>
      <w:r>
        <w:rPr>
          <w:noProof/>
        </w:rPr>
        <w:t>Franciaország kérelmezte, hogy 2021. július 1-jétől tartsanak fenn egy, a 940/2014/EU határozatban foglaltakhoz hasonló eszközt. Azzal érvel, hogy a fent felsorolt versenyhátrányok továbbra is fennállnak, továbbá hogy a 940/2014/EU határozatban előírt adórendszer lehetővé tette a helyi termelés fenntartását és egyes esetekben annak fejlesztését is, nem zavarta a külkereskedelmet, és nem vezetett a vállalkozások által viselt többletköltségek túlkompenzálásához.</w:t>
      </w:r>
    </w:p>
    <w:p>
      <w:pPr>
        <w:pStyle w:val="ManualConsidrant"/>
        <w:rPr>
          <w:noProof/>
        </w:rPr>
      </w:pPr>
      <w:r>
        <w:t>(5)</w:t>
      </w:r>
      <w:r>
        <w:tab/>
      </w:r>
      <w:r>
        <w:rPr>
          <w:noProof/>
        </w:rPr>
        <w:t>Ezzel kapcsolatban Franciaország az öt érintett legkülső régió mindegyikére vonatkozóan egy sor termékjegyzéket adott meg a Bizottságnak azon termékekről, amelyek esetében – attól függően, hogy helyben előállított termékekről van-e szó vagy sem – maximum 20 vagy 30 százalékpontos differenciált adózást kíván alkalmazni. Saint Martin francia legkülső régiót az intézkedés nem érinti.</w:t>
      </w:r>
    </w:p>
    <w:p>
      <w:pPr>
        <w:pStyle w:val="ManualConsidrant"/>
        <w:rPr>
          <w:noProof/>
        </w:rPr>
      </w:pPr>
      <w:r>
        <w:t>(6)</w:t>
      </w:r>
      <w:r>
        <w:tab/>
      </w:r>
      <w:r>
        <w:rPr>
          <w:noProof/>
        </w:rPr>
        <w:t xml:space="preserve">Ez a határozat a Szerződés 349. cikkének rendelkezéseit hajtja végre, és felhatalmazza Franciaországot, hogy differenciált adóztatást alkalmazzon azokra a termékekre, amelyek tekintetében igazolták először is a helyi termelés meglétét, másodsorban jelentős mennyiségű olyan áru belépését (ideértve a francia anyaországból és más tagállamokból érkezőket), amely veszélyeztetheti a helyi termelés fennmaradását, végül pedig olyan többletköltségek meglétét, amelyek a máshonnan érkező termékekhez képest megdrágítják a helyi termelés önköltségi árát és veszélyeztetik a helyben előállított termékek versenyképességét. Az engedélyezett adókülönbözet nem haladhatja meg az igazolt többletköltségeket. </w:t>
      </w:r>
    </w:p>
    <w:p>
      <w:pPr>
        <w:pStyle w:val="ManualConsidrant"/>
        <w:rPr>
          <w:noProof/>
        </w:rPr>
      </w:pPr>
      <w:r>
        <w:t>(7)</w:t>
      </w:r>
      <w:r>
        <w:tab/>
      </w:r>
      <w:r>
        <w:rPr>
          <w:noProof/>
        </w:rPr>
        <w:t xml:space="preserve">Azokban az esetekben, amikor a helyi termelés piaci részesedése nem éri el az 5 %-ot, vagy ha a behozatal részesedése nem éri el az 10 %-ot, további igazolásokat kértek, amelyek alapján részben vagy teljesen bizonyíthatók a következő körülmények: munkaerő-igényes termékek megléte, a vállalkozás termékeinek diverzifikálását célzó, új termékek vagy a termékskálát kiegészítő termékek megléte, a helyi fejlődés szempontjából stratégiai jelentőségű termékek megléte (például a körforgásos gazdaság, a biológiai sokféleség javítása és a környezetvédelem területén), innovatív vagy nagy hozzáadott értéket képviselő termékek megléte, olyan máshonnan származó termékek megléte, amelyek ellátási zavara veszélyeztetheti a terület gazdaságát vagy lakosságát, olyan termékek megléte, amelyek a legkülső régiók piacainak kis mérete miatt csak akkor tudnak fennmaradni, ha erőfölényben vannak a piacon, valamint az egészségügyi válságok kezeléséhez szükséges gyógyszerek és egyéni védőeszközök előállításának megléte. Ezen elvek alkalmazása lehetővé teszi a Szerződés 349. cikkében foglalt rendelkezések végrehajtását, ugyanakkor nem lépi túl a szükséges mértéket és nem hoz létre indokolatlan előnyt a helyi termékek javára, és ily módon nem veszélyeztetheti az uniós jogrend integritását és koherenciáját, ideértve a </w:t>
      </w:r>
      <w:r>
        <w:rPr>
          <w:noProof/>
        </w:rPr>
        <w:lastRenderedPageBreak/>
        <w:t>torzulásoktól mentes belső piaci versenyt és az állami támogatásokkal kapcsolatos szakpolitikákat.</w:t>
      </w:r>
    </w:p>
    <w:p>
      <w:pPr>
        <w:pStyle w:val="ManualConsidrant"/>
        <w:rPr>
          <w:noProof/>
        </w:rPr>
      </w:pPr>
      <w:r>
        <w:t>(8)</w:t>
      </w:r>
      <w:r>
        <w:tab/>
      </w:r>
      <w:r>
        <w:rPr>
          <w:noProof/>
        </w:rPr>
        <w:t>A kisvállalkozások kötelezettségeinek egyszerűsítése és enyhítése, de a fejlesztésük támogatása érdekében is az adómentesség vagy az adókedvezmény minden olyan piaci szereplőre vonatkozik majd, amelynek éves forgalma legalább 550 000 EUR. Az említett küszöbértéknél alacsonyabb éves forgalommal rendelkező piaci szereplők nem tartoznak az „octroi de mer” adó hatálya alá, cserébe viszont nem vonhatják le a már előzetesen megfizetett ilyen adó összegét.</w:t>
      </w:r>
    </w:p>
    <w:p>
      <w:pPr>
        <w:pStyle w:val="ManualConsidrant"/>
        <w:rPr>
          <w:noProof/>
        </w:rPr>
      </w:pPr>
      <w:r>
        <w:t>(9)</w:t>
      </w:r>
      <w:r>
        <w:tab/>
      </w:r>
      <w:r>
        <w:rPr>
          <w:noProof/>
        </w:rPr>
        <w:t>Hasonlóképpen, az uniós joggal való koherencia érdekében elvetették a differenciált adózás alkalmazásának lehetőségét a 228/2013/EU európai parlamenti és tanácsi rendelet</w:t>
      </w:r>
      <w:r>
        <w:rPr>
          <w:rStyle w:val="FootnoteReference"/>
          <w:noProof/>
        </w:rPr>
        <w:footnoteReference w:id="14"/>
      </w:r>
      <w:r>
        <w:rPr>
          <w:noProof/>
        </w:rPr>
        <w:t xml:space="preserve"> III. fejezetében foglalt támogatásokban részesülő élelmiszer jellegű termékek vonatkozásában. E rendelkezés révén kiküszöbölhető, hogy az egyedi ellátási szabályok szerint biztosított mezőgazdasági pénzügyi támogatások hatását megsemmisítse vagy csökkentse az „octroi de mer” adó alá tartozó támogatott termékek magasabb adókulcsa.</w:t>
      </w:r>
    </w:p>
    <w:p>
      <w:pPr>
        <w:pStyle w:val="ManualConsidrant"/>
        <w:rPr>
          <w:noProof/>
        </w:rPr>
      </w:pPr>
      <w:r>
        <w:t>(10)</w:t>
      </w:r>
      <w:r>
        <w:tab/>
      </w:r>
      <w:r>
        <w:rPr>
          <w:noProof/>
        </w:rPr>
        <w:t>A 940/2014/EU határozatban már előírt, a francia legkülső régiók társadalmi és gazdasági fejlődését támogató célkitűzéseket megerősítik az adó céljára vonatkozó követelmények. Jogi kötelezettség, hogy az ebből az adóból származó bevételeket a francia legkülső régiók adóforrásai közé kell sorolni, és azokat a régiók gazdasági és társadalmi fejlesztésére irányuló stratégiára kell felhasználni, amely a helyi tevékenységek ösztönzéséhez való hozzájárulást is magában foglalja.</w:t>
      </w:r>
    </w:p>
    <w:p>
      <w:pPr>
        <w:pStyle w:val="ManualConsidrant"/>
        <w:rPr>
          <w:noProof/>
        </w:rPr>
      </w:pPr>
      <w:r>
        <w:t>(11)</w:t>
      </w:r>
      <w:r>
        <w:tab/>
      </w:r>
      <w:r>
        <w:rPr>
          <w:noProof/>
        </w:rPr>
        <w:t>A 940/2014/EU határozattal engedélyezett eltérés alkalmazási idejének 6 hónappal, 2021. december 31-ig történő meghosszabbítása érdekében módosítani kell a határozatot. Ez a határidő elegendő ahhoz, hogy Franciaország átültesse nemzeti jogába e határozat rendelkezéseit.</w:t>
      </w:r>
    </w:p>
    <w:p>
      <w:pPr>
        <w:pStyle w:val="ManualConsidrant"/>
        <w:rPr>
          <w:noProof/>
        </w:rPr>
      </w:pPr>
      <w:r>
        <w:t>(12)</w:t>
      </w:r>
      <w:r>
        <w:tab/>
      </w:r>
      <w:r>
        <w:rPr>
          <w:noProof/>
        </w:rPr>
        <w:t>A rendszer időtartamát hat évben, 2027. december 31-ig kell megállapítani. Annak érdekében, hogy a Bizottság értékelni tudja, hogy az eltérést indokoló feltételek továbbra is teljesülnek-e, Franciaországnak 2025. szeptember 30-ig nyomonkövetési jelentést kell benyújtania a Bizottság részére. Ezért meg kell határozni az említett jelentés előírt szerkezetét és tartalmát.</w:t>
      </w:r>
    </w:p>
    <w:p>
      <w:pPr>
        <w:pStyle w:val="ManualConsidrant"/>
        <w:rPr>
          <w:noProof/>
        </w:rPr>
      </w:pPr>
      <w:r>
        <w:t>(13)</w:t>
      </w:r>
      <w:r>
        <w:tab/>
      </w:r>
      <w:r>
        <w:rPr>
          <w:noProof/>
        </w:rPr>
        <w:t>A jogi kockázatok elkerülése érdekében ezt a határozatot 2022. január 1-jétől kell alkalmazni, míg a 940/2014/EU határozattal engedélyezett eltérés meghosszabbított alkalmazási idejének 2021. július 1-jén kell hatályba lépnie.</w:t>
      </w:r>
    </w:p>
    <w:p>
      <w:pPr>
        <w:pStyle w:val="ManualConsidrant"/>
        <w:rPr>
          <w:noProof/>
          <w:szCs w:val="24"/>
        </w:rPr>
      </w:pPr>
      <w:r>
        <w:t>(14)</w:t>
      </w:r>
      <w:r>
        <w:tab/>
      </w:r>
      <w:r>
        <w:rPr>
          <w:noProof/>
        </w:rPr>
        <w:t>E határozat nem sérti a Szerződés 107. és 108 cikkének lehetséges alkalmazását,</w:t>
      </w:r>
    </w:p>
    <w:p>
      <w:pPr>
        <w:pStyle w:val="Formuledadoption"/>
        <w:rPr>
          <w:noProof/>
        </w:rPr>
      </w:pPr>
      <w:r>
        <w:rPr>
          <w:noProof/>
        </w:rPr>
        <w:t>ELFOGADTA EZT A HATÁROZATOT:</w:t>
      </w:r>
    </w:p>
    <w:p>
      <w:pPr>
        <w:pStyle w:val="Titrearticle"/>
        <w:rPr>
          <w:noProof/>
        </w:rPr>
      </w:pPr>
      <w:r>
        <w:rPr>
          <w:noProof/>
        </w:rPr>
        <w:t>1. cikk</w:t>
      </w:r>
    </w:p>
    <w:p>
      <w:pPr>
        <w:keepNext/>
        <w:rPr>
          <w:noProof/>
        </w:rPr>
      </w:pPr>
      <w:r>
        <w:rPr>
          <w:noProof/>
        </w:rPr>
        <w:t xml:space="preserve">(1) A Szerződés 28., 30. és 110. cikkétől eltérve Franciaország engedélyt kap arra, hogy 2027. december 31-ig mentességet vagy kedvezményt biztosítson az „octroi de mer” adó vonatkozásában az I. mellékletben foglalt jegyzékben szereplő, – a Szerződés 349. cikke értelmében legkülső régiónak minősülő – Guadeloupe, Francia Guyana, Martinique, Mayotte vagy Réunion területén helyben előállított termékek tekintetében. Ezen adómentességeknek vagy adókedvezményeknek illeszkedniük kell az érintett legkülső régiók gazdasági és </w:t>
      </w:r>
      <w:r>
        <w:rPr>
          <w:noProof/>
        </w:rPr>
        <w:lastRenderedPageBreak/>
        <w:t>társadalmi fejlesztési stratégiájához és annak uniós keretéhez, valamint hozzá kell járulniuk a helyi tevékenységek előmozdításához, ugyanakkor nem változtathatják meg a közösségi érdekekkel ellentétes mértékben a kereskedelmi feltételeket.</w:t>
      </w:r>
    </w:p>
    <w:p>
      <w:pPr>
        <w:keepNext/>
        <w:rPr>
          <w:noProof/>
        </w:rPr>
      </w:pPr>
      <w:r>
        <w:rPr>
          <w:noProof/>
        </w:rPr>
        <w:t xml:space="preserve">(2) Az (1) bekezdésben említett teljes adómentességek vagy adókedvezmények alkalmazása nem eredményezhet olyan különbséget, amely a nem az érintett legkülső régiókból érkező hasonló termékekre alkalmazott adómértékekhez képest meghaladja az alábbi mértékeket: </w:t>
      </w:r>
    </w:p>
    <w:p>
      <w:pPr>
        <w:keepNext/>
        <w:rPr>
          <w:noProof/>
        </w:rPr>
      </w:pPr>
      <w:r>
        <w:rPr>
          <w:noProof/>
        </w:rPr>
        <w:t xml:space="preserve">a) 20 százalékpont az I. melléklet a) részében felsorolt termékek esetében; </w:t>
      </w:r>
    </w:p>
    <w:p>
      <w:pPr>
        <w:keepNext/>
        <w:rPr>
          <w:noProof/>
        </w:rPr>
      </w:pPr>
      <w:r>
        <w:rPr>
          <w:noProof/>
        </w:rPr>
        <w:t xml:space="preserve">b) 30 százalékpont az I. melléklet b) részében felsorolt termékek esetében. </w:t>
      </w:r>
    </w:p>
    <w:p>
      <w:pPr>
        <w:keepNext/>
        <w:rPr>
          <w:noProof/>
        </w:rPr>
      </w:pPr>
      <w:r>
        <w:rPr>
          <w:noProof/>
        </w:rPr>
        <w:t xml:space="preserve">Franciaország kötelezettséget vállal arra, hogy az I. mellékletben szereplő termékek tekintetében alkalmazott adómentesség vagy adókedvezmény nem haladja meg az indokolt többletköltségeket, sem a helyi gazdasági tevékenységek fenntartásához, előmozdításához és fejlesztéséhez feltétlenül szükséges mértéket. </w:t>
      </w:r>
    </w:p>
    <w:p>
      <w:pPr>
        <w:keepNext/>
        <w:rPr>
          <w:noProof/>
        </w:rPr>
      </w:pPr>
      <w:r>
        <w:rPr>
          <w:noProof/>
        </w:rPr>
        <w:t>(3) Franciaország az (1) és (2) bekezdésben említett adómentességet vagy adókedvezményt a legalább 550 000 EUR éves forgalommal rendelkező piaci szereplők esetében alkalmazza. Az említett küszöbértéknél alacsonyabb éves forgalommal rendelkező piaci szereplők nem tartoznak az „octroi de mer” adó hatálya alá.</w:t>
      </w:r>
    </w:p>
    <w:p>
      <w:pPr>
        <w:pStyle w:val="Titrearticle"/>
        <w:rPr>
          <w:noProof/>
        </w:rPr>
      </w:pPr>
      <w:r>
        <w:rPr>
          <w:noProof/>
        </w:rPr>
        <w:t>2. cikk</w:t>
      </w:r>
    </w:p>
    <w:p>
      <w:pPr>
        <w:keepNext/>
        <w:rPr>
          <w:noProof/>
        </w:rPr>
      </w:pPr>
      <w:r>
        <w:rPr>
          <w:noProof/>
        </w:rPr>
        <w:t>Az 1. cikk (1) bekezdésében említett termékeket olyan termelési többletköltségek megléte alapján választották ki, amelyek növelik a helyi termelés önköltségi árát a máshol előállított termékekhez képest, és veszélyeztetik a helyben előállított termékek versenyképességét.</w:t>
      </w:r>
    </w:p>
    <w:p>
      <w:pPr>
        <w:keepNext/>
        <w:rPr>
          <w:noProof/>
        </w:rPr>
      </w:pPr>
      <w:r>
        <w:rPr>
          <w:noProof/>
        </w:rPr>
        <w:t xml:space="preserve">Amennyiben: </w:t>
      </w:r>
    </w:p>
    <w:p>
      <w:pPr>
        <w:pStyle w:val="Point1"/>
        <w:rPr>
          <w:noProof/>
        </w:rPr>
      </w:pPr>
      <w:r>
        <w:rPr>
          <w:noProof/>
        </w:rPr>
        <w:t>a)</w:t>
      </w:r>
      <w:r>
        <w:rPr>
          <w:noProof/>
        </w:rPr>
        <w:tab/>
        <w:t>a helyi termék piaci részesedése nem éri el az 5 %-ot;</w:t>
      </w:r>
    </w:p>
    <w:p>
      <w:pPr>
        <w:pStyle w:val="Point1"/>
        <w:rPr>
          <w:noProof/>
        </w:rPr>
      </w:pPr>
      <w:r>
        <w:rPr>
          <w:noProof/>
        </w:rPr>
        <w:t>b)</w:t>
      </w:r>
      <w:r>
        <w:rPr>
          <w:noProof/>
        </w:rPr>
        <w:tab/>
        <w:t>vagy a piaci részesedése meghaladja a 90 %-ot.</w:t>
      </w:r>
    </w:p>
    <w:p>
      <w:pPr>
        <w:keepNext/>
        <w:rPr>
          <w:noProof/>
        </w:rPr>
      </w:pPr>
      <w:r>
        <w:rPr>
          <w:noProof/>
        </w:rPr>
        <w:t xml:space="preserve">További igazolásokat kértek, amelyek alapján részben vagy teljesen bizonyíthatók a következő körülmények: </w:t>
      </w:r>
    </w:p>
    <w:p>
      <w:pPr>
        <w:pStyle w:val="Point1"/>
        <w:rPr>
          <w:noProof/>
        </w:rPr>
      </w:pPr>
      <w:r>
        <w:rPr>
          <w:noProof/>
        </w:rPr>
        <w:t>1.</w:t>
      </w:r>
      <w:r>
        <w:rPr>
          <w:noProof/>
        </w:rPr>
        <w:tab/>
        <w:t>a munkaerő-igényes termékek;</w:t>
      </w:r>
    </w:p>
    <w:p>
      <w:pPr>
        <w:pStyle w:val="Point1"/>
        <w:rPr>
          <w:noProof/>
        </w:rPr>
      </w:pPr>
      <w:r>
        <w:rPr>
          <w:noProof/>
        </w:rPr>
        <w:t>2.</w:t>
      </w:r>
      <w:r>
        <w:rPr>
          <w:noProof/>
        </w:rPr>
        <w:tab/>
        <w:t>a vállalkozás termékeinek diverzifikálását célzó, új termékek vagy a termékskálát kiegészítő termékek;</w:t>
      </w:r>
    </w:p>
    <w:p>
      <w:pPr>
        <w:pStyle w:val="Point1"/>
        <w:rPr>
          <w:noProof/>
        </w:rPr>
      </w:pPr>
      <w:r>
        <w:rPr>
          <w:noProof/>
        </w:rPr>
        <w:t>3.</w:t>
      </w:r>
      <w:r>
        <w:rPr>
          <w:noProof/>
        </w:rPr>
        <w:tab/>
        <w:t>a helyi fejlődés szempontjából stratégiai jelentőségű termékek;</w:t>
      </w:r>
    </w:p>
    <w:p>
      <w:pPr>
        <w:pStyle w:val="Point1"/>
        <w:rPr>
          <w:noProof/>
        </w:rPr>
      </w:pPr>
      <w:r>
        <w:rPr>
          <w:noProof/>
        </w:rPr>
        <w:t>4.</w:t>
      </w:r>
      <w:r>
        <w:rPr>
          <w:noProof/>
        </w:rPr>
        <w:tab/>
        <w:t xml:space="preserve">az innovatív vagy nagy hozzáadott értéket képviselő termékek; </w:t>
      </w:r>
    </w:p>
    <w:p>
      <w:pPr>
        <w:pStyle w:val="Point1"/>
        <w:rPr>
          <w:noProof/>
        </w:rPr>
      </w:pPr>
      <w:r>
        <w:rPr>
          <w:noProof/>
        </w:rPr>
        <w:t>5.</w:t>
      </w:r>
      <w:r>
        <w:rPr>
          <w:noProof/>
        </w:rPr>
        <w:tab/>
        <w:t>olyan máshonnan származó termékek, amelyek ellátási zavara veszélyeztetheti a terület gazdaságát vagy lakosságát;</w:t>
      </w:r>
    </w:p>
    <w:p>
      <w:pPr>
        <w:pStyle w:val="Point1"/>
        <w:rPr>
          <w:noProof/>
        </w:rPr>
      </w:pPr>
      <w:r>
        <w:rPr>
          <w:noProof/>
        </w:rPr>
        <w:t>6.</w:t>
      </w:r>
      <w:r>
        <w:rPr>
          <w:noProof/>
        </w:rPr>
        <w:tab/>
        <w:t>olyan termékek, amelyek a legkülső régiók piacainak kis mérete miatt csak akkor tudnak fennmaradni, ha erőfölényben vannak a piacon;</w:t>
      </w:r>
    </w:p>
    <w:p>
      <w:pPr>
        <w:pStyle w:val="Point1"/>
        <w:rPr>
          <w:noProof/>
        </w:rPr>
      </w:pPr>
      <w:r>
        <w:rPr>
          <w:noProof/>
        </w:rPr>
        <w:t>7.</w:t>
      </w:r>
      <w:r>
        <w:rPr>
          <w:noProof/>
        </w:rPr>
        <w:tab/>
        <w:t>az egészségügyi válságok kezeléséhez szükséges gyógyszerek és egyéni védőeszközök előállítása.</w:t>
      </w:r>
    </w:p>
    <w:p>
      <w:pPr>
        <w:pStyle w:val="Titrearticle"/>
        <w:keepNext w:val="0"/>
        <w:rPr>
          <w:noProof/>
        </w:rPr>
      </w:pPr>
      <w:r>
        <w:rPr>
          <w:noProof/>
        </w:rPr>
        <w:t>3. cikk</w:t>
      </w:r>
    </w:p>
    <w:p>
      <w:pPr>
        <w:rPr>
          <w:noProof/>
        </w:rPr>
      </w:pPr>
      <w:r>
        <w:rPr>
          <w:noProof/>
        </w:rPr>
        <w:t xml:space="preserve">A francia hatóságok a 228/2013/EU rendelet III. fejezete szerinti egyedi ellátási szabályok előnyeiben részesített termékekre ugyanazokat az adóügyi rendelkezéseket alkalmazzák, mint amelyeket a helyben előállított termékekre alkalmaznak. </w:t>
      </w:r>
    </w:p>
    <w:p>
      <w:pPr>
        <w:pStyle w:val="Titrearticle"/>
        <w:keepNext w:val="0"/>
        <w:rPr>
          <w:noProof/>
        </w:rPr>
      </w:pPr>
      <w:r>
        <w:rPr>
          <w:noProof/>
        </w:rPr>
        <w:lastRenderedPageBreak/>
        <w:t>4. cikk</w:t>
      </w:r>
    </w:p>
    <w:p>
      <w:pPr>
        <w:rPr>
          <w:noProof/>
        </w:rPr>
      </w:pPr>
      <w:r>
        <w:rPr>
          <w:noProof/>
        </w:rPr>
        <w:t>Franciaország legkésőbb 2025. szeptember 30-ig nyomonkövetési jelentést nyújt be a Bizottságnak, amely lehetővé teszi a Bizottság számára annak értékelését, hogy továbbra is teljesülnek-e az 1. cikkben említett adórendszer alkalmazását indokoló feltételek. A nyomonkövetési jelentésnek tartalmaznia kell a II. mellékletben meghatározott információkat.</w:t>
      </w:r>
    </w:p>
    <w:p>
      <w:pPr>
        <w:pStyle w:val="Titrearticle"/>
        <w:keepNext w:val="0"/>
        <w:rPr>
          <w:noProof/>
        </w:rPr>
      </w:pPr>
      <w:r>
        <w:rPr>
          <w:noProof/>
        </w:rPr>
        <w:t>5. cikk</w:t>
      </w:r>
    </w:p>
    <w:p>
      <w:pPr>
        <w:rPr>
          <w:noProof/>
        </w:rPr>
      </w:pPr>
      <w:r>
        <w:rPr>
          <w:noProof/>
        </w:rPr>
        <w:t xml:space="preserve">A 940/2014/EU határozat 1. cikkének (1) bekezdésében a „2021. június 30.” időpont helyébe a „2021. december 31.” időpont lép. </w:t>
      </w:r>
    </w:p>
    <w:p>
      <w:pPr>
        <w:pStyle w:val="Titrearticle"/>
        <w:keepNext w:val="0"/>
        <w:rPr>
          <w:noProof/>
        </w:rPr>
      </w:pPr>
      <w:r>
        <w:rPr>
          <w:noProof/>
        </w:rPr>
        <w:t>6. cikk</w:t>
      </w:r>
    </w:p>
    <w:p>
      <w:pPr>
        <w:rPr>
          <w:noProof/>
        </w:rPr>
      </w:pPr>
      <w:r>
        <w:rPr>
          <w:noProof/>
        </w:rPr>
        <w:t>Ezt a rendeletet 2022. január 1-jétől kell alkalmazni, kivéve az 5. cikket, amelyet 2021. július 1-jétől kell alkalmazni.</w:t>
      </w:r>
    </w:p>
    <w:p>
      <w:pPr>
        <w:pStyle w:val="Titrearticle"/>
        <w:rPr>
          <w:noProof/>
        </w:rPr>
      </w:pPr>
      <w:r>
        <w:rPr>
          <w:noProof/>
        </w:rPr>
        <w:t>7. cikk</w:t>
      </w:r>
    </w:p>
    <w:p>
      <w:pPr>
        <w:keepNext/>
        <w:rPr>
          <w:noProof/>
        </w:rPr>
      </w:pPr>
      <w:r>
        <w:rPr>
          <w:noProof/>
        </w:rPr>
        <w:t>Ennek a határozatnak a Francia Köztársaság a címzettje.</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notePr>
        <w:numRestart w:val="eachPage"/>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Tanács 940/2014/EU határozata (2014. december 17.) a francia legkülső régiókban alkalmazott „octroi de mer” adóról (HL L 367., 2014.12.23., 1. o.).</w:t>
      </w:r>
    </w:p>
  </w:footnote>
  <w:footnote w:id="2">
    <w:p>
      <w:pPr>
        <w:pStyle w:val="FootnoteText"/>
      </w:pPr>
      <w:r>
        <w:rPr>
          <w:rStyle w:val="FootnoteReference"/>
        </w:rPr>
        <w:footnoteRef/>
      </w:r>
      <w:r>
        <w:tab/>
        <w:t>A Tanács (EU) 2020/1793 határozata (2020. november 16.) a francia legkülső régiókban alkalmazott „octroi de mer” adóról szóló 940/2014/EU határozat időbeli hatályának módosításáról (HL L 402., 2020.12.1., 21–22. o.).</w:t>
      </w:r>
    </w:p>
  </w:footnote>
  <w:footnote w:id="3">
    <w:p>
      <w:pPr>
        <w:pStyle w:val="FootnoteText"/>
      </w:pPr>
      <w:r>
        <w:rPr>
          <w:rStyle w:val="FootnoteReference"/>
        </w:rPr>
        <w:footnoteRef/>
      </w:r>
      <w:r>
        <w:tab/>
        <w:t>A 300 000 és 550 000 EUR közötti árbevétellel rendelkező vállalkozások adózásából származó 2019. évi bevételeket csak 1,22 millió EUR-ra becsülik, ami az „octroi de mer” adóból származó teljes bevétel (1,2 milliárd EUR) közel 0,1 %-át teszi ki.</w:t>
      </w:r>
    </w:p>
  </w:footnote>
  <w:footnote w:id="4">
    <w:p>
      <w:pPr>
        <w:pStyle w:val="FootnoteText"/>
      </w:pPr>
      <w:r>
        <w:rPr>
          <w:rStyle w:val="FootnoteReference"/>
        </w:rPr>
        <w:footnoteRef/>
      </w:r>
      <w:r>
        <w:tab/>
        <w:t>Az érintett vállalkozások száma 222.</w:t>
      </w:r>
    </w:p>
  </w:footnote>
  <w:footnote w:id="5">
    <w:p>
      <w:pPr>
        <w:pStyle w:val="FootnoteText"/>
      </w:pPr>
      <w:r>
        <w:rPr>
          <w:rStyle w:val="FootnoteReference"/>
        </w:rPr>
        <w:footnoteRef/>
      </w:r>
      <w:r>
        <w:tab/>
        <w:t>COM(2017)623 final.</w:t>
      </w:r>
    </w:p>
  </w:footnote>
  <w:footnote w:id="6">
    <w:p>
      <w:pPr>
        <w:pStyle w:val="FootnoteText"/>
      </w:pPr>
      <w:r>
        <w:rPr>
          <w:rStyle w:val="FootnoteReference"/>
        </w:rPr>
        <w:footnoteRef/>
      </w:r>
      <w:r>
        <w:tab/>
        <w:t>Az Európai Parlament és a Tanács 228/2013/EU rendelete (2013. március 13.).</w:t>
      </w:r>
    </w:p>
  </w:footnote>
  <w:footnote w:id="7">
    <w:p>
      <w:pPr>
        <w:pStyle w:val="FootnoteText"/>
      </w:pPr>
      <w:r>
        <w:rPr>
          <w:rStyle w:val="FootnoteReference"/>
        </w:rPr>
        <w:footnoteRef/>
      </w:r>
      <w:r>
        <w:tab/>
      </w:r>
      <w:r>
        <w:rPr>
          <w:rStyle w:val="FootnoteReference"/>
          <w:vertAlign w:val="baseline"/>
        </w:rPr>
        <w:t>Az Európai Parlament és a Tanács 508/2014/EU rendelete (2014. május 15.) az Európai Tengerügyi és Halászati Alapról</w:t>
      </w:r>
      <w:r>
        <w:t>.</w:t>
      </w:r>
    </w:p>
  </w:footnote>
  <w:footnote w:id="8">
    <w:p>
      <w:pPr>
        <w:pStyle w:val="FootnoteText"/>
      </w:pPr>
      <w:r>
        <w:rPr>
          <w:rStyle w:val="FootnoteReference"/>
        </w:rPr>
        <w:footnoteRef/>
      </w:r>
      <w:r>
        <w:tab/>
        <w:t>Az Európai Parlament és a Tanács 1303/2013/EU rendelete (2013. december 17.)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w:t>
      </w:r>
    </w:p>
  </w:footnote>
  <w:footnote w:id="9">
    <w:p>
      <w:pPr>
        <w:pStyle w:val="FootnoteText"/>
      </w:pPr>
      <w:r>
        <w:rPr>
          <w:rStyle w:val="FootnoteReference"/>
        </w:rPr>
        <w:footnoteRef/>
      </w:r>
      <w:r>
        <w:tab/>
        <w:t>A Bizottság közleménye az Európai Parlamentnek, a Tanácsnak, az Európai Gazdasági és Szociális Bizottságnak és a Régiók Bizottságának – Az egységes piac továbbfejlesztése: a polgárok és vállalkozások lehetőségeinek bővítése (COM(2015) 550 final), 4. o.</w:t>
      </w:r>
    </w:p>
  </w:footnote>
  <w:footnote w:id="10">
    <w:p>
      <w:pPr>
        <w:pStyle w:val="FootnoteText"/>
      </w:pPr>
      <w:r>
        <w:rPr>
          <w:rStyle w:val="FootnoteReference"/>
        </w:rPr>
        <w:footnoteRef/>
      </w:r>
      <w:r>
        <w:tab/>
        <w:t>Nagyon kevés esetben (a támogatható termékek 0,6 %-ánál) állapítottak meg (átlagban 3 százalékpontnál kisebb mértékű) túlkompenzálást a többletköltségek aktualizált (2020-as) kiszámításából adódóan.</w:t>
      </w:r>
    </w:p>
  </w:footnote>
  <w:footnote w:id="11">
    <w:p>
      <w:pPr>
        <w:pStyle w:val="FootnoteText"/>
      </w:pPr>
      <w:r>
        <w:rPr>
          <w:rStyle w:val="FootnoteReference"/>
        </w:rPr>
        <w:footnoteRef/>
      </w:r>
      <w:r>
        <w:tab/>
        <w:t>A jelentésnek tartalmaznia kell a 2019-re vonatkozó adatokat annak érdekében, hogy meg lehessen határozni a viszonyítási alapot, és a Bizottság a 2021 utáni időszakra vonatkozóan vizsgálni tudja a rendszer hatását. A jelentésnek – amennyire lehetséges – 2024-ig bezárólag tartalmaznia kell a legfrissebb adatokat.</w:t>
      </w:r>
    </w:p>
  </w:footnote>
  <w:footnote w:id="12">
    <w:p>
      <w:pPr>
        <w:pStyle w:val="FootnoteText"/>
      </w:pPr>
      <w:r>
        <w:rPr>
          <w:rStyle w:val="FootnoteReference"/>
        </w:rPr>
        <w:footnoteRef/>
      </w:r>
      <w:r>
        <w:tab/>
        <w:t>HL C ., , . o.</w:t>
      </w:r>
    </w:p>
  </w:footnote>
  <w:footnote w:id="13">
    <w:p>
      <w:pPr>
        <w:pStyle w:val="FootnoteText"/>
      </w:pPr>
      <w:r>
        <w:rPr>
          <w:rStyle w:val="FootnoteReference"/>
        </w:rPr>
        <w:footnoteRef/>
      </w:r>
      <w:r>
        <w:tab/>
        <w:t>A Tanács 940/2014/EU határozata (2014. december 17.) a francia legkülső régiókban alkalmazott „octroi de mer” adóról (HL L 367., 2014.12.23., 1. o.).</w:t>
      </w:r>
    </w:p>
  </w:footnote>
  <w:footnote w:id="14">
    <w:p>
      <w:pPr>
        <w:pStyle w:val="FootnoteText"/>
      </w:pPr>
      <w:r>
        <w:rPr>
          <w:rStyle w:val="FootnoteReference"/>
        </w:rPr>
        <w:footnoteRef/>
      </w:r>
      <w:r>
        <w:tab/>
        <w:t>Az Európai Parlament és a Tanács 228/2013/EU rendelete (2013. március 13.)</w:t>
      </w:r>
    </w:p>
    <w:p>
      <w:pPr>
        <w:pStyle w:val="FootnoteText"/>
      </w:pPr>
      <w:r>
        <w:t>az Unió legkülső régiói részére egyedi mezőgazdasági intézkedések megállapításáról és</w:t>
      </w:r>
    </w:p>
    <w:p>
      <w:pPr>
        <w:pStyle w:val="FootnoteText"/>
      </w:pPr>
      <w:r>
        <w:t>a 247/2006/EK tanácsi rendelet hatályon kívül helyezéséről (HL L 78., 2013.3.20., 23.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569D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B7A71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3A6D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C8D1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2E7F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C8C1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366F8C"/>
    <w:lvl w:ilvl="0">
      <w:start w:val="1"/>
      <w:numFmt w:val="decimal"/>
      <w:pStyle w:val="ListNumber"/>
      <w:lvlText w:val="%1."/>
      <w:lvlJc w:val="left"/>
      <w:pPr>
        <w:tabs>
          <w:tab w:val="num" w:pos="360"/>
        </w:tabs>
        <w:ind w:left="360" w:hanging="360"/>
      </w:pPr>
    </w:lvl>
  </w:abstractNum>
  <w:abstractNum w:abstractNumId="7">
    <w:nsid w:val="FFFFFF89"/>
    <w:multiLevelType w:val="singleLevel"/>
    <w:tmpl w:val="5942A6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8"/>
    <w:lvlOverride w:ilvl="0">
      <w:startOverride w:val="1"/>
    </w:lvlOverride>
  </w:num>
  <w:num w:numId="12">
    <w:abstractNumId w:val="12"/>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hideGrammaticalErrors/>
  <w:attachedTemplate r:id="rId1"/>
  <w:revisionView w:markup="0"/>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9 09:33: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FA3804D2-F530-4790-9719-07972438C064"/>
    <w:docVar w:name="LW_COVERPAGE_TYPE" w:val="1"/>
    <w:docVar w:name="LW_CROSSREFERENCE" w:val="{SWD(2021) 44 final}"/>
    <w:docVar w:name="LW_DocType" w:val="COM"/>
    <w:docVar w:name="LW_EMISSION" w:val="2021.3.3."/>
    <w:docVar w:name="LW_EMISSION_ISODATE" w:val="2021-03-03"/>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NS"/>
    <w:docVar w:name="LW_REF.II.NEW.CP_NUMBER" w:val="0051"/>
    <w:docVar w:name="LW_REF.II.NEW.CP_YEAR" w:val="2021"/>
    <w:docVar w:name="LW_REF.INST.NEW" w:val="COM"/>
    <w:docVar w:name="LW_REF.INST.NEW_ADOPTED" w:val="final"/>
    <w:docVar w:name="LW_REF.INST.NEW_TEXT" w:val="(2021)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 francia legküls\u337? régiókban alkalmazott \u8222?octroi de mer\u8221? adóról és a 940/2014/EU határozat módosításáról_x000b_"/>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2898">
      <w:bodyDiv w:val="1"/>
      <w:marLeft w:val="0"/>
      <w:marRight w:val="0"/>
      <w:marTop w:val="0"/>
      <w:marBottom w:val="0"/>
      <w:divBdr>
        <w:top w:val="none" w:sz="0" w:space="0" w:color="auto"/>
        <w:left w:val="none" w:sz="0" w:space="0" w:color="auto"/>
        <w:bottom w:val="none" w:sz="0" w:space="0" w:color="auto"/>
        <w:right w:val="none" w:sz="0" w:space="0" w:color="auto"/>
      </w:divBdr>
    </w:div>
    <w:div w:id="1717463495">
      <w:bodyDiv w:val="1"/>
      <w:marLeft w:val="0"/>
      <w:marRight w:val="0"/>
      <w:marTop w:val="0"/>
      <w:marBottom w:val="0"/>
      <w:divBdr>
        <w:top w:val="none" w:sz="0" w:space="0" w:color="auto"/>
        <w:left w:val="none" w:sz="0" w:space="0" w:color="auto"/>
        <w:bottom w:val="none" w:sz="0" w:space="0" w:color="auto"/>
        <w:right w:val="none" w:sz="0" w:space="0" w:color="auto"/>
      </w:divBdr>
    </w:div>
    <w:div w:id="1858734594">
      <w:bodyDiv w:val="1"/>
      <w:marLeft w:val="0"/>
      <w:marRight w:val="0"/>
      <w:marTop w:val="0"/>
      <w:marBottom w:val="0"/>
      <w:divBdr>
        <w:top w:val="none" w:sz="0" w:space="0" w:color="auto"/>
        <w:left w:val="none" w:sz="0" w:space="0" w:color="auto"/>
        <w:bottom w:val="none" w:sz="0" w:space="0" w:color="auto"/>
        <w:right w:val="none" w:sz="0" w:space="0" w:color="auto"/>
      </w:divBdr>
    </w:div>
    <w:div w:id="19356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7ECF442-54EA-48B6-BE5F-7B58EE93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13</Pages>
  <Words>4092</Words>
  <Characters>28483</Characters>
  <Application>Microsoft Office Word</Application>
  <DocSecurity>0</DocSecurity>
  <Lines>459</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2021-03-08T10:01:00Z</dcterms:created>
  <dcterms:modified xsi:type="dcterms:W3CDTF">2021-03-09T08:33:00Z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