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D5092224-A8EB-4452-B20B-5240EC3589C8" style="width:450.75pt;height:379.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szCs w:val="24"/>
        </w:rPr>
      </w:pPr>
      <w:bookmarkStart w:id="0" w:name="_GoBack"/>
      <w:bookmarkEnd w:id="0"/>
      <w:r>
        <w:rPr>
          <w:noProof/>
        </w:rPr>
        <w:lastRenderedPageBreak/>
        <w:t>OBRAZLOŽENJE</w:t>
      </w:r>
    </w:p>
    <w:p>
      <w:pPr>
        <w:pStyle w:val="ManualHeading1"/>
        <w:rPr>
          <w:noProof/>
          <w:szCs w:val="24"/>
        </w:rPr>
      </w:pPr>
      <w:r>
        <w:rPr>
          <w:noProof/>
        </w:rPr>
        <w:t>1.</w:t>
      </w:r>
      <w:r>
        <w:rPr>
          <w:noProof/>
        </w:rPr>
        <w:tab/>
        <w:t>KONTEKST PRIJEDLOGA</w:t>
      </w:r>
    </w:p>
    <w:p>
      <w:pPr>
        <w:pStyle w:val="ManualHeading2"/>
        <w:rPr>
          <w:rFonts w:eastAsia="Arial Unicode MS"/>
          <w:noProof/>
          <w:szCs w:val="24"/>
        </w:rPr>
      </w:pPr>
      <w:r>
        <w:rPr>
          <w:noProof/>
          <w:color w:val="000000"/>
          <w:szCs w:val="24"/>
          <w:u w:color="000000"/>
          <w:bdr w:val="nil"/>
        </w:rPr>
        <w:t>•</w:t>
      </w:r>
      <w:r>
        <w:rPr>
          <w:noProof/>
          <w:color w:val="000000"/>
          <w:szCs w:val="24"/>
          <w:u w:color="000000"/>
          <w:bdr w:val="nil"/>
        </w:rPr>
        <w:tab/>
        <w:t>Razlozi i ciljevi prijedloga</w:t>
      </w:r>
    </w:p>
    <w:p>
      <w:pPr>
        <w:rPr>
          <w:noProof/>
          <w:szCs w:val="24"/>
        </w:rPr>
      </w:pPr>
      <w:r>
        <w:rPr>
          <w:noProof/>
        </w:rPr>
        <w:t>Odredbe Ugovora o funkcioniranju Europske unije (UFEU) primjenjuju se na najudaljenije regije Unije. Međutim, najudaljenije francuske regije izvan su teritorijalne primjene direktiva o PDV-u i trošarinama.</w:t>
      </w:r>
    </w:p>
    <w:p>
      <w:pPr>
        <w:rPr>
          <w:noProof/>
          <w:szCs w:val="24"/>
        </w:rPr>
      </w:pPr>
      <w:r>
        <w:rPr>
          <w:noProof/>
        </w:rPr>
        <w:t>Odredbama UFEU-a, a posebno njegova članka 110., u načelu se u najudaljenijim francuskim regijama ne dopušta razlika u oporezivanju između lokalnih proizvoda i proizvoda iz matične Francuske, ostalih država članica ili trećih zemalja. Međutim, člankom 349. UFEU-a predviđa se mogućnost uvođenja posebnih mjera za te regije zbog stalnih ograničenja koja utječu na gospodarske i socijalne uvjete najudaljenijih regija. Te mjere odnose se na različite politike, uključujući poreznu politiku.</w:t>
      </w:r>
    </w:p>
    <w:p>
      <w:pPr>
        <w:rPr>
          <w:noProof/>
          <w:szCs w:val="24"/>
        </w:rPr>
      </w:pPr>
      <w:r>
        <w:rPr>
          <w:noProof/>
        </w:rPr>
        <w:t>Porez „octroi de mer” neizravni je porez koji je na snazi isključivo u najudaljenijim francuskim regijama Martiniqueu, Guadeloupeu, Francuskoj Gvajani, Reunionu i Mayotteu. Taj se porez primjenjuje na uvoz robe neovisno o njezinu podrijetlu te na isporuke robe koje su uz naknadu izvršile osobe koje obavljaju djelatnosti proizvodnje. U načelu se jednako primjenjuje na lokalno proizvedene proizvode i uvezene proizvode.</w:t>
      </w:r>
    </w:p>
    <w:p>
      <w:pPr>
        <w:rPr>
          <w:noProof/>
          <w:szCs w:val="24"/>
        </w:rPr>
      </w:pPr>
      <w:r>
        <w:rPr>
          <w:noProof/>
        </w:rPr>
        <w:t>Međutim, Odlukom Vijeća br. 940/2014/EU od 17. prosinca 2014.</w:t>
      </w:r>
      <w:r>
        <w:rPr>
          <w:rStyle w:val="FootnoteReference"/>
          <w:noProof/>
          <w:szCs w:val="24"/>
        </w:rPr>
        <w:footnoteReference w:id="1"/>
      </w:r>
      <w:r>
        <w:rPr>
          <w:noProof/>
        </w:rPr>
        <w:t xml:space="preserve"> Francuskoj se do 31. prosinca 2020. dopušta primjena izuzeća od poreza „octroi de mer” ili njegova smanjenja za određene proizvode za koje postoje lokalna proizvodnja, znatan uvoz koji može ugroziti održavanje lokalne proizvodnje i dodatni troškovi koji povećavaju cijenu lokalne proizvodnje u usporedbi s proizvodima koji su drugdje proizvedeni. U Prilogu toj odluci nalazi se popis proizvoda na koje se mogu primjenjivati izuzeća od poreza ili smanjenja poreza. Razlika u oporezivanju između lokalno proizvedenih proizvoda i ostalih proizvoda ne smije prelaziti 10, 20 ili 30 postotnih bodova, ovisno o proizvodu.</w:t>
      </w:r>
    </w:p>
    <w:p>
      <w:pPr>
        <w:rPr>
          <w:noProof/>
          <w:szCs w:val="24"/>
        </w:rPr>
      </w:pPr>
      <w:r>
        <w:rPr>
          <w:noProof/>
        </w:rPr>
        <w:t>Tim se diferenciranim oporezivanjem nastoji kompenzirati nepovoljan položaj najudaljenijih regija u tržišnom natjecanju, koji se manifestira povećanjem troškova proizvodnje, a time i cijene lokalno proizvedene robe. U nedostatku posebnih mjera lokalni proizvodi bili bi manje konkurentni od uvezene robe, čak i kad se u obzir uzme trošak prijevoza. To bi ugrozilo održavanje lokalne proizvodnje čiji su proizvodni troškovi veći zbog posebnih stalnih ograničenja tih regija.</w:t>
      </w:r>
    </w:p>
    <w:p>
      <w:pPr>
        <w:rPr>
          <w:noProof/>
          <w:szCs w:val="24"/>
        </w:rPr>
      </w:pPr>
      <w:r>
        <w:rPr>
          <w:noProof/>
        </w:rPr>
        <w:t>Francuska tijela su 1. ožujka 2019. zatražila od Komisije da produlji režim poreza „octroi de mer” na razdoblje nakon 31. prosinca 2020.</w:t>
      </w:r>
    </w:p>
    <w:p>
      <w:pPr>
        <w:rPr>
          <w:noProof/>
          <w:szCs w:val="24"/>
        </w:rPr>
      </w:pPr>
      <w:r>
        <w:rPr>
          <w:noProof/>
        </w:rPr>
        <w:t>Zbog isteka roka predviđenog Odlukom Vijeća Komisija je prethodno pokrenula vanjsku studiju kako bi ocijenila postojeći režim i mogući učinak različitih opcija za razdoblje nakon 2020. Na temelju te studije Komisija smatra da je opravdano odobriti zatraženo produljenje, uz određene izmjene postojećeg režima.</w:t>
      </w:r>
    </w:p>
    <w:p>
      <w:pPr>
        <w:autoSpaceDE w:val="0"/>
        <w:autoSpaceDN w:val="0"/>
        <w:adjustRightInd w:val="0"/>
        <w:spacing w:before="0" w:after="0"/>
        <w:rPr>
          <w:noProof/>
          <w:szCs w:val="24"/>
        </w:rPr>
      </w:pPr>
      <w:r>
        <w:rPr>
          <w:noProof/>
        </w:rPr>
        <w:t xml:space="preserve">Kako bi se francuskim tijelima omogućilo prikupljanje svih potrebnih informacija, koje je kasnilo zbog zdravstvene krize uzrokovane bolešću COVID-19, i kako bi se Komisiji osiguralo dovoljno vremena za podnošenje uravnoteženog prijedloga kojim se uzimaju u obzir </w:t>
      </w:r>
      <w:r>
        <w:rPr>
          <w:noProof/>
        </w:rPr>
        <w:lastRenderedPageBreak/>
        <w:t>različiti uključeni interesi, Odlukom Vijeća (EU) 2020/1793 od 16. studenoga 2020.</w:t>
      </w:r>
      <w:r>
        <w:rPr>
          <w:rStyle w:val="FootnoteReference"/>
          <w:noProof/>
          <w:szCs w:val="24"/>
        </w:rPr>
        <w:footnoteReference w:id="2"/>
      </w:r>
      <w:r>
        <w:rPr>
          <w:noProof/>
        </w:rPr>
        <w:t xml:space="preserve"> produljeno je razdoblje primjene Odluke Vijeća br. 940/2014/EU za šest mjeseci, odnosno do 30. lipnja 2021. umjesto do 31. prosinca 2020.</w:t>
      </w:r>
    </w:p>
    <w:p>
      <w:pPr>
        <w:rPr>
          <w:noProof/>
          <w:szCs w:val="24"/>
        </w:rPr>
      </w:pPr>
      <w:r>
        <w:rPr>
          <w:noProof/>
        </w:rPr>
        <w:t>Nadalje, ovim se prijedlogom utvrđuje pravni okvir za porez „octroi de mer” nakon 30. lipnja 2021. i utvrđuje novi režim izuzeća za razdoblje od 1. siječnja 2022. do 31. prosinca 2027., uz reviziju postojećih odredaba kojom se želi postići veća fleksibilnost i transparentnost režima. Istodobno se i datum isteka Odluke br. 940/2014/EU produljuje za šest mjeseci, do 31. prosinca 2021., kako bi se Francuskoj osiguralo dovoljno vremena da u svoje nacionalno zakonodavstvo prenese novi režim primjenjiv od 1. siječnja 2022. do 31. prosinca 2027.</w:t>
      </w:r>
    </w:p>
    <w:p>
      <w:pPr>
        <w:rPr>
          <w:noProof/>
          <w:szCs w:val="24"/>
        </w:rPr>
      </w:pPr>
      <w:r>
        <w:rPr>
          <w:noProof/>
        </w:rPr>
        <w:t>Predložene su sljedeće izmjene u odnosu na postojeći režim:</w:t>
      </w:r>
    </w:p>
    <w:p>
      <w:pPr>
        <w:pStyle w:val="Point0"/>
        <w:rPr>
          <w:noProof/>
          <w:szCs w:val="24"/>
        </w:rPr>
      </w:pPr>
      <w:r>
        <w:t>(a)</w:t>
      </w:r>
      <w:r>
        <w:tab/>
      </w:r>
      <w:r>
        <w:rPr>
          <w:noProof/>
        </w:rPr>
        <w:t xml:space="preserve">Utvrđivanje kriterija za odabir proizvoda koji ispunjavaju uvjete za diferencirano oporezivanje. </w:t>
      </w:r>
    </w:p>
    <w:p>
      <w:pPr>
        <w:tabs>
          <w:tab w:val="left" w:pos="2100"/>
        </w:tabs>
        <w:rPr>
          <w:noProof/>
          <w:szCs w:val="24"/>
        </w:rPr>
      </w:pPr>
      <w:r>
        <w:rPr>
          <w:noProof/>
        </w:rPr>
        <w:t xml:space="preserve">Proizvodi s popisa odabrani su na temelju dokaza o dodatnim troškovima proizvodnje koji povećavaju cijene lokalne proizvodnje u usporedbi s uvezenim proizvodima i smanjuju konkurentnost lokalno proizvedenih proizvoda. </w:t>
      </w:r>
    </w:p>
    <w:p>
      <w:pPr>
        <w:tabs>
          <w:tab w:val="left" w:pos="2100"/>
        </w:tabs>
        <w:rPr>
          <w:noProof/>
          <w:szCs w:val="24"/>
        </w:rPr>
      </w:pPr>
      <w:r>
        <w:rPr>
          <w:noProof/>
        </w:rPr>
        <w:t xml:space="preserve">Ako je tržišni udio lokalne proizvodnje: </w:t>
      </w:r>
    </w:p>
    <w:p>
      <w:pPr>
        <w:pStyle w:val="Point1"/>
        <w:rPr>
          <w:noProof/>
          <w:szCs w:val="24"/>
        </w:rPr>
      </w:pPr>
      <w:r>
        <w:t>(1)</w:t>
      </w:r>
      <w:r>
        <w:tab/>
      </w:r>
      <w:r>
        <w:rPr>
          <w:noProof/>
        </w:rPr>
        <w:t>manji od 5 %; ili</w:t>
      </w:r>
    </w:p>
    <w:p>
      <w:pPr>
        <w:pStyle w:val="Point1"/>
        <w:rPr>
          <w:noProof/>
          <w:szCs w:val="24"/>
        </w:rPr>
      </w:pPr>
      <w:r>
        <w:t>(2)</w:t>
      </w:r>
      <w:r>
        <w:tab/>
      </w:r>
      <w:r>
        <w:rPr>
          <w:noProof/>
        </w:rPr>
        <w:t>veći od 90 %.</w:t>
      </w:r>
    </w:p>
    <w:p>
      <w:pPr>
        <w:rPr>
          <w:noProof/>
          <w:szCs w:val="24"/>
        </w:rPr>
      </w:pPr>
      <w:r>
        <w:rPr>
          <w:noProof/>
        </w:rPr>
        <w:t>Potrebno je dostaviti dodatnu dokumentaciju kojom se u cijelosti ili djelomično dokazuju sljedeće okolnosti:</w:t>
      </w:r>
    </w:p>
    <w:p>
      <w:pPr>
        <w:pStyle w:val="Tiret1"/>
        <w:numPr>
          <w:ilvl w:val="0"/>
          <w:numId w:val="12"/>
        </w:numPr>
        <w:rPr>
          <w:noProof/>
          <w:szCs w:val="24"/>
        </w:rPr>
      </w:pPr>
      <w:r>
        <w:rPr>
          <w:noProof/>
        </w:rPr>
        <w:t xml:space="preserve">radno intenzivna proizvodnja, </w:t>
      </w:r>
    </w:p>
    <w:p>
      <w:pPr>
        <w:pStyle w:val="Tiret1"/>
        <w:rPr>
          <w:noProof/>
          <w:szCs w:val="24"/>
        </w:rPr>
      </w:pPr>
      <w:r>
        <w:rPr>
          <w:noProof/>
        </w:rPr>
        <w:t>nova proizvodnja ili dodaci asortimanu kojima se nastoji osigurati diversifikacija proizvodnje poduzeća,</w:t>
      </w:r>
    </w:p>
    <w:p>
      <w:pPr>
        <w:pStyle w:val="Tiret1"/>
        <w:rPr>
          <w:noProof/>
          <w:szCs w:val="24"/>
        </w:rPr>
      </w:pPr>
      <w:r>
        <w:rPr>
          <w:noProof/>
        </w:rPr>
        <w:t>strateška proizvodnja za lokalni razvoj (primjerice u području kružnoga gospodarstva kao što je prerada drva, povećanja biološke raznolikosti i zaštite okoliša),</w:t>
      </w:r>
    </w:p>
    <w:p>
      <w:pPr>
        <w:pStyle w:val="Tiret1"/>
        <w:rPr>
          <w:noProof/>
          <w:szCs w:val="24"/>
        </w:rPr>
      </w:pPr>
      <w:r>
        <w:rPr>
          <w:noProof/>
        </w:rPr>
        <w:t>inovativna proizvodnja ili proizvodnja s velikom dodanom vrijednošću,</w:t>
      </w:r>
    </w:p>
    <w:p>
      <w:pPr>
        <w:pStyle w:val="Tiret1"/>
        <w:rPr>
          <w:noProof/>
          <w:szCs w:val="24"/>
        </w:rPr>
      </w:pPr>
      <w:r>
        <w:rPr>
          <w:noProof/>
        </w:rPr>
        <w:t>uvozna proizvodnja čiji bi poremećaj u opskrbi mogao ugroziti lokalno gospodarstvo ili stanovništvo, primjerice građevinski materijali i prehrambeni proizvodi,</w:t>
      </w:r>
    </w:p>
    <w:p>
      <w:pPr>
        <w:pStyle w:val="Tiret1"/>
        <w:rPr>
          <w:noProof/>
          <w:szCs w:val="24"/>
        </w:rPr>
      </w:pPr>
      <w:r>
        <w:rPr>
          <w:noProof/>
        </w:rPr>
        <w:t>proizvodnja koja može postojati samo ako ima dominantan položaj na tržištu zbog ograničenosti tržištâ u najudaljenijim regijama,</w:t>
      </w:r>
    </w:p>
    <w:p>
      <w:pPr>
        <w:pStyle w:val="Tiret1"/>
        <w:rPr>
          <w:noProof/>
          <w:szCs w:val="24"/>
        </w:rPr>
      </w:pPr>
      <w:r>
        <w:rPr>
          <w:noProof/>
        </w:rPr>
        <w:t xml:space="preserve">proizvodnja medicinskih proizvoda i osobne zaštitne opreme koji su potrebni za rješavanje zdravstvenih kriza. </w:t>
      </w:r>
    </w:p>
    <w:p>
      <w:pPr>
        <w:pStyle w:val="ListParagraph"/>
        <w:pBdr>
          <w:top w:val="nil"/>
          <w:left w:val="nil"/>
          <w:bottom w:val="nil"/>
          <w:right w:val="nil"/>
          <w:between w:val="nil"/>
          <w:bar w:val="nil"/>
        </w:pBdr>
        <w:spacing w:before="0" w:after="240"/>
        <w:rPr>
          <w:noProof/>
          <w:szCs w:val="24"/>
        </w:rPr>
      </w:pPr>
    </w:p>
    <w:p>
      <w:pPr>
        <w:pStyle w:val="Point0"/>
        <w:rPr>
          <w:noProof/>
          <w:szCs w:val="24"/>
        </w:rPr>
      </w:pPr>
      <w:r>
        <w:t>(b)</w:t>
      </w:r>
      <w:r>
        <w:tab/>
      </w:r>
      <w:r>
        <w:rPr>
          <w:noProof/>
        </w:rPr>
        <w:t>Uvođenje dviju najviših diferenciranih stopa, od 20 % i 30 %, umjesto postojeće tri. Ipak, dopušteno diferencirano oporezivanje ne bi smjelo prekoračiti dokazane dodatne troškove.</w:t>
      </w:r>
    </w:p>
    <w:p>
      <w:pPr>
        <w:pStyle w:val="ListParagraph"/>
        <w:tabs>
          <w:tab w:val="left" w:pos="2100"/>
        </w:tabs>
        <w:rPr>
          <w:noProof/>
          <w:szCs w:val="24"/>
        </w:rPr>
      </w:pPr>
      <w:r>
        <w:rPr>
          <w:noProof/>
        </w:rPr>
        <w:lastRenderedPageBreak/>
        <w:t xml:space="preserve"> </w:t>
      </w:r>
    </w:p>
    <w:p>
      <w:pPr>
        <w:pStyle w:val="Point0"/>
        <w:rPr>
          <w:noProof/>
          <w:szCs w:val="24"/>
        </w:rPr>
      </w:pPr>
      <w:r>
        <w:t>(c)</w:t>
      </w:r>
      <w:r>
        <w:tab/>
      </w:r>
      <w:r>
        <w:rPr>
          <w:noProof/>
        </w:rPr>
        <w:t>Povišenje praga za primjenu oporezivanja porezom „octroi de mer” na 550 000 EUR. U okviru predloženog režima gospodarski subjekti kojima je godišnji promet niži od tog praga ne bi bili obveznici poreza „octroi de mer”. Zauzvrat ne bi mogli odbiti prethodno plaćeni iznos tog poreza. Time se želi izuzeti male gospodarske subjekte od plaćanja poreza na proizvodnju, smanjiti njihovo administrativno opterećenje i poduprijeti njihov razvoj. Ta je mjera opravdana jer ima mali utjecaj na proračun</w:t>
      </w:r>
      <w:r>
        <w:rPr>
          <w:rStyle w:val="FootnoteReference"/>
          <w:noProof/>
          <w:szCs w:val="24"/>
        </w:rPr>
        <w:footnoteReference w:id="3"/>
      </w:r>
      <w:r>
        <w:rPr>
          <w:noProof/>
        </w:rPr>
        <w:t xml:space="preserve"> i ne narušava tržišno natjecanje s obzirom na mali broj uključenih gospodarskih subjekata</w:t>
      </w:r>
      <w:r>
        <w:rPr>
          <w:rStyle w:val="FootnoteReference"/>
          <w:noProof/>
          <w:szCs w:val="24"/>
        </w:rPr>
        <w:footnoteReference w:id="4"/>
      </w:r>
      <w:r>
        <w:rPr>
          <w:noProof/>
        </w:rPr>
        <w:t>.</w:t>
      </w:r>
    </w:p>
    <w:p>
      <w:pPr>
        <w:pStyle w:val="ListParagraph"/>
        <w:tabs>
          <w:tab w:val="left" w:pos="2100"/>
        </w:tabs>
        <w:rPr>
          <w:noProof/>
          <w:szCs w:val="24"/>
        </w:rPr>
      </w:pPr>
    </w:p>
    <w:p>
      <w:pPr>
        <w:pStyle w:val="Point0"/>
        <w:rPr>
          <w:noProof/>
          <w:szCs w:val="24"/>
        </w:rPr>
      </w:pPr>
      <w:r>
        <w:t>(d)</w:t>
      </w:r>
      <w:r>
        <w:tab/>
      </w:r>
      <w:r>
        <w:rPr>
          <w:noProof/>
        </w:rPr>
        <w:t>Zamjena srednjoročnog izvješća izvješćem do 30. rujna 2025., koje bi trebalo sadržavati barem informacije iz Priloga II. Odluci. Te će informacije poslužiti kao osnova za produljenje režima. Ovim se prijedlogom nastoji smanjiti opterećenje zbog ocjene sustava, koja je nepotrebno učestala, te povećati korisnost i učinkovitost praćenja i evaluacije.</w:t>
      </w:r>
    </w:p>
    <w:p>
      <w:pPr>
        <w:pStyle w:val="ListParagraph"/>
        <w:rPr>
          <w:noProof/>
          <w:szCs w:val="24"/>
        </w:rPr>
      </w:pPr>
    </w:p>
    <w:p>
      <w:pPr>
        <w:rPr>
          <w:noProof/>
          <w:szCs w:val="24"/>
        </w:rPr>
      </w:pPr>
      <w:r>
        <w:rPr>
          <w:noProof/>
        </w:rPr>
        <w:t xml:space="preserve">Osim toga, kad je riječ o ocjeni dodatnih troškova proizvodnje koji se žele nadoknaditi diferenciranim oporezivanjem, francuska su tijela za svaku četveroznamenkastu oznaku carinske nomenklature dostavila ocjenu dodatnih troškova proizvodnje koje snose lokalna poduzeća, a to su uglavnom troškovi opskrbe, plaće, viši troškovi energije, financijski troškovi koji nastaju držanjem većih zaliha, viši troškovi održavanja, nedovoljna iskorištenost proizvodne opreme i viši financijski troškovi. </w:t>
      </w:r>
    </w:p>
    <w:p>
      <w:pPr>
        <w:rPr>
          <w:noProof/>
          <w:szCs w:val="24"/>
        </w:rPr>
      </w:pPr>
      <w:r>
        <w:rPr>
          <w:noProof/>
        </w:rPr>
        <w:t>Prilog Odluci sadržava popis proizvoda na koje se mogu primjenjivati izuzeća od poreza „octroi de mer” ili njegova smanjenja. Razlika u oporezivanju između lokalno proizvedenih proizvoda i ostalih proizvoda ne smije prelaziti 20 ili 30 postotnih bodova, ovisno o proizvodu. U dijelu (a) Priloga navode se proizvodi za koje razlika u oporezivanju ne smije prelaziti 20 postotnih bodova, a u dijelu (b) proizvodi za koje razlika ne smije prelaziti 30 postotnih bodova.</w:t>
      </w:r>
    </w:p>
    <w:p>
      <w:pPr>
        <w:rPr>
          <w:noProof/>
          <w:szCs w:val="24"/>
        </w:rPr>
      </w:pPr>
      <w:r>
        <w:rPr>
          <w:noProof/>
        </w:rPr>
        <w:t>Proizvodi navedeni u Prilogu uglavnom su istovjetni proizvodima navedenima u Prilogu Odluci Vijeća br. 940/2014/EU. Međutim, nakon sveobuhvatnog preispitivanja popisâ mnogi su proizvodi za koje diferencirano oporezivanje više nije opravdano uklonjeni. S druge strane, dodani su proizvodi koji nisu bili obuhvaćeni Odlukom br. 940/2014/EU, ali čija je proizvodnja započela ili se razvila. Naposljetku, neki su proizvodi zadržani na popisima, ali s izmijenjenim dopuštenim diferenciranim oporezivanjem, odnosno njegovim povećanjem ili sniženjem kako bi se u obzir uzelo kretanje dodatnih troškova.</w:t>
      </w:r>
    </w:p>
    <w:p>
      <w:pPr>
        <w:rPr>
          <w:noProof/>
          <w:szCs w:val="24"/>
        </w:rPr>
      </w:pPr>
    </w:p>
    <w:p>
      <w:pPr>
        <w:pStyle w:val="ManualHeading2"/>
        <w:rPr>
          <w:rFonts w:eastAsia="Arial Unicode MS"/>
          <w:noProof/>
          <w:color w:val="000000"/>
          <w:szCs w:val="24"/>
          <w:u w:color="000000"/>
          <w:bdr w:val="nil"/>
        </w:rPr>
      </w:pPr>
      <w:r>
        <w:rPr>
          <w:noProof/>
          <w:color w:val="000000"/>
          <w:szCs w:val="24"/>
          <w:u w:color="000000"/>
          <w:bdr w:val="nil"/>
        </w:rPr>
        <w:t>•</w:t>
      </w:r>
      <w:r>
        <w:rPr>
          <w:noProof/>
          <w:color w:val="000000"/>
          <w:szCs w:val="24"/>
          <w:u w:color="000000"/>
          <w:bdr w:val="nil"/>
        </w:rPr>
        <w:tab/>
        <w:t>Dosljednost s postojećim odredbama politike u tom području</w:t>
      </w:r>
    </w:p>
    <w:p>
      <w:pPr>
        <w:rPr>
          <w:noProof/>
          <w:szCs w:val="24"/>
        </w:rPr>
      </w:pPr>
      <w:r>
        <w:rPr>
          <w:noProof/>
        </w:rPr>
        <w:t>U Komunikaciji iz 2017. o jačem i obnovljenom strateškom partnerstvu s najudaljenijim regijama Europske unije</w:t>
      </w:r>
      <w:r>
        <w:rPr>
          <w:rStyle w:val="FootnoteReference"/>
          <w:noProof/>
          <w:szCs w:val="24"/>
        </w:rPr>
        <w:footnoteReference w:id="5"/>
      </w:r>
      <w:r>
        <w:rPr>
          <w:noProof/>
        </w:rPr>
        <w:t xml:space="preserve"> istaknuto je da se najudaljenije regije i dalje suočavaju s ozbiljnim problemima, od kojih su mnogi stalni. U toj je Komunikaciji predstavljen novi pristup </w:t>
      </w:r>
      <w:r>
        <w:rPr>
          <w:noProof/>
        </w:rPr>
        <w:lastRenderedPageBreak/>
        <w:t>Komisije poticanju razvoja najudaljenijih regija maksimalnim iskorištavanjem resursa i mogućnosti koje pružaju novi vektori rasta i nova radna mjesta.</w:t>
      </w:r>
    </w:p>
    <w:p>
      <w:pPr>
        <w:rPr>
          <w:noProof/>
          <w:szCs w:val="24"/>
        </w:rPr>
      </w:pPr>
      <w:r>
        <w:rPr>
          <w:noProof/>
        </w:rPr>
        <w:t>U tom kontekstu cilj je ovog prijedloga promicati lokalnu proizvodnju i tako potaknuti zapošljavanje u najudaljenijim francuskim regijama. Ovim prijedlogom ponovno se uspostavlja konkurentnost lokalne proizvodnje tako što se nadoknađuju nedostaci koji proizlaze iz njezina zemljopisnog i gospodarskog položaja. Njime se dopunjuju Program mogućnosti koji se posebno odnosi na udaljenost i izoliranost (POSEI)</w:t>
      </w:r>
      <w:r>
        <w:rPr>
          <w:rStyle w:val="FootnoteReference"/>
          <w:noProof/>
          <w:szCs w:val="24"/>
        </w:rPr>
        <w:footnoteReference w:id="6"/>
      </w:r>
      <w:r>
        <w:rPr>
          <w:noProof/>
        </w:rPr>
        <w:t>, čiji je cilj potpora primarnom sektoru i proizvodnji sirovina, Europski fond za pomorstvo i ribarstvo (EFPR)</w:t>
      </w:r>
      <w:r>
        <w:rPr>
          <w:rStyle w:val="FootnoteReference"/>
          <w:noProof/>
          <w:szCs w:val="24"/>
        </w:rPr>
        <w:footnoteReference w:id="7"/>
      </w:r>
      <w:r>
        <w:rPr>
          <w:noProof/>
        </w:rPr>
        <w:t xml:space="preserve"> i Europski fond za regionalni razvoj (EFRR)</w:t>
      </w:r>
      <w:r>
        <w:rPr>
          <w:rStyle w:val="FootnoteReference"/>
          <w:noProof/>
          <w:szCs w:val="24"/>
        </w:rPr>
        <w:footnoteReference w:id="8"/>
      </w:r>
      <w:r>
        <w:rPr>
          <w:noProof/>
        </w:rPr>
        <w:t>, koji uključuje dodatnu posebnu dodjelu sredstava za nadoknadu dodatnih troškova najudaljenijih regija koji su svojstveni njihovim stalnim ograničenjima.</w:t>
      </w:r>
    </w:p>
    <w:p>
      <w:pPr>
        <w:rPr>
          <w:noProof/>
          <w:szCs w:val="24"/>
        </w:rPr>
      </w:pPr>
      <w:r>
        <w:rPr>
          <w:noProof/>
        </w:rPr>
        <w:t>Nadalje, zbog nužne dosljednosti pravila poljoprivredne politike odbačena je primjena diferenciranog oporezivanja za sve prehrambene proizvode za koje se dodjeljuju potpore predviđene poglavljem III. Uredbe (EU) br. 228/2013 Europskog parlamenata i Vijeća od 13. ožujka 2013. o utvrđivanju posebnih mjera za poljoprivredu u najudaljenijim regijama Unije i osobito za posebne režime opskrbe.</w:t>
      </w:r>
    </w:p>
    <w:p>
      <w:pPr>
        <w:pStyle w:val="ManualHeading2"/>
        <w:rPr>
          <w:rFonts w:eastAsia="Arial Unicode MS"/>
          <w:noProof/>
          <w:szCs w:val="24"/>
        </w:rPr>
      </w:pPr>
      <w:r>
        <w:rPr>
          <w:noProof/>
          <w:color w:val="000000"/>
          <w:szCs w:val="24"/>
          <w:u w:color="000000"/>
          <w:bdr w:val="nil"/>
        </w:rPr>
        <w:t>•</w:t>
      </w:r>
      <w:r>
        <w:rPr>
          <w:noProof/>
          <w:color w:val="000000"/>
          <w:szCs w:val="24"/>
          <w:u w:color="000000"/>
          <w:bdr w:val="nil"/>
        </w:rPr>
        <w:tab/>
        <w:t>Dosljednost u odnosu na druge politike Unije</w:t>
      </w:r>
    </w:p>
    <w:p>
      <w:pPr>
        <w:pBdr>
          <w:top w:val="nil"/>
          <w:left w:val="nil"/>
          <w:bottom w:val="nil"/>
          <w:right w:val="nil"/>
          <w:between w:val="nil"/>
          <w:bar w:val="nil"/>
        </w:pBdr>
        <w:spacing w:before="0" w:after="240"/>
        <w:rPr>
          <w:noProof/>
          <w:szCs w:val="24"/>
        </w:rPr>
      </w:pPr>
      <w:r>
        <w:rPr>
          <w:noProof/>
        </w:rPr>
        <w:t>Prijedlog je dosljedan strategiji jedinstvenog tržišta iz 2015.</w:t>
      </w:r>
      <w:r>
        <w:rPr>
          <w:rStyle w:val="FootnoteReference"/>
          <w:noProof/>
          <w:szCs w:val="24"/>
        </w:rPr>
        <w:footnoteReference w:id="9"/>
      </w:r>
      <w:r>
        <w:rPr>
          <w:noProof/>
        </w:rPr>
        <w:t xml:space="preserve"> kojom Komisija nastoji ostvariti povezanije i pravednije jedinstveno tržište od kojeg će koristi imati svi dionici. Jedan od ciljeva predložene mjere jest smanjivanje dodatnih troškova koje snose poduzeća u najudaljenijim regijama, što otežava njihovo potpuno sudjelovanje na jedinstvenom tržištu. Zbog ograničenog obujma proizvodnje u najudaljenijim francuskim regijama nije predviđen negativan učinak na pravilno funkcioniranje jedinstvenog tržišta.</w:t>
      </w:r>
    </w:p>
    <w:p>
      <w:pPr>
        <w:pStyle w:val="ManualHeading1"/>
        <w:rPr>
          <w:noProof/>
          <w:szCs w:val="24"/>
        </w:rPr>
      </w:pPr>
      <w:r>
        <w:rPr>
          <w:noProof/>
        </w:rPr>
        <w:t>2.</w:t>
      </w:r>
      <w:r>
        <w:rPr>
          <w:noProof/>
        </w:rPr>
        <w:tab/>
        <w:t>PRAVNA OSNOVA, SUPSIDIJARNOST I PROPORCIONALNOST</w:t>
      </w:r>
    </w:p>
    <w:p>
      <w:pPr>
        <w:pStyle w:val="ManualHeading2"/>
        <w:rPr>
          <w:rFonts w:eastAsia="Arial Unicode MS"/>
          <w:noProof/>
          <w:szCs w:val="24"/>
          <w:u w:color="000000"/>
          <w:bdr w:val="nil"/>
        </w:rPr>
      </w:pPr>
      <w:r>
        <w:rPr>
          <w:noProof/>
          <w:szCs w:val="24"/>
          <w:u w:color="000000"/>
          <w:bdr w:val="nil"/>
        </w:rPr>
        <w:t>•</w:t>
      </w:r>
      <w:r>
        <w:rPr>
          <w:noProof/>
          <w:szCs w:val="24"/>
          <w:u w:color="000000"/>
          <w:bdr w:val="nil"/>
        </w:rPr>
        <w:tab/>
        <w:t>Pravna osnova</w:t>
      </w:r>
    </w:p>
    <w:p>
      <w:pPr>
        <w:pBdr>
          <w:top w:val="nil"/>
          <w:left w:val="nil"/>
          <w:bottom w:val="nil"/>
          <w:right w:val="nil"/>
          <w:between w:val="nil"/>
          <w:bar w:val="nil"/>
        </w:pBdr>
        <w:spacing w:before="0" w:after="240"/>
        <w:rPr>
          <w:noProof/>
          <w:szCs w:val="24"/>
        </w:rPr>
      </w:pPr>
      <w:r>
        <w:rPr>
          <w:noProof/>
        </w:rPr>
        <w:t>Pravna osnova prijedloga jest članak 349. UFEU-a. Tom se odredbom Vijeću omogućuje da donese posebne odredbe čiji je cilj utvrđivanje uvjeta primjene Ugovorâ na najudaljenije regije EU-a.</w:t>
      </w:r>
    </w:p>
    <w:p>
      <w:pPr>
        <w:pBdr>
          <w:top w:val="nil"/>
          <w:left w:val="nil"/>
          <w:bottom w:val="nil"/>
          <w:right w:val="nil"/>
          <w:between w:val="nil"/>
          <w:bar w:val="nil"/>
        </w:pBdr>
        <w:spacing w:before="0" w:after="240"/>
        <w:rPr>
          <w:rFonts w:eastAsia="Arial Unicode MS"/>
          <w:noProof/>
          <w:szCs w:val="24"/>
          <w:u w:color="000000"/>
          <w:bdr w:val="nil"/>
        </w:rPr>
      </w:pPr>
      <w:r>
        <w:rPr>
          <w:noProof/>
          <w:szCs w:val="24"/>
          <w:u w:color="000000"/>
          <w:bdr w:val="nil"/>
        </w:rPr>
        <w:t>•</w:t>
      </w:r>
      <w:r>
        <w:rPr>
          <w:b/>
          <w:noProof/>
          <w:szCs w:val="24"/>
          <w:u w:color="000000"/>
          <w:bdr w:val="nil"/>
        </w:rPr>
        <w:tab/>
        <w:t>Supsidijarnost (za neisključivu nadležnost)</w:t>
      </w:r>
    </w:p>
    <w:p>
      <w:pPr>
        <w:pBdr>
          <w:top w:val="nil"/>
          <w:left w:val="nil"/>
          <w:bottom w:val="nil"/>
          <w:right w:val="nil"/>
          <w:between w:val="nil"/>
          <w:bar w:val="nil"/>
        </w:pBdr>
        <w:spacing w:before="0" w:after="240"/>
        <w:rPr>
          <w:noProof/>
          <w:szCs w:val="24"/>
        </w:rPr>
      </w:pPr>
      <w:r>
        <w:rPr>
          <w:noProof/>
        </w:rPr>
        <w:t>Samo je Vijeće ovlašteno, na temelju članka 349. UFEU-a, za donošenje posebnih mjera kojima se pogoduje najudaljenijim regijama kako bi se prilagodila primjena Ugovorâ na te regije, uključujući zajedničke politike, zbog stalnih ograničenja koja utječu na gospodarske i socijalne uvjete najudaljenijih regija. To se odnosi i na odobravanje odstupanja od članka 110. UFEU-a. Stoga je prijedlog u skladu s načelom supsidijarnosti.</w:t>
      </w:r>
    </w:p>
    <w:p>
      <w:pPr>
        <w:pStyle w:val="ManualHeading2"/>
        <w:rPr>
          <w:rFonts w:eastAsia="Arial Unicode MS"/>
          <w:noProof/>
          <w:szCs w:val="24"/>
          <w:u w:color="000000"/>
          <w:bdr w:val="nil"/>
        </w:rPr>
      </w:pPr>
      <w:r>
        <w:rPr>
          <w:noProof/>
          <w:szCs w:val="24"/>
          <w:u w:color="000000"/>
          <w:bdr w:val="nil"/>
        </w:rPr>
        <w:lastRenderedPageBreak/>
        <w:t>•</w:t>
      </w:r>
      <w:r>
        <w:rPr>
          <w:noProof/>
          <w:szCs w:val="24"/>
          <w:u w:color="000000"/>
          <w:bdr w:val="nil"/>
        </w:rPr>
        <w:tab/>
        <w:t>Proporcionalnost</w:t>
      </w:r>
    </w:p>
    <w:p>
      <w:pPr>
        <w:pBdr>
          <w:top w:val="nil"/>
          <w:left w:val="nil"/>
          <w:bottom w:val="nil"/>
          <w:right w:val="nil"/>
          <w:between w:val="nil"/>
          <w:bar w:val="nil"/>
        </w:pBdr>
        <w:spacing w:before="0" w:after="240"/>
        <w:rPr>
          <w:noProof/>
          <w:szCs w:val="24"/>
        </w:rPr>
      </w:pPr>
      <w:r>
        <w:rPr>
          <w:noProof/>
        </w:rPr>
        <w:t>Ovaj je prijedlog u skladu s načelom proporcionalnosti utvrđenim u članku 5. stavku 4. Ugovora o Europskoj uniji. Prijedlogom su obuhvaćeni samo proizvodi za koje su dostavljeni dokazi o dodatnim troškovima lokalno proizvedenih proizvoda.</w:t>
      </w:r>
    </w:p>
    <w:p>
      <w:pPr>
        <w:pBdr>
          <w:top w:val="nil"/>
          <w:left w:val="nil"/>
          <w:bottom w:val="nil"/>
          <w:right w:val="nil"/>
          <w:between w:val="nil"/>
          <w:bar w:val="nil"/>
        </w:pBdr>
        <w:spacing w:before="0" w:after="240"/>
        <w:rPr>
          <w:noProof/>
          <w:szCs w:val="24"/>
        </w:rPr>
      </w:pPr>
      <w:r>
        <w:rPr>
          <w:noProof/>
        </w:rPr>
        <w:t>Slično tome, najveća predložena razlika za svaki proizvod iz ovog prijedloga ograničena je na ono što je potrebno s obzirom na dodatne troškove svake predmetne lokalne proizvodnje. Stoga porezno opterećenje proizvoda uvezenih u najudaljenije francuske regije ne prelazi ono što je potrebno za nadoknadu smanjene konkurentnosti lokalno proizvedenih proizvoda u odnosu na te proizvode, a time i za ostvarivanje ciljeva Ugovora, koji podrazumijevaju osiguravanje pravilnog i učinkovitog funkcioniranja unutarnjeg tržišta.</w:t>
      </w:r>
    </w:p>
    <w:p>
      <w:pPr>
        <w:pStyle w:val="ManualHeading2"/>
        <w:rPr>
          <w:rFonts w:eastAsia="Arial Unicode MS"/>
          <w:noProof/>
          <w:szCs w:val="24"/>
          <w:u w:color="000000"/>
          <w:bdr w:val="nil"/>
        </w:rPr>
      </w:pPr>
      <w:r>
        <w:rPr>
          <w:noProof/>
          <w:szCs w:val="24"/>
          <w:u w:color="000000"/>
          <w:bdr w:val="nil"/>
        </w:rPr>
        <w:t>•</w:t>
      </w:r>
      <w:r>
        <w:rPr>
          <w:noProof/>
          <w:szCs w:val="24"/>
          <w:u w:color="000000"/>
          <w:bdr w:val="nil"/>
        </w:rPr>
        <w:tab/>
        <w:t>Odabir instrumenta</w:t>
      </w:r>
    </w:p>
    <w:p>
      <w:pPr>
        <w:pBdr>
          <w:top w:val="nil"/>
          <w:left w:val="nil"/>
          <w:bottom w:val="nil"/>
          <w:right w:val="nil"/>
          <w:between w:val="nil"/>
          <w:bar w:val="nil"/>
        </w:pBdr>
        <w:spacing w:before="0" w:after="240"/>
        <w:rPr>
          <w:noProof/>
          <w:szCs w:val="24"/>
        </w:rPr>
      </w:pPr>
      <w:r>
        <w:rPr>
          <w:noProof/>
        </w:rPr>
        <w:t>Predlaže se da se Odluka Vijeća br. 940/2014/EU zamijeni odlukom Vijeća.</w:t>
      </w:r>
    </w:p>
    <w:p>
      <w:pPr>
        <w:pStyle w:val="ManualHeading1"/>
        <w:rPr>
          <w:noProof/>
          <w:szCs w:val="24"/>
        </w:rPr>
      </w:pPr>
      <w:r>
        <w:rPr>
          <w:noProof/>
        </w:rPr>
        <w:t>3.</w:t>
      </w:r>
      <w:r>
        <w:rPr>
          <w:noProof/>
        </w:rPr>
        <w:tab/>
        <w:t xml:space="preserve">REZULTATI </w:t>
      </w:r>
      <w:r>
        <w:rPr>
          <w:i/>
          <w:iCs/>
          <w:noProof/>
        </w:rPr>
        <w:t>EX POST</w:t>
      </w:r>
      <w:r>
        <w:rPr>
          <w:noProof/>
        </w:rPr>
        <w:t xml:space="preserve"> EVALUACIJA, SAVJETOVANJA S DIONICIMA I PROCJENA UČINKA</w:t>
      </w:r>
    </w:p>
    <w:p>
      <w:pPr>
        <w:rPr>
          <w:b/>
          <w:noProof/>
          <w:szCs w:val="24"/>
          <w:u w:color="000000"/>
          <w:bdr w:val="nil"/>
        </w:rPr>
      </w:pPr>
      <w:r>
        <w:rPr>
          <w:b/>
          <w:noProof/>
          <w:szCs w:val="24"/>
          <w:u w:color="000000"/>
          <w:bdr w:val="nil"/>
        </w:rPr>
        <w:t>•</w:t>
      </w:r>
      <w:r>
        <w:rPr>
          <w:b/>
          <w:noProof/>
          <w:szCs w:val="24"/>
          <w:u w:color="000000"/>
          <w:bdr w:val="nil"/>
        </w:rPr>
        <w:tab/>
      </w:r>
      <w:r>
        <w:rPr>
          <w:b/>
          <w:i/>
          <w:iCs/>
          <w:noProof/>
          <w:szCs w:val="24"/>
          <w:u w:color="000000"/>
          <w:bdr w:val="nil"/>
        </w:rPr>
        <w:t>Ex post</w:t>
      </w:r>
      <w:r>
        <w:rPr>
          <w:b/>
          <w:noProof/>
          <w:szCs w:val="24"/>
          <w:u w:color="000000"/>
          <w:bdr w:val="nil"/>
        </w:rPr>
        <w:t xml:space="preserve"> evaluacije/provjere primjerenosti postojećeg zakonodavstva</w:t>
      </w:r>
    </w:p>
    <w:p>
      <w:pPr>
        <w:pBdr>
          <w:top w:val="nil"/>
          <w:left w:val="nil"/>
          <w:bottom w:val="nil"/>
          <w:right w:val="nil"/>
          <w:between w:val="nil"/>
          <w:bar w:val="nil"/>
        </w:pBdr>
        <w:spacing w:before="0" w:after="240"/>
        <w:rPr>
          <w:noProof/>
          <w:szCs w:val="24"/>
        </w:rPr>
      </w:pPr>
      <w:r>
        <w:rPr>
          <w:noProof/>
        </w:rPr>
        <w:t>Područje primjene režima poreza „octroi de mer” prilagođeno je potrebama uključenih gospodarskih subjekata. Svrha je tog režima podržati lokalne proizvode smanjenjem razlika u konkurentnosti između lokalnih proizvoda i proizvoda koji nisu podrijetlom iz tih regija, zbog stalnih ograničenja koja uzrokuju veće troškove proizvodnje, a time i veću proizvodnu cijenu lokalno proizvedenih proizvoda. Režimom poreza „octroi de mer” nadoknađuje se približno polovina dodatnih troškova. Diferencirano oporezivanje koje se primjenjivalo u razdoblju od 2014. do 2020. pokazalo se razmjerno izračunanim dodatnim troškovima.</w:t>
      </w:r>
      <w:r>
        <w:rPr>
          <w:rStyle w:val="FootnoteReference"/>
          <w:noProof/>
          <w:szCs w:val="24"/>
        </w:rPr>
        <w:footnoteReference w:id="10"/>
      </w:r>
    </w:p>
    <w:p>
      <w:pPr>
        <w:pBdr>
          <w:top w:val="nil"/>
          <w:left w:val="nil"/>
          <w:bottom w:val="nil"/>
          <w:right w:val="nil"/>
          <w:between w:val="nil"/>
          <w:bar w:val="nil"/>
        </w:pBdr>
        <w:spacing w:before="0" w:after="240"/>
        <w:rPr>
          <w:noProof/>
          <w:szCs w:val="24"/>
        </w:rPr>
      </w:pPr>
      <w:r>
        <w:rPr>
          <w:noProof/>
        </w:rPr>
        <w:t>Rezultati analize kvantitativnih podataka prikazani u okviru vanjske studije pokazuju da bi se bez režima poreza „octroi de mer” uspješnost lokalne proizvodnje znatno pogoršala. Prema studiji, režimom diferenciranog oporezivanja proizvedeno je oko 37 % vrijednosti proizvoda na koje se primjenjuje diferencirano oporezivanje (približno 850 milijuna EUR), s pozitivnim utjecajem na zaposlenost, koja je porasla u sektorima na koje se od 2014. primjenjuje porez „octroi de mer” (u odnosu na pad u sektorima na koje se predmetni porez ne primjenjuje), i na broj aktivnih poduzeća, koji se u istom razdoblju povećao za oko 1,7 % (u usporedbi s ukupnim smanjenjem od 3 %). S druge strane, nema dokaza o utjecaju na ulaganja i diversifikaciju lokalne proizvodnje. Omjer troškova i koristi režima poreza „octroi de mer” općenito je pozitivan, a dodatna lokalna proizvodnja ostvarena zahvaljujući diferenciranom oporezivanju 2,5 puta je veća od „troška” mjere.</w:t>
      </w:r>
    </w:p>
    <w:p>
      <w:pPr>
        <w:pBdr>
          <w:top w:val="nil"/>
          <w:left w:val="nil"/>
          <w:bottom w:val="nil"/>
          <w:right w:val="nil"/>
          <w:between w:val="nil"/>
          <w:bar w:val="nil"/>
        </w:pBdr>
        <w:spacing w:before="0" w:after="240"/>
        <w:rPr>
          <w:noProof/>
          <w:szCs w:val="24"/>
        </w:rPr>
      </w:pPr>
      <w:r>
        <w:rPr>
          <w:noProof/>
        </w:rPr>
        <w:t>Primjena režima poreza „octroi de mer” nije izazvala zamjenu uvoza. U praksi je većina lokalnih proizvoda na koje se primjenjuje diferencirano oporezivanje pretrpjela gubitak tržišnog udjela tijekom vremena, što potvrđuje da je sustav poreza „octroi de mer” više mjera za smanjenje gubitka konkurentnosti lokalne proizvodnje nego instrument razvoja.</w:t>
      </w:r>
    </w:p>
    <w:p>
      <w:pPr>
        <w:pBdr>
          <w:top w:val="nil"/>
          <w:left w:val="nil"/>
          <w:bottom w:val="nil"/>
          <w:right w:val="nil"/>
          <w:between w:val="nil"/>
          <w:bar w:val="nil"/>
        </w:pBdr>
        <w:spacing w:before="0" w:after="240"/>
        <w:rPr>
          <w:noProof/>
          <w:szCs w:val="24"/>
        </w:rPr>
      </w:pPr>
      <w:r>
        <w:rPr>
          <w:noProof/>
        </w:rPr>
        <w:t xml:space="preserve">Vanjska studija utjecaja diferenciranog oporezivanja porezom „octroi de mer” na potrošačke cijene i troškove života u najudaljenijim francuskim regijama pokazala je da je taj utjecaj mali </w:t>
      </w:r>
      <w:r>
        <w:rPr>
          <w:noProof/>
        </w:rPr>
        <w:lastRenderedPageBreak/>
        <w:t>jer dodatni porez na proizvode na koje se primjenjuje diferencirano oporezivanje ne prelazi 1,5 % krajnje potrošnje u najudaljenijim regijama.</w:t>
      </w:r>
    </w:p>
    <w:p>
      <w:pPr>
        <w:pBdr>
          <w:top w:val="nil"/>
          <w:left w:val="nil"/>
          <w:bottom w:val="nil"/>
          <w:right w:val="nil"/>
          <w:between w:val="nil"/>
          <w:bar w:val="nil"/>
        </w:pBdr>
        <w:spacing w:before="0" w:after="240"/>
        <w:rPr>
          <w:noProof/>
          <w:szCs w:val="24"/>
        </w:rPr>
      </w:pPr>
      <w:r>
        <w:rPr>
          <w:noProof/>
        </w:rPr>
        <w:t>Konačno, rezultati analize podataka o regionalnoj trgovini pokazuju da diferencirano oporezivanje porezom „octroi de mer” ima mali utjecaj na količinu uvoza iz država CARIFORUM-a te iz južne i istočne Afrike. Nadalje, potpuno ukidanje poreza „octroi de mer” imalo bi vrlo mali utjecaj na uvoz proizvoda iz tih država (oko 2 milijuna EUR), ali znatan negativan utjecaj na lokalnu proizvodnju (oko 300 milijuna EUR). To bi uz izvoznike iz država CARIFORUM-a te južne i istočne Afrike posebno koristilo izvoznicima iz EU-a i trećih zemalja.</w:t>
      </w:r>
    </w:p>
    <w:p>
      <w:pPr>
        <w:rPr>
          <w:b/>
          <w:noProof/>
          <w:szCs w:val="24"/>
          <w:u w:color="000000"/>
          <w:bdr w:val="nil"/>
        </w:rPr>
      </w:pPr>
      <w:r>
        <w:rPr>
          <w:b/>
          <w:noProof/>
          <w:szCs w:val="24"/>
          <w:u w:color="000000"/>
          <w:bdr w:val="nil"/>
        </w:rPr>
        <w:t>•</w:t>
      </w:r>
      <w:r>
        <w:rPr>
          <w:b/>
          <w:noProof/>
          <w:szCs w:val="24"/>
          <w:u w:color="000000"/>
          <w:bdr w:val="nil"/>
        </w:rPr>
        <w:tab/>
        <w:t>Savjetovanje sa zainteresiranim stranama</w:t>
      </w:r>
    </w:p>
    <w:p>
      <w:pPr>
        <w:rPr>
          <w:noProof/>
          <w:szCs w:val="24"/>
        </w:rPr>
      </w:pPr>
      <w:r>
        <w:rPr>
          <w:noProof/>
        </w:rPr>
        <w:t>U okviru te inicijative provedeno je sveobuhvatno savjetovanje s glavnim političkim i gospodarskim dionicima, uključujući razgovore (80) i posjete trima regijama (Reunion, Guadeloupe i Martinique) te istraživanje poduzeća smještenih u tim najudaljenijim regijama (196), kojim je obuhvaćeno svih pet predmetnih regija. To ciljano (internetsko) istraživanje gospodarskih subjekata uglavnom je provedeno preko strukovnih udruženja koja djeluju na različitim područjima, ali i izravnim pozivima upućenima na adrese 15 420 poduzeća s popisa trgovačkih komora.</w:t>
      </w:r>
    </w:p>
    <w:p>
      <w:pPr>
        <w:pBdr>
          <w:top w:val="nil"/>
          <w:left w:val="nil"/>
          <w:bottom w:val="nil"/>
          <w:right w:val="nil"/>
          <w:between w:val="nil"/>
          <w:bar w:val="nil"/>
        </w:pBdr>
        <w:spacing w:before="0" w:after="240"/>
        <w:rPr>
          <w:noProof/>
          <w:szCs w:val="24"/>
        </w:rPr>
      </w:pPr>
      <w:r>
        <w:rPr>
          <w:noProof/>
        </w:rPr>
        <w:t>Tijekom savjetovanja skrenuta je pozornost na potrebu da se osiguraju primjerena zastupljenost relevantnih dionika i odgovarajuća ravnoteža među njima. Savjetovanjem su se konkretno nastojala povezati sva relevantna tijela javne vlasti s obzirom na razinu vlasti (središnja i lokalna) i područje nadležnosti (tijela koja izrađuju politike, porezne i carinske uprave, zavodi za statistiku itd.). Osim toga, u savjetovanju su sudjelovali i predstavnici lokalnih proizvodnih sektora, tj. korisnici diferenciranog oporezivanja porezom „octroi de mer”, te sektora trgovine i usluga na koje se izravno ili neizravno odnosi režim diferenciranog oporezivanja.</w:t>
      </w:r>
    </w:p>
    <w:p>
      <w:pPr>
        <w:rPr>
          <w:b/>
          <w:noProof/>
          <w:szCs w:val="24"/>
          <w:u w:color="000000"/>
          <w:bdr w:val="nil"/>
        </w:rPr>
      </w:pPr>
      <w:r>
        <w:rPr>
          <w:b/>
          <w:noProof/>
          <w:szCs w:val="24"/>
          <w:u w:color="000000"/>
          <w:bdr w:val="nil"/>
        </w:rPr>
        <w:t>•</w:t>
      </w:r>
      <w:r>
        <w:rPr>
          <w:b/>
          <w:noProof/>
          <w:szCs w:val="24"/>
          <w:u w:color="000000"/>
          <w:bdr w:val="nil"/>
        </w:rPr>
        <w:tab/>
        <w:t>Analiza učinka</w:t>
      </w:r>
    </w:p>
    <w:p>
      <w:pPr>
        <w:pBdr>
          <w:top w:val="nil"/>
          <w:left w:val="nil"/>
          <w:bottom w:val="nil"/>
          <w:right w:val="nil"/>
          <w:between w:val="nil"/>
          <w:bar w:val="nil"/>
        </w:pBdr>
        <w:spacing w:before="0" w:after="240"/>
        <w:rPr>
          <w:noProof/>
          <w:szCs w:val="24"/>
        </w:rPr>
      </w:pPr>
      <w:r>
        <w:rPr>
          <w:noProof/>
        </w:rPr>
        <w:t xml:space="preserve">Analiza učinka priprema se kao usporedna aktivnost: </w:t>
      </w:r>
      <w:r>
        <w:rPr>
          <w:i/>
          <w:iCs/>
          <w:noProof/>
        </w:rPr>
        <w:t>ex post</w:t>
      </w:r>
      <w:r>
        <w:rPr>
          <w:noProof/>
        </w:rPr>
        <w:t xml:space="preserve"> evaluacija postojećeg režima nakon koje slijedi prognostička analiza. Ta analiza mogućih učinaka nastavka i eventualne izmjene trenutačnog režima navedena je u analitičkom dokumentu u čijem se prilogu nalazi ocjena režima. Taj je dokument sastavljen na temelju vanjske studije i informacija koje je dostavila Francuska.</w:t>
      </w:r>
    </w:p>
    <w:p>
      <w:pPr>
        <w:pStyle w:val="ManualHeading1"/>
        <w:rPr>
          <w:noProof/>
          <w:szCs w:val="24"/>
        </w:rPr>
      </w:pPr>
      <w:r>
        <w:rPr>
          <w:noProof/>
        </w:rPr>
        <w:t>4.</w:t>
      </w:r>
      <w:r>
        <w:rPr>
          <w:noProof/>
        </w:rPr>
        <w:tab/>
        <w:t>UTJECAJ NA PRORAČUN</w:t>
      </w:r>
    </w:p>
    <w:p>
      <w:pPr>
        <w:pBdr>
          <w:top w:val="nil"/>
          <w:left w:val="nil"/>
          <w:bottom w:val="nil"/>
          <w:right w:val="nil"/>
          <w:between w:val="nil"/>
          <w:bar w:val="nil"/>
        </w:pBdr>
        <w:spacing w:before="0" w:after="240"/>
        <w:rPr>
          <w:noProof/>
          <w:szCs w:val="24"/>
        </w:rPr>
      </w:pPr>
      <w:r>
        <w:rPr>
          <w:noProof/>
        </w:rPr>
        <w:t xml:space="preserve">Prijedlog ne utječe na proračun Europske unije. </w:t>
      </w:r>
    </w:p>
    <w:p>
      <w:pPr>
        <w:pStyle w:val="ManualHeading1"/>
        <w:rPr>
          <w:noProof/>
          <w:szCs w:val="24"/>
        </w:rPr>
      </w:pPr>
      <w:r>
        <w:rPr>
          <w:noProof/>
        </w:rPr>
        <w:t>5.</w:t>
      </w:r>
      <w:r>
        <w:rPr>
          <w:noProof/>
        </w:rPr>
        <w:tab/>
        <w:t>DRUGI ELEMENTI</w:t>
      </w:r>
    </w:p>
    <w:p>
      <w:pPr>
        <w:pStyle w:val="ManualHeading2"/>
        <w:rPr>
          <w:rFonts w:eastAsia="Arial Unicode MS"/>
          <w:noProof/>
          <w:szCs w:val="24"/>
          <w:u w:color="000000"/>
          <w:bdr w:val="nil"/>
        </w:rPr>
      </w:pPr>
      <w:r>
        <w:rPr>
          <w:noProof/>
          <w:szCs w:val="24"/>
          <w:u w:color="000000"/>
          <w:bdr w:val="nil"/>
        </w:rPr>
        <w:t>•</w:t>
      </w:r>
      <w:r>
        <w:rPr>
          <w:noProof/>
          <w:szCs w:val="24"/>
          <w:u w:color="000000"/>
          <w:bdr w:val="nil"/>
        </w:rPr>
        <w:tab/>
        <w:t>Planovi provedbe i mehanizmi praćenja, evaluacije i izvješćivanja</w:t>
      </w:r>
    </w:p>
    <w:p>
      <w:pPr>
        <w:pBdr>
          <w:top w:val="nil"/>
          <w:left w:val="nil"/>
          <w:bottom w:val="nil"/>
          <w:right w:val="nil"/>
          <w:between w:val="nil"/>
          <w:bar w:val="nil"/>
        </w:pBdr>
        <w:spacing w:before="0" w:after="240"/>
        <w:rPr>
          <w:noProof/>
          <w:szCs w:val="24"/>
        </w:rPr>
      </w:pPr>
      <w:r>
        <w:rPr>
          <w:noProof/>
        </w:rPr>
        <w:t>Režim traje šest godina, do 31. prosinca 2027. Međutim, najprije se moraju ocijeniti rezultati primjene režima.</w:t>
      </w:r>
    </w:p>
    <w:p>
      <w:pPr>
        <w:pBdr>
          <w:top w:val="nil"/>
          <w:left w:val="nil"/>
          <w:bottom w:val="nil"/>
          <w:right w:val="nil"/>
          <w:between w:val="nil"/>
          <w:bar w:val="nil"/>
        </w:pBdr>
        <w:spacing w:before="0" w:after="240"/>
        <w:rPr>
          <w:noProof/>
          <w:szCs w:val="24"/>
        </w:rPr>
      </w:pPr>
      <w:r>
        <w:rPr>
          <w:noProof/>
        </w:rPr>
        <w:lastRenderedPageBreak/>
        <w:t>Stoga će Francuska do 30. rujna 2025. podnijeti izvješće o primjeni režima oporezivanja za razdoblje od 2019. do 2024.</w:t>
      </w:r>
      <w:r>
        <w:rPr>
          <w:rStyle w:val="FootnoteReference"/>
          <w:noProof/>
          <w:szCs w:val="24"/>
        </w:rPr>
        <w:footnoteReference w:id="11"/>
      </w:r>
      <w:r>
        <w:rPr>
          <w:noProof/>
        </w:rPr>
        <w:t xml:space="preserve"> To izvješće uključivat će sljedeće: </w:t>
      </w:r>
    </w:p>
    <w:p>
      <w:pPr>
        <w:pStyle w:val="Tiret0"/>
        <w:numPr>
          <w:ilvl w:val="0"/>
          <w:numId w:val="11"/>
        </w:numPr>
        <w:rPr>
          <w:noProof/>
          <w:szCs w:val="24"/>
        </w:rPr>
      </w:pPr>
      <w:r>
        <w:rPr>
          <w:noProof/>
        </w:rPr>
        <w:t xml:space="preserve">informacije o dodatnim troškovima proizvodnje, </w:t>
      </w:r>
    </w:p>
    <w:p>
      <w:pPr>
        <w:pStyle w:val="Tiret0"/>
        <w:numPr>
          <w:ilvl w:val="0"/>
          <w:numId w:val="10"/>
        </w:numPr>
        <w:rPr>
          <w:noProof/>
          <w:szCs w:val="24"/>
        </w:rPr>
      </w:pPr>
      <w:r>
        <w:rPr>
          <w:noProof/>
        </w:rPr>
        <w:t>moguće narušavanje tržišnog natjecanja i posljedice na unutarnje tržište,</w:t>
      </w:r>
    </w:p>
    <w:p>
      <w:pPr>
        <w:pStyle w:val="Tiret0"/>
        <w:numPr>
          <w:ilvl w:val="0"/>
          <w:numId w:val="10"/>
        </w:numPr>
        <w:rPr>
          <w:noProof/>
          <w:szCs w:val="24"/>
        </w:rPr>
      </w:pPr>
      <w:r>
        <w:rPr>
          <w:noProof/>
        </w:rPr>
        <w:t>informacije potrebne za ocjenu režima u odnosu na kriterije djelotvornosti, učinkovitosti, relevantnosti, usklađenosti s drugim politikama EU-a i dodane vrijednosti EU-a.</w:t>
      </w:r>
    </w:p>
    <w:p>
      <w:pPr>
        <w:pBdr>
          <w:top w:val="nil"/>
          <w:left w:val="nil"/>
          <w:bottom w:val="nil"/>
          <w:right w:val="nil"/>
          <w:between w:val="nil"/>
          <w:bar w:val="nil"/>
        </w:pBdr>
        <w:spacing w:before="0" w:after="240"/>
        <w:rPr>
          <w:noProof/>
          <w:szCs w:val="24"/>
        </w:rPr>
      </w:pPr>
      <w:r>
        <w:rPr>
          <w:noProof/>
        </w:rPr>
        <w:t xml:space="preserve">Izvješće bi trebalo sadržavati i informacije prikupljene od svih dionika o visini i kretanju njihovih dodatnih troškova proizvodnje i njihovih troškova usklađivanja te informacije o mogućim slučajevima narušavanja tržišta. </w:t>
      </w:r>
    </w:p>
    <w:p>
      <w:pPr>
        <w:pBdr>
          <w:top w:val="nil"/>
          <w:left w:val="nil"/>
          <w:bottom w:val="nil"/>
          <w:right w:val="nil"/>
          <w:between w:val="nil"/>
          <w:bar w:val="nil"/>
        </w:pBdr>
        <w:spacing w:before="0" w:after="240"/>
        <w:rPr>
          <w:noProof/>
          <w:szCs w:val="24"/>
        </w:rPr>
      </w:pPr>
      <w:r>
        <w:rPr>
          <w:noProof/>
        </w:rPr>
        <w:t xml:space="preserve">Kako bi zajamčila da informacije koje francuska tijela prikupe sadržavaju podatke koji su Komisiji potrebni za donošenje utemeljene odluke o valjanosti i održivosti režima u budućnosti, Komisija je izradila posebne smjernice o potrebnim informacijama. Te se informacije nalaze u Prilogu II. prijedlogu. Navedene su smjernice, ako je to moguće, usporedive s drugim sličnim režimima koji su na snazi u najudaljenijim regijama EU-a. </w:t>
      </w:r>
    </w:p>
    <w:p>
      <w:pPr>
        <w:pBdr>
          <w:top w:val="nil"/>
          <w:left w:val="nil"/>
          <w:bottom w:val="nil"/>
          <w:right w:val="nil"/>
          <w:between w:val="nil"/>
          <w:bar w:val="nil"/>
        </w:pBdr>
        <w:spacing w:before="0" w:after="240"/>
        <w:rPr>
          <w:noProof/>
          <w:szCs w:val="24"/>
        </w:rPr>
      </w:pPr>
      <w:r>
        <w:rPr>
          <w:noProof/>
        </w:rPr>
        <w:t xml:space="preserve">Njima će se Komisiji omogućiti da utvrdi postoje li još uvijek razlozi za režim diferenciranog oporezivanja porezom „octroi de mer”, jesu li porezne olakšice odobrene Francuskoj i dalje razmjerne i jesu li moguće alternativne mjere tom režimu kojima se uzima u obzir njegova međunarodna dimenzija. </w:t>
      </w:r>
    </w:p>
    <w:p>
      <w:pPr>
        <w:pBdr>
          <w:top w:val="nil"/>
          <w:left w:val="nil"/>
          <w:bottom w:val="nil"/>
          <w:right w:val="nil"/>
          <w:between w:val="nil"/>
          <w:bar w:val="nil"/>
        </w:pBdr>
        <w:spacing w:before="0" w:after="240"/>
        <w:rPr>
          <w:noProof/>
          <w:szCs w:val="24"/>
        </w:rPr>
      </w:pPr>
      <w:r>
        <w:rPr>
          <w:noProof/>
        </w:rPr>
        <w:t>Kada francuska tijela podnesu izvješće o praćenju, Komisija će ocijeniti učinke diferenciranog oporezivanja i potrebu za promjenama.</w:t>
      </w:r>
    </w:p>
    <w:p>
      <w:pPr>
        <w:pStyle w:val="ManualHeading2"/>
        <w:rPr>
          <w:rFonts w:eastAsia="Arial Unicode MS"/>
          <w:noProof/>
          <w:szCs w:val="24"/>
          <w:u w:color="000000"/>
          <w:bdr w:val="nil"/>
        </w:rPr>
      </w:pPr>
      <w:r>
        <w:rPr>
          <w:noProof/>
          <w:szCs w:val="24"/>
          <w:u w:color="000000"/>
          <w:bdr w:val="nil"/>
        </w:rPr>
        <w:t>•</w:t>
      </w:r>
      <w:r>
        <w:rPr>
          <w:noProof/>
          <w:szCs w:val="24"/>
          <w:u w:color="000000"/>
          <w:bdr w:val="nil"/>
        </w:rPr>
        <w:tab/>
        <w:t>Detaljno obrazloženje posebnih odredaba prijedloga</w:t>
      </w:r>
    </w:p>
    <w:p>
      <w:pPr>
        <w:pBdr>
          <w:top w:val="nil"/>
          <w:left w:val="nil"/>
          <w:bottom w:val="nil"/>
          <w:right w:val="nil"/>
          <w:between w:val="nil"/>
          <w:bar w:val="nil"/>
        </w:pBdr>
        <w:spacing w:before="0" w:after="240"/>
        <w:rPr>
          <w:rFonts w:eastAsia="Arial Unicode MS"/>
          <w:noProof/>
          <w:szCs w:val="24"/>
        </w:rPr>
      </w:pPr>
      <w:r>
        <w:rPr>
          <w:noProof/>
        </w:rPr>
        <w:t>Ovaj dio nije primjenjiv jer su odredbe prijedloga jasne.</w:t>
      </w:r>
    </w:p>
    <w:p>
      <w:pPr>
        <w:pBdr>
          <w:top w:val="nil"/>
          <w:left w:val="nil"/>
          <w:bottom w:val="nil"/>
          <w:right w:val="nil"/>
          <w:between w:val="nil"/>
          <w:bar w:val="nil"/>
        </w:pBdr>
        <w:spacing w:before="0" w:after="240"/>
        <w:rPr>
          <w:rFonts w:eastAsia="Arial Unicode MS"/>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2021/0051 (CNS)</w:t>
      </w:r>
    </w:p>
    <w:p>
      <w:pPr>
        <w:pStyle w:val="Statut"/>
        <w:rPr>
          <w:noProof/>
        </w:rPr>
      </w:pPr>
      <w:r>
        <w:rPr>
          <w:noProof/>
        </w:rPr>
        <w:t>Prijedlog</w:t>
      </w:r>
    </w:p>
    <w:p>
      <w:pPr>
        <w:pStyle w:val="Typedudocument"/>
        <w:rPr>
          <w:noProof/>
        </w:rPr>
      </w:pPr>
      <w:r>
        <w:rPr>
          <w:noProof/>
        </w:rPr>
        <w:t>ODLUKE VIJEĆA</w:t>
      </w:r>
    </w:p>
    <w:p>
      <w:pPr>
        <w:pStyle w:val="Titreobjet"/>
        <w:rPr>
          <w:noProof/>
        </w:rPr>
      </w:pPr>
      <w:r>
        <w:rPr>
          <w:noProof/>
        </w:rPr>
        <w:t>o porezu „octroi de mer” u najudaljenijim francuskim regijama i izmjeni Odluke br. 940/2014/EU</w:t>
      </w:r>
      <w:r>
        <w:rPr>
          <w:noProof/>
        </w:rPr>
        <w:br/>
      </w:r>
    </w:p>
    <w:p>
      <w:pPr>
        <w:pStyle w:val="Institutionquiagit"/>
        <w:rPr>
          <w:noProof/>
          <w:szCs w:val="24"/>
        </w:rPr>
      </w:pPr>
      <w:r>
        <w:rPr>
          <w:noProof/>
        </w:rPr>
        <w:t>VIJEĆE EUROPSKE UNIJE,</w:t>
      </w:r>
    </w:p>
    <w:p>
      <w:pPr>
        <w:rPr>
          <w:noProof/>
          <w:szCs w:val="24"/>
        </w:rPr>
      </w:pPr>
      <w:r>
        <w:rPr>
          <w:noProof/>
        </w:rPr>
        <w:t>uzimajući u obzir Ugovor o funkcioniranju Europske unije, a posebno njegov članak 349.,</w:t>
      </w:r>
    </w:p>
    <w:p>
      <w:pPr>
        <w:rPr>
          <w:noProof/>
          <w:szCs w:val="24"/>
        </w:rPr>
      </w:pPr>
      <w:r>
        <w:rPr>
          <w:noProof/>
        </w:rPr>
        <w:t>uzimajući u obzir prijedlog Europske komisije,</w:t>
      </w:r>
    </w:p>
    <w:p>
      <w:pPr>
        <w:rPr>
          <w:noProof/>
          <w:szCs w:val="24"/>
        </w:rPr>
      </w:pPr>
      <w:r>
        <w:rPr>
          <w:noProof/>
        </w:rPr>
        <w:t>nakon prosljeđivanja nacrta zakonodavnog akta nacionalnim parlamentima,</w:t>
      </w:r>
    </w:p>
    <w:p>
      <w:pPr>
        <w:rPr>
          <w:noProof/>
          <w:szCs w:val="24"/>
        </w:rPr>
      </w:pPr>
      <w:r>
        <w:rPr>
          <w:noProof/>
        </w:rPr>
        <w:t>uzimajući u obzir mišljenje Europskog parlamenta</w:t>
      </w:r>
      <w:r>
        <w:rPr>
          <w:rStyle w:val="FootnoteReference"/>
          <w:noProof/>
          <w:szCs w:val="24"/>
        </w:rPr>
        <w:footnoteReference w:id="12"/>
      </w:r>
      <w:r>
        <w:rPr>
          <w:noProof/>
        </w:rPr>
        <w:t xml:space="preserve">, </w:t>
      </w:r>
    </w:p>
    <w:p>
      <w:pPr>
        <w:rPr>
          <w:noProof/>
        </w:rPr>
      </w:pPr>
      <w:r>
        <w:rPr>
          <w:noProof/>
        </w:rPr>
        <w:t>u skladu s posebnim zakonodavnim postupkom,</w:t>
      </w:r>
    </w:p>
    <w:p>
      <w:pPr>
        <w:rPr>
          <w:noProof/>
        </w:rPr>
      </w:pPr>
      <w:r>
        <w:rPr>
          <w:noProof/>
        </w:rPr>
        <w:t>budući da:</w:t>
      </w:r>
    </w:p>
    <w:p>
      <w:pPr>
        <w:pStyle w:val="ManualConsidrant"/>
        <w:rPr>
          <w:noProof/>
        </w:rPr>
      </w:pPr>
      <w:r>
        <w:t>(1)</w:t>
      </w:r>
      <w:r>
        <w:tab/>
      </w:r>
      <w:r>
        <w:rPr>
          <w:noProof/>
        </w:rPr>
        <w:t>Odredbama Ugovora, koje se primjenjuju na najudaljenije francuske regije, u načelu se ne dopušta razlika u oporezivanju između lokalnih proizvoda i proizvoda iz matične Francuske ili iz ostalih država članica. Međutim, člankom 349. Ugovora predviđa se mogućnost uvođenja posebnih mjera za te najudaljenije regije zbog stalnih ograničenja koja utječu na gospodarske i socijalne uvjete najudaljenijih regija.</w:t>
      </w:r>
    </w:p>
    <w:p>
      <w:pPr>
        <w:pStyle w:val="ManualConsidrant"/>
        <w:rPr>
          <w:noProof/>
          <w:szCs w:val="24"/>
        </w:rPr>
      </w:pPr>
      <w:r>
        <w:t>(2)</w:t>
      </w:r>
      <w:r>
        <w:tab/>
      </w:r>
      <w:r>
        <w:rPr>
          <w:noProof/>
        </w:rPr>
        <w:t xml:space="preserve">Stoga je potrebno donijeti posebne mjere kako bi se utvrdili uvjeti za primjenu Ugovora na francuske najudaljenije regije. Tim se mjerama moraju uzeti u obzir posebne značajke i ograničenja tih regija, ali bez ugrožavanja cjelovitosti i dosljednosti pravnog poretka Unije, uključujući unutarnje tržište i zajedničke politike. Razlozi nepovoljnog položaja najudaljenijih francuskih regija u odnosu na konkurenciju navedeni su u članku 349. Ugovora: udaljenost, izoliranost, mala površina, nepovoljna topografija i klima te ovisnost o malom broju proizvoda. Ta stalna ograničenja dovode do ovisnosti najudaljenijih regija o sirovinama i energiji, obveze stvaranja većih zaliha, malog lokalnog tržišta s niskom razinom izvozne djelatnosti itd. Svi ti nedostaci u odnosu na konkurenciju manifestiraju se većim troškovima proizvodnje, a stoga i većom proizvodnom cijenom lokalno proizvedenih proizvoda, koji bez posebnih mjera ne bi bili jednako konkurentni kao proizvodi proizvedeni drugdje, čak i kad se u obzir uzme trošak njihova prijevoza u najudaljenije francuske regije. To bi ugrozilo održavanje lokalne proizvodnje. Stoga je potrebno primijeniti posebne mjere kako bi se poboljšanjem konkurentnosti ojačala lokalna industrija. </w:t>
      </w:r>
    </w:p>
    <w:p>
      <w:pPr>
        <w:pStyle w:val="ManualConsidrant"/>
        <w:rPr>
          <w:noProof/>
          <w:szCs w:val="24"/>
        </w:rPr>
      </w:pPr>
      <w:r>
        <w:t>(3)</w:t>
      </w:r>
      <w:r>
        <w:tab/>
      </w:r>
      <w:r>
        <w:rPr>
          <w:noProof/>
        </w:rPr>
        <w:t>Radi ponovne uspostave troškovne konkurentnosti lokalno proizvedenih proizvoda, Francuskoj se Odlukom Vijeća br. 940/2014/EU</w:t>
      </w:r>
      <w:r>
        <w:rPr>
          <w:rStyle w:val="FootnoteReference"/>
          <w:noProof/>
        </w:rPr>
        <w:footnoteReference w:id="13"/>
      </w:r>
      <w:r>
        <w:rPr>
          <w:noProof/>
        </w:rPr>
        <w:t xml:space="preserve"> do 30. lipnja 2021. dopušta primjena izuzeća od poreza „octroi de mer” ili njegova smanjenja za određene proizvode </w:t>
      </w:r>
      <w:r>
        <w:rPr>
          <w:noProof/>
        </w:rPr>
        <w:lastRenderedPageBreak/>
        <w:t>proizvedene u najudaljenijim regijama Martiniqueu, Guadeloupeu, Francuskoj Gvajani, Reunionu i Mayotteu, za koje postoje lokalna proizvodnja, znatan uvoz koji može ugroziti održavanje lokalne proizvodnje i dodatni troškovi koji povećavaju cijenu lokalne proizvodnje u usporedbi s proizvodima koji su drugdje proizvedeni. U Prilogu toj odluci nalazi se popis proizvoda na koje se mogu primjenjivati izuzeća od poreza ili smanjenja poreza. Razlika u oporezivanju između lokalno proizvedenih proizvoda i ostalih proizvoda ne smije prelaziti 10, 20 ili 30 postotnih bodova, ovisno o proizvodu.</w:t>
      </w:r>
    </w:p>
    <w:p>
      <w:pPr>
        <w:pStyle w:val="ManualConsidrant"/>
        <w:rPr>
          <w:noProof/>
        </w:rPr>
      </w:pPr>
      <w:r>
        <w:t>(4)</w:t>
      </w:r>
      <w:r>
        <w:tab/>
      </w:r>
      <w:r>
        <w:rPr>
          <w:noProof/>
        </w:rPr>
        <w:t>Francuska je zatražila da se od 1. srpnja 2021. zadrži sustav sličan sustavu iz Odluke br. 940/2014/EU. Ona ističe da su prethodno navedeni nedostaci u odnosu na konkurenciju stalni, ali i da je režimom oporezivanja predviđenim Odlukom br. 940/2014/EU omogućeno zadržavanje lokalne proizvodnje, a u nekim slučajevima i njezin razvoj, da on nije negativno utjecao na vanjsku trgovinu te da nije prouzročio prekomjernu nadoknadu dodatnih troškova koje snose poduzeća.</w:t>
      </w:r>
    </w:p>
    <w:p>
      <w:pPr>
        <w:pStyle w:val="ManualConsidrant"/>
        <w:rPr>
          <w:noProof/>
        </w:rPr>
      </w:pPr>
      <w:r>
        <w:t>(5)</w:t>
      </w:r>
      <w:r>
        <w:tab/>
      </w:r>
      <w:r>
        <w:rPr>
          <w:noProof/>
        </w:rPr>
        <w:t>U tom je pogledu Francuska za svaku od tih pet najudaljenijih regija dostavila Komisiji niz popisa proizvoda za koje Francuska namjerava primijeniti diferencirano oporezivanje u iznosu od najviše 20 ili 30 postotnih bodova, ovisno o tome jesu li proizvedeni lokalno. To se ne odnosi na najudaljeniju francusku regiju Sveti Martin.</w:t>
      </w:r>
    </w:p>
    <w:p>
      <w:pPr>
        <w:pStyle w:val="ManualConsidrant"/>
        <w:rPr>
          <w:noProof/>
        </w:rPr>
      </w:pPr>
      <w:r>
        <w:t>(6)</w:t>
      </w:r>
      <w:r>
        <w:tab/>
      </w:r>
      <w:r>
        <w:rPr>
          <w:noProof/>
        </w:rPr>
        <w:t xml:space="preserve">Ovom Odlukom provode se odredbe članka 349. Ugovora i Francuskoj se dopušta primjena diferenciranog oporezivanja na proizvode za koje je kao prvo dokazano postojanje lokalne proizvodnje, zatim postojanje znatnog uvoza robe (uključujući robu iz matične Francuske i ostalih država članica) koji može ugroziti održavanje lokalne proizvodnje i, na kraju, postojanje dodatnih troškova koji povećavaju cijenu lokalne proizvodnje u usporedbi s proizvodima koji su drugdje proizvedeni pri čemu se smanjuje konkurentnost lokalno proizvedenih proizvoda. Dopušteno diferencirano oporezivanje ne bi smjelo prekoračiti dokazane dodatne troškove. </w:t>
      </w:r>
    </w:p>
    <w:p>
      <w:pPr>
        <w:pStyle w:val="ManualConsidrant"/>
        <w:rPr>
          <w:noProof/>
        </w:rPr>
      </w:pPr>
      <w:r>
        <w:t>(7)</w:t>
      </w:r>
      <w:r>
        <w:tab/>
      </w:r>
      <w:r>
        <w:rPr>
          <w:noProof/>
        </w:rPr>
        <w:t>Ako je tržišni udio lokalne proizvodnje manji od 5 % ili ako je udio uvoza manji od 10 %, potrebno je dostaviti dodatnu dokumentaciju kojom se u cijelosti ili djelomično dokazuju sljedeće okolnosti: postojanje radno intenzivne proizvodnje, nove proizvodnje ili dodataka asortimanu kojima se nastoji osigurati diversifikacija proizvodnje poduzeća, strateške proizvodnje za lokalni razvoj (primjerice u području kružnoga gospodarstva, povećanja biološke raznolikosti i zaštite okoliša), inovativne proizvodnje ili proizvodnje s velikom dodanom vrijednošću, uvozne proizvodnje čiji bi poremećaj u opskrbi mogao ugroziti lokalno gospodarstvo ili stanovništvo, proizvodnje koja može postojati samo ako ima dominantan položaj na tržištu zbog ograničenosti tržištâ u najudaljenijim regijama i proizvodnje medicinskih proizvoda i osobne zaštitne opreme koji su potrebni za rješavanje zdravstvenih kriza. Primjenom tih načela omogućit će se provedba odredaba članka 349. Ugovora bez prekoračivanja onoga što je potrebno i bez stvaranja neopravdane prednosti u korist lokalne proizvodnje kako se ne bi ugrozile cjelovitost i usklađenost pravnog poretka Unije, uključujući zaštitu nenarušenog tržišnog natjecanja na unutarnjem tržištu i politike državne potpore.</w:t>
      </w:r>
    </w:p>
    <w:p>
      <w:pPr>
        <w:pStyle w:val="ManualConsidrant"/>
        <w:rPr>
          <w:noProof/>
        </w:rPr>
      </w:pPr>
      <w:r>
        <w:t>(8)</w:t>
      </w:r>
      <w:r>
        <w:tab/>
      </w:r>
      <w:r>
        <w:rPr>
          <w:noProof/>
        </w:rPr>
        <w:t>Kako bi se pojednostavile i smanjile obveze malih poduzeća i podržao njihov razvoj, izuzeća od poreza ili smanjenja poreza primjenjivat će se na sve gospodarske subjekte s godišnjim prometom od 550 000 EUR ili više. Gospodarski subjekti čiji je godišnji promet manji od tog praga ne podliježu porezu „octroi de mer”, ali zauzvrat ne smiju odbiti prethodno plaćeni iznos tog poreza.</w:t>
      </w:r>
    </w:p>
    <w:p>
      <w:pPr>
        <w:pStyle w:val="ManualConsidrant"/>
        <w:rPr>
          <w:noProof/>
        </w:rPr>
      </w:pPr>
      <w:r>
        <w:lastRenderedPageBreak/>
        <w:t>(9)</w:t>
      </w:r>
      <w:r>
        <w:tab/>
      </w:r>
      <w:r>
        <w:rPr>
          <w:noProof/>
        </w:rPr>
        <w:t>Na sličan način, dosljednost sa zakonodavstvom Unije znači odbacivanje primjene diferencijalnog oporezivanja za sve prehrambene proizvode za koje se dodjeljuju potpore predviđene poglavljem III. Uredbe (EU) br. 228/2013 Europskog parlamenta i Vijeća</w:t>
      </w:r>
      <w:r>
        <w:rPr>
          <w:rStyle w:val="FootnoteReference"/>
          <w:noProof/>
        </w:rPr>
        <w:footnoteReference w:id="14"/>
      </w:r>
      <w:r>
        <w:rPr>
          <w:noProof/>
        </w:rPr>
        <w:t>. Tom se odredbom sprječava da se pojačanim oporezivanjem proizvoda subvencioniranih porezom „octroi de mer” poništi ili umanji učinak financijske potpore poljoprivredi uvedene posebnim režimom opskrbe.</w:t>
      </w:r>
    </w:p>
    <w:p>
      <w:pPr>
        <w:pStyle w:val="ManualConsidrant"/>
        <w:rPr>
          <w:noProof/>
        </w:rPr>
      </w:pPr>
      <w:r>
        <w:t>(10)</w:t>
      </w:r>
      <w:r>
        <w:tab/>
      </w:r>
      <w:r>
        <w:rPr>
          <w:noProof/>
        </w:rPr>
        <w:t>Ciljevi potpore društvenom i gospodarskom razvoju najudaljenijih francuskih regija, koji su već predviđeni Odlukom br. 940/2014/EU, potvrđeni su zahtjevima povezanima sa svrhom poreza. Uvrštenje prihoda od tog poreza u porezna sredstva najudaljenijih francuskih regija i njegova upotreba za strategiju gospodarskog i socijalnog razvoja tih regija, uključujući promicanje lokalnih djelatnosti, zakonska je obveza.</w:t>
      </w:r>
    </w:p>
    <w:p>
      <w:pPr>
        <w:pStyle w:val="ManualConsidrant"/>
        <w:rPr>
          <w:noProof/>
        </w:rPr>
      </w:pPr>
      <w:r>
        <w:t>(11)</w:t>
      </w:r>
      <w:r>
        <w:tab/>
      </w:r>
      <w:r>
        <w:rPr>
          <w:noProof/>
        </w:rPr>
        <w:t>Potrebno je izmijeniti Odluku br. 940/2014/EU kako bi se razdoblje primjene odobrenog izuzeća produljilo za šest mjeseci, odnosno do 31. prosinca 2021. Tim bi se rokom trebalo omogućiti Francuskoj da u svoje nacionalno pravo prenese ovu Odluku.</w:t>
      </w:r>
    </w:p>
    <w:p>
      <w:pPr>
        <w:pStyle w:val="ManualConsidrant"/>
        <w:rPr>
          <w:noProof/>
        </w:rPr>
      </w:pPr>
      <w:r>
        <w:t>(12)</w:t>
      </w:r>
      <w:r>
        <w:tab/>
      </w:r>
      <w:r>
        <w:rPr>
          <w:noProof/>
        </w:rPr>
        <w:t>Trajanje programa trebalo bi biti šest godina, do 31. prosinca 2027. Kako bi Komisija mogla ocijeniti jesu li uvjeti za izuzeće i dalje ispunjeni, Francuska bi do 30. rujna 2025. Komisiji trebala podnijeti izvješće o praćenju. Stoga bi trebalo utvrditi potrebnu strukturu i sadržaj tog izvješća.</w:t>
      </w:r>
    </w:p>
    <w:p>
      <w:pPr>
        <w:pStyle w:val="ManualConsidrant"/>
        <w:rPr>
          <w:noProof/>
        </w:rPr>
      </w:pPr>
      <w:r>
        <w:t>(13)</w:t>
      </w:r>
      <w:r>
        <w:tab/>
      </w:r>
      <w:r>
        <w:rPr>
          <w:noProof/>
        </w:rPr>
        <w:t>Kako bi se u potpunosti izbjegao pravni rizik, ova Odluka treba se primjenjivati od 1. siječnja 2022., a produljenje razdoblja primjene izuzeća odobrenog Odlukom br. 940/2014/EU trebalo bi proizvoditi učinke od 1. srpnja 2021.</w:t>
      </w:r>
    </w:p>
    <w:p>
      <w:pPr>
        <w:pStyle w:val="ManualConsidrant"/>
        <w:rPr>
          <w:noProof/>
          <w:szCs w:val="24"/>
        </w:rPr>
      </w:pPr>
      <w:r>
        <w:t>(14)</w:t>
      </w:r>
      <w:r>
        <w:tab/>
      </w:r>
      <w:r>
        <w:rPr>
          <w:noProof/>
        </w:rPr>
        <w:t>Ovom se Odlukom ne dovodi u pitanje moguća primjena članaka 107. i 108. Ugovora,</w:t>
      </w:r>
    </w:p>
    <w:p>
      <w:pPr>
        <w:pStyle w:val="Formuledadoption"/>
        <w:rPr>
          <w:noProof/>
        </w:rPr>
      </w:pPr>
      <w:r>
        <w:rPr>
          <w:noProof/>
        </w:rPr>
        <w:lastRenderedPageBreak/>
        <w:t>DONIJELO JE OVU ODLUKU:</w:t>
      </w:r>
    </w:p>
    <w:p>
      <w:pPr>
        <w:pStyle w:val="Titrearticle"/>
        <w:rPr>
          <w:noProof/>
        </w:rPr>
      </w:pPr>
      <w:r>
        <w:rPr>
          <w:noProof/>
        </w:rPr>
        <w:t>Članak 1.</w:t>
      </w:r>
    </w:p>
    <w:p>
      <w:pPr>
        <w:keepNext/>
        <w:rPr>
          <w:noProof/>
        </w:rPr>
      </w:pPr>
      <w:r>
        <w:rPr>
          <w:noProof/>
        </w:rPr>
        <w:t>1. Odstupajući od članaka 28., 30 i 110. Ugovora, Francuskoj se do 31. prosinca 2027. dopušta primjena izuzeća od poreza „octroi de mer” ili smanjenja poreza „octroi de mer” u pogledu proizvoda navedenih u Prilogu I., koji su lokalno proizvedeni u Guadeloupeu, Francuskoj Gvajani, Martiniqueu, Mayotteu ili Reunionu kao najudaljenijim regijama u smislu članka 349. Ugovora. Ta izuzeća ili smanjenja moraju biti u skladu sa strategijom gospodarskog i društvenog razvoja predmetnih najudaljenijih regija, uzimajući u obzir okvir Unije, te doprinijeti promicanju lokalnih djelatnosti i pritom ne utjecati negativno na trgovinske uvjete u mjeri u kojoj je to suprotno zajedničkom interesu.</w:t>
      </w:r>
    </w:p>
    <w:p>
      <w:pPr>
        <w:keepNext/>
        <w:rPr>
          <w:noProof/>
        </w:rPr>
      </w:pPr>
      <w:r>
        <w:rPr>
          <w:noProof/>
        </w:rPr>
        <w:t xml:space="preserve">2. U odnosu na porezne stope koje se primjenjuju na slične proizvode koji nisu podrijetlom iz predmetnih najudaljenijih regija, primjenom potpunih izuzeća ili smanjenja predviđenih stavkom 1. ne smiju nastati razlike veće od: </w:t>
      </w:r>
    </w:p>
    <w:p>
      <w:pPr>
        <w:keepNext/>
        <w:rPr>
          <w:noProof/>
        </w:rPr>
      </w:pPr>
      <w:r>
        <w:rPr>
          <w:noProof/>
        </w:rPr>
        <w:t xml:space="preserve">(a) 20 postotnih bodova za proizvode predviđene dijelom (a) Priloga I.; </w:t>
      </w:r>
    </w:p>
    <w:p>
      <w:pPr>
        <w:keepNext/>
        <w:rPr>
          <w:noProof/>
        </w:rPr>
      </w:pPr>
      <w:r>
        <w:rPr>
          <w:noProof/>
        </w:rPr>
        <w:t xml:space="preserve">(b) 30 postotnih bodova za proizvode predviđene dijelom (b) Priloga I. </w:t>
      </w:r>
    </w:p>
    <w:p>
      <w:pPr>
        <w:keepNext/>
        <w:rPr>
          <w:noProof/>
        </w:rPr>
      </w:pPr>
      <w:r>
        <w:rPr>
          <w:noProof/>
        </w:rPr>
        <w:t xml:space="preserve">Francuska se obvezuje osigurati da izuzeća ili smanjenja koja se primjenjuju na proizvode navedene u Prilogu I. ne prelaze ni dokazane dodatne troškove ni postotak koji je nužan za održavanje, promicanje i razvoj lokalnih gospodarskih djelatnosti. </w:t>
      </w:r>
    </w:p>
    <w:p>
      <w:pPr>
        <w:keepNext/>
        <w:rPr>
          <w:noProof/>
        </w:rPr>
      </w:pPr>
      <w:r>
        <w:rPr>
          <w:noProof/>
        </w:rPr>
        <w:t>3. Francuska primjenjuje izuzeća ili smanjenja poreza iz stavaka 1. i 2. na gospodarske subjekte čiji godišnji promet iznosi 550 000 EUR ili više. Svi gospodarski subjekti čiji je godišnji promet niži od tog praga nisu obveznici poreza „octroi de mer”.</w:t>
      </w:r>
    </w:p>
    <w:p>
      <w:pPr>
        <w:pStyle w:val="Titrearticle"/>
        <w:rPr>
          <w:noProof/>
        </w:rPr>
      </w:pPr>
      <w:r>
        <w:rPr>
          <w:noProof/>
        </w:rPr>
        <w:t>Članak 2.</w:t>
      </w:r>
    </w:p>
    <w:p>
      <w:pPr>
        <w:keepNext/>
        <w:rPr>
          <w:noProof/>
        </w:rPr>
      </w:pPr>
      <w:r>
        <w:rPr>
          <w:noProof/>
        </w:rPr>
        <w:t>Proizvodi iz članka 1. stavka 1. odabrani su na temelju postojanja dodatnih troškova proizvodnje koji povećavaju cijene lokalne proizvodnje u usporedbi s proizvodima koji su drugdje proizvedeni i smanjuju konkurentnost lokalno proizvedenih proizvoda.</w:t>
      </w:r>
    </w:p>
    <w:p>
      <w:pPr>
        <w:keepNext/>
        <w:rPr>
          <w:noProof/>
        </w:rPr>
      </w:pPr>
      <w:r>
        <w:rPr>
          <w:noProof/>
        </w:rPr>
        <w:t xml:space="preserve">Ako je tržišni udio lokalne proizvodnje: </w:t>
      </w:r>
    </w:p>
    <w:p>
      <w:pPr>
        <w:pStyle w:val="Point1"/>
        <w:rPr>
          <w:noProof/>
        </w:rPr>
      </w:pPr>
      <w:r>
        <w:t>(a)</w:t>
      </w:r>
      <w:r>
        <w:tab/>
      </w:r>
      <w:r>
        <w:rPr>
          <w:noProof/>
        </w:rPr>
        <w:t>manji od 5 %; ili</w:t>
      </w:r>
    </w:p>
    <w:p>
      <w:pPr>
        <w:pStyle w:val="Point1"/>
        <w:rPr>
          <w:noProof/>
        </w:rPr>
      </w:pPr>
      <w:r>
        <w:t>(b)</w:t>
      </w:r>
      <w:r>
        <w:tab/>
      </w:r>
      <w:r>
        <w:rPr>
          <w:noProof/>
        </w:rPr>
        <w:t>veći od 90 %,</w:t>
      </w:r>
    </w:p>
    <w:p>
      <w:pPr>
        <w:keepNext/>
        <w:rPr>
          <w:noProof/>
        </w:rPr>
      </w:pPr>
      <w:r>
        <w:rPr>
          <w:noProof/>
        </w:rPr>
        <w:t xml:space="preserve">potrebno je dostaviti dodatnu dokumentaciju kojom se u cijelosti ili djelomično dokazuju sljedeće okolnosti: </w:t>
      </w:r>
    </w:p>
    <w:p>
      <w:pPr>
        <w:pStyle w:val="Point1"/>
        <w:rPr>
          <w:noProof/>
        </w:rPr>
      </w:pPr>
      <w:r>
        <w:t>(1)</w:t>
      </w:r>
      <w:r>
        <w:tab/>
      </w:r>
      <w:r>
        <w:rPr>
          <w:noProof/>
        </w:rPr>
        <w:t>radno intenzivna proizvodnja;</w:t>
      </w:r>
    </w:p>
    <w:p>
      <w:pPr>
        <w:pStyle w:val="Point1"/>
        <w:rPr>
          <w:noProof/>
        </w:rPr>
      </w:pPr>
      <w:r>
        <w:t>(2)</w:t>
      </w:r>
      <w:r>
        <w:tab/>
      </w:r>
      <w:r>
        <w:rPr>
          <w:noProof/>
        </w:rPr>
        <w:t>nova proizvodnja ili dodaci asortimanu kojima se nastoji osigurati diversifikacija proizvodnje poduzeća;</w:t>
      </w:r>
    </w:p>
    <w:p>
      <w:pPr>
        <w:pStyle w:val="Point1"/>
        <w:rPr>
          <w:noProof/>
        </w:rPr>
      </w:pPr>
      <w:r>
        <w:t>(3)</w:t>
      </w:r>
      <w:r>
        <w:tab/>
      </w:r>
      <w:r>
        <w:rPr>
          <w:noProof/>
        </w:rPr>
        <w:t>strateška proizvodnja za lokalni razvoj;</w:t>
      </w:r>
    </w:p>
    <w:p>
      <w:pPr>
        <w:pStyle w:val="Point1"/>
        <w:rPr>
          <w:noProof/>
        </w:rPr>
      </w:pPr>
      <w:r>
        <w:t>(4)</w:t>
      </w:r>
      <w:r>
        <w:tab/>
      </w:r>
      <w:r>
        <w:rPr>
          <w:noProof/>
        </w:rPr>
        <w:t xml:space="preserve">inovativna proizvodnja ili proizvodnja s velikom dodanom vrijednošću; </w:t>
      </w:r>
    </w:p>
    <w:p>
      <w:pPr>
        <w:pStyle w:val="Point1"/>
        <w:rPr>
          <w:noProof/>
        </w:rPr>
      </w:pPr>
      <w:r>
        <w:t>(5)</w:t>
      </w:r>
      <w:r>
        <w:tab/>
      </w:r>
      <w:r>
        <w:rPr>
          <w:noProof/>
        </w:rPr>
        <w:t>uvozna proizvodnja čiji bi poremećaj u opskrbi mogao ugroziti lokalno gospodarstvo ili stanovništvo;</w:t>
      </w:r>
    </w:p>
    <w:p>
      <w:pPr>
        <w:pStyle w:val="Point1"/>
        <w:rPr>
          <w:noProof/>
        </w:rPr>
      </w:pPr>
      <w:r>
        <w:t>(6)</w:t>
      </w:r>
      <w:r>
        <w:tab/>
      </w:r>
      <w:r>
        <w:rPr>
          <w:noProof/>
        </w:rPr>
        <w:t>proizvodnja koja može postojati samo ako ima dominantan položaj na tržištu zbog ograničenosti tržištâ u najudaljenijim regijama;</w:t>
      </w:r>
    </w:p>
    <w:p>
      <w:pPr>
        <w:pStyle w:val="Point1"/>
        <w:rPr>
          <w:noProof/>
        </w:rPr>
      </w:pPr>
      <w:r>
        <w:lastRenderedPageBreak/>
        <w:t>(7)</w:t>
      </w:r>
      <w:r>
        <w:tab/>
      </w:r>
      <w:r>
        <w:rPr>
          <w:noProof/>
        </w:rPr>
        <w:t>proizvodnja medicinskih proizvoda i osobne zaštitne opreme koji su potrebni za rješavanje zdravstvenih kriza.</w:t>
      </w:r>
    </w:p>
    <w:p>
      <w:pPr>
        <w:pStyle w:val="Titrearticle"/>
        <w:keepNext w:val="0"/>
        <w:rPr>
          <w:noProof/>
        </w:rPr>
      </w:pPr>
      <w:r>
        <w:rPr>
          <w:noProof/>
        </w:rPr>
        <w:t>Članak 3.</w:t>
      </w:r>
    </w:p>
    <w:p>
      <w:pPr>
        <w:rPr>
          <w:noProof/>
        </w:rPr>
      </w:pPr>
      <w:r>
        <w:rPr>
          <w:noProof/>
        </w:rPr>
        <w:t xml:space="preserve">Francuska tijela na proizvode na koje je primijenjen poseban režim opskrbe predviđen poglavljem III. Uredbe (EU) br. 228/2013 primjenjuju isti režim oporezivanja kao i za lokalno proizvedene proizvode. </w:t>
      </w:r>
    </w:p>
    <w:p>
      <w:pPr>
        <w:pStyle w:val="Titrearticle"/>
        <w:keepNext w:val="0"/>
        <w:rPr>
          <w:noProof/>
        </w:rPr>
      </w:pPr>
      <w:r>
        <w:rPr>
          <w:noProof/>
        </w:rPr>
        <w:t>Članak 4.</w:t>
      </w:r>
    </w:p>
    <w:p>
      <w:pPr>
        <w:rPr>
          <w:noProof/>
        </w:rPr>
      </w:pPr>
      <w:r>
        <w:rPr>
          <w:noProof/>
        </w:rPr>
        <w:t>Kako bi Komisija mogla ocijeniti jesu li uvjeti za primjenu režima oporezivanja iz članka 1. i dalje ispunjeni, Francuska do 30. rujna 2025. dostavlja Komisiji izvješće o praćenju. Izvješće o praćenju sadržava informacije navedene u Prilogu II.</w:t>
      </w:r>
    </w:p>
    <w:p>
      <w:pPr>
        <w:pStyle w:val="Titrearticle"/>
        <w:keepNext w:val="0"/>
        <w:rPr>
          <w:noProof/>
        </w:rPr>
      </w:pPr>
      <w:r>
        <w:rPr>
          <w:noProof/>
        </w:rPr>
        <w:t>Članak 5.</w:t>
      </w:r>
    </w:p>
    <w:p>
      <w:pPr>
        <w:rPr>
          <w:noProof/>
        </w:rPr>
      </w:pPr>
      <w:r>
        <w:rPr>
          <w:noProof/>
        </w:rPr>
        <w:t xml:space="preserve">U članku 1. stavku 1. Odluke br. 940/2014/EU, datum „30. lipnja 2021.” zamjenjuje se datumom „31. prosinca 2021.”. </w:t>
      </w:r>
    </w:p>
    <w:p>
      <w:pPr>
        <w:pStyle w:val="Titrearticle"/>
        <w:keepNext w:val="0"/>
        <w:rPr>
          <w:noProof/>
        </w:rPr>
      </w:pPr>
      <w:r>
        <w:rPr>
          <w:noProof/>
        </w:rPr>
        <w:t>Članak 6.</w:t>
      </w:r>
    </w:p>
    <w:p>
      <w:pPr>
        <w:rPr>
          <w:noProof/>
        </w:rPr>
      </w:pPr>
      <w:r>
        <w:rPr>
          <w:noProof/>
        </w:rPr>
        <w:t>Ova Odluka primjenjuje se od 1. siječnja 2022., uz iznimku članka 5. koji se primjenjuje od 1. srpnja 2021.</w:t>
      </w:r>
    </w:p>
    <w:p>
      <w:pPr>
        <w:pStyle w:val="Titrearticle"/>
        <w:rPr>
          <w:noProof/>
        </w:rPr>
      </w:pPr>
      <w:r>
        <w:rPr>
          <w:noProof/>
        </w:rPr>
        <w:t>Članak 7.</w:t>
      </w:r>
    </w:p>
    <w:p>
      <w:pPr>
        <w:keepNext/>
        <w:rPr>
          <w:noProof/>
        </w:rPr>
      </w:pPr>
      <w:r>
        <w:rPr>
          <w:noProof/>
        </w:rPr>
        <w:t>Ova je odluka upućena Francuskoj Republici.</w:t>
      </w:r>
    </w:p>
    <w:p>
      <w:pPr>
        <w:pStyle w:val="Fait"/>
        <w:rPr>
          <w:noProof/>
        </w:rPr>
      </w:pPr>
      <w:r>
        <w:t>Sastavljeno u Bruxellesu,</w:t>
      </w:r>
    </w:p>
    <w:p>
      <w:pPr>
        <w:pStyle w:val="Institutionquisigne"/>
        <w:rPr>
          <w:noProof/>
        </w:rPr>
      </w:pPr>
      <w:r>
        <w:rPr>
          <w:noProof/>
        </w:rPr>
        <w:tab/>
        <w:t>Za Vijeće</w:t>
      </w:r>
    </w:p>
    <w:p>
      <w:pPr>
        <w:pStyle w:val="Personnequisigne"/>
        <w:rPr>
          <w:noProof/>
        </w:rPr>
      </w:pPr>
      <w:r>
        <w:rPr>
          <w:noProof/>
        </w:rPr>
        <w:tab/>
        <w:t>Predsjednik</w:t>
      </w:r>
    </w:p>
    <w:sectPr>
      <w:footnotePr>
        <w:numRestart w:val="eachPage"/>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Odluka Vijeća br. 940/2014/EU od 17. prosinca 2014. o porezu „octroi de mer” u najudaljenijim francuskim regijama (SL L 367, 23.12.2014., str. 1.).</w:t>
      </w:r>
    </w:p>
  </w:footnote>
  <w:footnote w:id="2">
    <w:p>
      <w:pPr>
        <w:pStyle w:val="FootnoteText"/>
      </w:pPr>
      <w:r>
        <w:rPr>
          <w:rStyle w:val="FootnoteReference"/>
        </w:rPr>
        <w:footnoteRef/>
      </w:r>
      <w:r>
        <w:tab/>
        <w:t>Odluka Vijeća (EU) 2020/1793 od 16. studenoga 2020. o izmjeni razdoblja primjene Odluke br. 940/2014/EU o porezu „octroi de mer” u najudaljenijim francuskim regijama (SL L 402, 1.12.2020., str. 21.–22.).</w:t>
      </w:r>
    </w:p>
  </w:footnote>
  <w:footnote w:id="3">
    <w:p>
      <w:pPr>
        <w:pStyle w:val="FootnoteText"/>
      </w:pPr>
      <w:r>
        <w:rPr>
          <w:rStyle w:val="FootnoteReference"/>
        </w:rPr>
        <w:footnoteRef/>
      </w:r>
      <w:r>
        <w:tab/>
        <w:t>Prihod od oporezivanja poduzeća koja ostvaruju promet od 300 000 EUR do 550 000 EUR procjenjuje se na samo 1,22 milijuna EUR u 2019., odnosno otprilike 0,1 % ukupnih prihoda od poreza „octroi de mer” (1,2 milijarde EUR).</w:t>
      </w:r>
    </w:p>
  </w:footnote>
  <w:footnote w:id="4">
    <w:p>
      <w:pPr>
        <w:pStyle w:val="FootnoteText"/>
      </w:pPr>
      <w:r>
        <w:rPr>
          <w:rStyle w:val="FootnoteReference"/>
        </w:rPr>
        <w:footnoteRef/>
      </w:r>
      <w:r>
        <w:tab/>
        <w:t>Registrirano je 222 predmetnih poduzeća.</w:t>
      </w:r>
    </w:p>
  </w:footnote>
  <w:footnote w:id="5">
    <w:p>
      <w:pPr>
        <w:pStyle w:val="FootnoteText"/>
      </w:pPr>
      <w:r>
        <w:rPr>
          <w:rStyle w:val="FootnoteReference"/>
        </w:rPr>
        <w:footnoteRef/>
      </w:r>
      <w:r>
        <w:tab/>
        <w:t>COM(2017) 623 final.</w:t>
      </w:r>
    </w:p>
  </w:footnote>
  <w:footnote w:id="6">
    <w:p>
      <w:pPr>
        <w:pStyle w:val="FootnoteText"/>
      </w:pPr>
      <w:r>
        <w:rPr>
          <w:rStyle w:val="FootnoteReference"/>
        </w:rPr>
        <w:footnoteRef/>
      </w:r>
      <w:r>
        <w:tab/>
        <w:t>Uredba (EU) br. 228/2013 Europskog parlamenta i Vijeća od 13. ožujka 2013.</w:t>
      </w:r>
    </w:p>
  </w:footnote>
  <w:footnote w:id="7">
    <w:p>
      <w:pPr>
        <w:pStyle w:val="FootnoteText"/>
      </w:pPr>
      <w:r>
        <w:rPr>
          <w:rStyle w:val="FootnoteReference"/>
        </w:rPr>
        <w:footnoteRef/>
      </w:r>
      <w:r>
        <w:tab/>
      </w:r>
      <w:r>
        <w:rPr>
          <w:rStyle w:val="FootnoteReference"/>
          <w:vertAlign w:val="baseline"/>
        </w:rPr>
        <w:t>Uredba (EU) br. 508/2014 Europskog parlamenta i Vijeća od 15. svibnja 2014. o Europskom fondu za pomorstvo i ribarstvo</w:t>
      </w:r>
      <w:r>
        <w:t>.</w:t>
      </w:r>
    </w:p>
  </w:footnote>
  <w:footnote w:id="8">
    <w:p>
      <w:pPr>
        <w:pStyle w:val="FootnoteText"/>
      </w:pPr>
      <w:r>
        <w:rPr>
          <w:rStyle w:val="FootnoteReference"/>
        </w:rPr>
        <w:footnoteRef/>
      </w:r>
      <w:r>
        <w:tab/>
        <w:t>Uredba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w:t>
      </w:r>
    </w:p>
  </w:footnote>
  <w:footnote w:id="9">
    <w:p>
      <w:pPr>
        <w:pStyle w:val="FootnoteText"/>
      </w:pPr>
      <w:r>
        <w:rPr>
          <w:rStyle w:val="FootnoteReference"/>
        </w:rPr>
        <w:footnoteRef/>
      </w:r>
      <w:r>
        <w:tab/>
        <w:t>Komunikacija Komisije Europskom parlamentu, Vijeću, Europskom gospodarskom i socijalnom odboru i Odboru regija „Poboljšanje jedinstvenog tržišta: više prilika za ljude i poduzeća” (COM(2015) 550 final), str. 4.</w:t>
      </w:r>
    </w:p>
  </w:footnote>
  <w:footnote w:id="10">
    <w:p>
      <w:pPr>
        <w:pStyle w:val="FootnoteText"/>
      </w:pPr>
      <w:r>
        <w:rPr>
          <w:rStyle w:val="FootnoteReference"/>
        </w:rPr>
        <w:footnoteRef/>
      </w:r>
      <w:r>
        <w:tab/>
        <w:t>Utvrđeno je vrlo malo slučajeva (koji čine 0,6 % prihvatljivih proizvoda) prekomjerne naknade troškova (prosječno manje od tri postotna boda) zbog ažuriranog izračuna dodatnih troškova (u 2020.).</w:t>
      </w:r>
    </w:p>
  </w:footnote>
  <w:footnote w:id="11">
    <w:p>
      <w:pPr>
        <w:pStyle w:val="FootnoteText"/>
      </w:pPr>
      <w:r>
        <w:rPr>
          <w:rStyle w:val="FootnoteReference"/>
        </w:rPr>
        <w:footnoteRef/>
      </w:r>
      <w:r>
        <w:tab/>
        <w:t>Izvješće bi trebalo sadržavati podatke za 2019. kako bi se utvrdila referentna vrijednost i Komisiji omogućilo da ispita učinak režima za razdoblje nakon 2021. Izvješće bi trebalo sadržavati, ako je to moguće, najnovije podatke do kraja 2024.</w:t>
      </w:r>
    </w:p>
  </w:footnote>
  <w:footnote w:id="12">
    <w:p>
      <w:pPr>
        <w:pStyle w:val="FootnoteText"/>
      </w:pPr>
      <w:r>
        <w:rPr>
          <w:rStyle w:val="FootnoteReference"/>
        </w:rPr>
        <w:footnoteRef/>
      </w:r>
      <w:r>
        <w:tab/>
        <w:t>SL C , , str. .</w:t>
      </w:r>
    </w:p>
  </w:footnote>
  <w:footnote w:id="13">
    <w:p>
      <w:pPr>
        <w:pStyle w:val="FootnoteText"/>
      </w:pPr>
      <w:r>
        <w:rPr>
          <w:rStyle w:val="FootnoteReference"/>
        </w:rPr>
        <w:footnoteRef/>
      </w:r>
      <w:r>
        <w:tab/>
        <w:t>Odluka Vijeća br. 940/2014/EU od 17. prosinca 2014. o porezu „octroi de mer” u najudaljenijim francuskim regijama (SL L 367, 23.12.2014., str. 1.).</w:t>
      </w:r>
    </w:p>
  </w:footnote>
  <w:footnote w:id="14">
    <w:p>
      <w:pPr>
        <w:pStyle w:val="FootnoteText"/>
      </w:pPr>
      <w:r>
        <w:rPr>
          <w:rStyle w:val="FootnoteReference"/>
        </w:rPr>
        <w:footnoteRef/>
      </w:r>
      <w:r>
        <w:tab/>
        <w:t>Uredba (EU) br. 228/2013 Europskog parlamenta i Vijeća od 13. ožujka 2013. o utvrđivanju posebnih mjera za poljoprivredu u najudaljenijim regijama Unije i stavljanju izvan snage Uredbe Vijeća (EZ) br. 247/2006 (SL L 78, 20.3.2013., str. 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4569D5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B7A71F0"/>
    <w:lvl w:ilvl="0">
      <w:start w:val="1"/>
      <w:numFmt w:val="decimal"/>
      <w:pStyle w:val="ListNumber3"/>
      <w:lvlText w:val="%1."/>
      <w:lvlJc w:val="left"/>
      <w:pPr>
        <w:tabs>
          <w:tab w:val="num" w:pos="926"/>
        </w:tabs>
        <w:ind w:left="926" w:hanging="360"/>
      </w:pPr>
    </w:lvl>
  </w:abstractNum>
  <w:abstractNum w:abstractNumId="2">
    <w:nsid w:val="FFFFFF7F"/>
    <w:multiLevelType w:val="singleLevel"/>
    <w:tmpl w:val="6F3A6D0C"/>
    <w:lvl w:ilvl="0">
      <w:start w:val="1"/>
      <w:numFmt w:val="decimal"/>
      <w:pStyle w:val="ListNumber2"/>
      <w:lvlText w:val="%1."/>
      <w:lvlJc w:val="left"/>
      <w:pPr>
        <w:tabs>
          <w:tab w:val="num" w:pos="643"/>
        </w:tabs>
        <w:ind w:left="643" w:hanging="360"/>
      </w:pPr>
    </w:lvl>
  </w:abstractNum>
  <w:abstractNum w:abstractNumId="3">
    <w:nsid w:val="FFFFFF81"/>
    <w:multiLevelType w:val="singleLevel"/>
    <w:tmpl w:val="6FC8D1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F2E7F2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2C8C1C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9366F8C"/>
    <w:lvl w:ilvl="0">
      <w:start w:val="1"/>
      <w:numFmt w:val="decimal"/>
      <w:pStyle w:val="ListNumber"/>
      <w:lvlText w:val="%1."/>
      <w:lvlJc w:val="left"/>
      <w:pPr>
        <w:tabs>
          <w:tab w:val="num" w:pos="360"/>
        </w:tabs>
        <w:ind w:left="360" w:hanging="360"/>
      </w:pPr>
    </w:lvl>
  </w:abstractNum>
  <w:abstractNum w:abstractNumId="7">
    <w:nsid w:val="FFFFFF89"/>
    <w:multiLevelType w:val="singleLevel"/>
    <w:tmpl w:val="5942A66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8"/>
    <w:lvlOverride w:ilvl="0">
      <w:startOverride w:val="1"/>
    </w:lvlOverride>
  </w:num>
  <w:num w:numId="12">
    <w:abstractNumId w:val="12"/>
    <w:lvlOverride w:ilvl="0">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ttachedTemplate r:id="rId1"/>
  <w:revisionView w:markup="0"/>
  <w:defaultTabStop w:val="720"/>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09 09:33:0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4"/>
    <w:docVar w:name="DQCStatus" w:val="Green"/>
    <w:docVar w:name="DQCVersion" w:val="3"/>
    <w:docVar w:name="DQCWithWarnings" w:val="0"/>
    <w:docVar w:name="LW_CORRIGENDUM" w:val="&lt;UNUSED&gt;"/>
    <w:docVar w:name="LW_COVERPAGE_EXISTS" w:val="True"/>
    <w:docVar w:name="LW_COVERPAGE_GUID" w:val="D5092224-A8EB-4452-B20B-5240EC3589C8"/>
    <w:docVar w:name="LW_COVERPAGE_TYPE" w:val="1"/>
    <w:docVar w:name="LW_CROSSREFERENCE" w:val="{SWD(2021) 44 final}"/>
    <w:docVar w:name="LW_DocType" w:val="COM"/>
    <w:docVar w:name="LW_EMISSION" w:val="3.3.2021."/>
    <w:docVar w:name="LW_EMISSION_ISODATE" w:val="2021-03-03"/>
    <w:docVar w:name="LW_EMISSION_LOCATION" w:val="BRX"/>
    <w:docVar w:name="LW_EMISSION_PREFIX" w:val="Bruxelle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CNS"/>
    <w:docVar w:name="LW_REF.II.NEW.CP_NUMBER" w:val="0051"/>
    <w:docVar w:name="LW_REF.II.NEW.CP_YEAR" w:val="2021"/>
    <w:docVar w:name="LW_REF.INST.NEW" w:val="COM"/>
    <w:docVar w:name="LW_REF.INST.NEW_ADOPTED" w:val="final"/>
    <w:docVar w:name="LW_REF.INST.NEW_TEXT" w:val="(2021) 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jedlog"/>
    <w:docVar w:name="LW_SUPERTITRE" w:val="&lt;UNUSED&gt;"/>
    <w:docVar w:name="LW_TITRE.OBJ.CP" w:val="o porezu \u8222?octroi de mer\u8221? u najudaljenijim francuskim regijama i izmjeni Odluke br. 940/2014/EU_x000b_"/>
    <w:docVar w:name="LW_TYPE.DOC.CP" w:val="ODLUKE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992898">
      <w:bodyDiv w:val="1"/>
      <w:marLeft w:val="0"/>
      <w:marRight w:val="0"/>
      <w:marTop w:val="0"/>
      <w:marBottom w:val="0"/>
      <w:divBdr>
        <w:top w:val="none" w:sz="0" w:space="0" w:color="auto"/>
        <w:left w:val="none" w:sz="0" w:space="0" w:color="auto"/>
        <w:bottom w:val="none" w:sz="0" w:space="0" w:color="auto"/>
        <w:right w:val="none" w:sz="0" w:space="0" w:color="auto"/>
      </w:divBdr>
    </w:div>
    <w:div w:id="1717463495">
      <w:bodyDiv w:val="1"/>
      <w:marLeft w:val="0"/>
      <w:marRight w:val="0"/>
      <w:marTop w:val="0"/>
      <w:marBottom w:val="0"/>
      <w:divBdr>
        <w:top w:val="none" w:sz="0" w:space="0" w:color="auto"/>
        <w:left w:val="none" w:sz="0" w:space="0" w:color="auto"/>
        <w:bottom w:val="none" w:sz="0" w:space="0" w:color="auto"/>
        <w:right w:val="none" w:sz="0" w:space="0" w:color="auto"/>
      </w:divBdr>
    </w:div>
    <w:div w:id="1858734594">
      <w:bodyDiv w:val="1"/>
      <w:marLeft w:val="0"/>
      <w:marRight w:val="0"/>
      <w:marTop w:val="0"/>
      <w:marBottom w:val="0"/>
      <w:divBdr>
        <w:top w:val="none" w:sz="0" w:space="0" w:color="auto"/>
        <w:left w:val="none" w:sz="0" w:space="0" w:color="auto"/>
        <w:bottom w:val="none" w:sz="0" w:space="0" w:color="auto"/>
        <w:right w:val="none" w:sz="0" w:space="0" w:color="auto"/>
      </w:divBdr>
    </w:div>
    <w:div w:id="193569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BE71657-D2C6-4FC7-9041-879F4EAB1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13</Pages>
  <Words>4094</Words>
  <Characters>25267</Characters>
  <Application>Microsoft Office Word</Application>
  <DocSecurity>0</DocSecurity>
  <Lines>428</Lines>
  <Paragraphs>155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2021-03-05T13:42:00Z</dcterms:created>
  <dcterms:modified xsi:type="dcterms:W3CDTF">2021-03-09T08:33:00Z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