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CE81DE78-F9B8-4CD2-9E84-553A32822106" style="width:450.8pt;height:307.55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ListParagraph"/>
        <w:numPr>
          <w:ilvl w:val="0"/>
          <w:numId w:val="6"/>
        </w:numPr>
        <w:rPr>
          <w:rFonts w:ascii="Times New Roman" w:eastAsia="Times New Roman" w:hAnsi="Times New Roman" w:cs="Times New Roman"/>
          <w:noProof/>
          <w:sz w:val="24"/>
          <w:szCs w:val="24"/>
        </w:rPr>
      </w:pPr>
      <w:bookmarkStart w:id="1" w:name="_GoBack"/>
      <w:bookmarkEnd w:id="1"/>
      <w:r>
        <w:rPr>
          <w:rFonts w:ascii="Times New Roman" w:hAnsi="Times New Roman"/>
          <w:b/>
          <w:bCs/>
          <w:noProof/>
          <w:sz w:val="24"/>
          <w:szCs w:val="24"/>
        </w:rPr>
        <w:lastRenderedPageBreak/>
        <w:t>Εισαγωγή: νέες και παλιές προκλήσεις για την ανθρωπιστική βοήθεια της ΕΕ</w:t>
      </w:r>
      <w:r>
        <w:rPr>
          <w:rFonts w:ascii="Times New Roman" w:hAnsi="Times New Roman"/>
          <w:noProof/>
          <w:sz w:val="24"/>
          <w:szCs w:val="24"/>
        </w:rPr>
        <w:t xml:space="preserve"> </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Η Ευρωπαϊκή Ένωση μαζί με τα κράτη μέλη της είναι ο </w:t>
      </w:r>
      <w:r>
        <w:rPr>
          <w:rFonts w:ascii="Times New Roman" w:hAnsi="Times New Roman"/>
          <w:b/>
          <w:bCs/>
          <w:noProof/>
          <w:sz w:val="24"/>
          <w:szCs w:val="24"/>
        </w:rPr>
        <w:t>μεγαλύτερος χορηγός ανθρωπιστικής βοήθειας παγκοσμίως</w:t>
      </w:r>
      <w:r>
        <w:rPr>
          <w:rFonts w:ascii="Times New Roman" w:hAnsi="Times New Roman"/>
          <w:noProof/>
          <w:sz w:val="24"/>
          <w:szCs w:val="24"/>
        </w:rPr>
        <w:t>, αντιπροσωπεύοντας περίπου το 36 % της παγκόσμιας ανθρωπιστικής βοήθειας</w:t>
      </w:r>
      <w:r>
        <w:rPr>
          <w:rStyle w:val="FootnoteReference"/>
          <w:rFonts w:ascii="Times New Roman" w:eastAsia="Times New Roman" w:hAnsi="Times New Roman" w:cs="Times New Roman"/>
          <w:noProof/>
          <w:sz w:val="24"/>
          <w:szCs w:val="24"/>
          <w:lang w:val="en-IE"/>
        </w:rPr>
        <w:footnoteReference w:id="2"/>
      </w:r>
      <w:r>
        <w:rPr>
          <w:rFonts w:ascii="Times New Roman" w:hAnsi="Times New Roman"/>
          <w:noProof/>
          <w:sz w:val="24"/>
          <w:szCs w:val="24"/>
        </w:rPr>
        <w:t xml:space="preserve">. Σε έναν κόσμο όπου το αποτύπωμα των συγκρούσεων και των καταστροφών αυξάνεται σταθερά, η ανθρωπιστική βοήθεια αποτελεί βασικό πυλώνα της εξωτερικής δράσης της ΕΕ και σημαντικό μέρος της ικανότητάς της να προβάλλει τις αξίες της σε παγκόσμιο επίπεδο. </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Ωστόσο, η ανθρωπιστική βοήθεια αντιμετωπίζει τώρα μια άνευ προηγουμένου σειρά προκλήσεων, οι οποίες επιδεινώθηκαν από την πανδημία COVID-19. </w:t>
      </w:r>
      <w:r>
        <w:rPr>
          <w:rFonts w:ascii="Times New Roman" w:hAnsi="Times New Roman"/>
          <w:b/>
          <w:noProof/>
          <w:sz w:val="24"/>
          <w:szCs w:val="24"/>
        </w:rPr>
        <w:t>Ο</w:t>
      </w:r>
      <w:r>
        <w:rPr>
          <w:rFonts w:ascii="Times New Roman" w:hAnsi="Times New Roman"/>
          <w:b/>
          <w:bCs/>
          <w:noProof/>
          <w:sz w:val="24"/>
          <w:szCs w:val="24"/>
        </w:rPr>
        <w:t>ι ανθρωπιστικές ανάγκες βρίσκονται σε πρωτοφανές υψηλό επίπεδο</w:t>
      </w:r>
      <w:r>
        <w:rPr>
          <w:rFonts w:ascii="Times New Roman" w:hAnsi="Times New Roman"/>
          <w:bCs/>
          <w:noProof/>
          <w:sz w:val="24"/>
          <w:szCs w:val="24"/>
        </w:rPr>
        <w:t xml:space="preserve"> και οφείλονται σε</w:t>
      </w:r>
      <w:r>
        <w:rPr>
          <w:rFonts w:ascii="Times New Roman" w:hAnsi="Times New Roman"/>
          <w:noProof/>
          <w:sz w:val="24"/>
          <w:szCs w:val="24"/>
        </w:rPr>
        <w:t xml:space="preserve"> μεγάλο βαθμό στην αναζωπύρωση των συγκρούσεων σε επίπεδο κρατών</w:t>
      </w:r>
      <w:r>
        <w:rPr>
          <w:rStyle w:val="FootnoteReference"/>
          <w:rFonts w:ascii="Times New Roman" w:hAnsi="Times New Roman" w:cs="Times New Roman"/>
          <w:noProof/>
          <w:sz w:val="24"/>
          <w:szCs w:val="24"/>
          <w:lang w:val="en-IE"/>
        </w:rPr>
        <w:footnoteReference w:id="3"/>
      </w:r>
      <w:r>
        <w:rPr>
          <w:rFonts w:ascii="Times New Roman" w:hAnsi="Times New Roman"/>
          <w:noProof/>
          <w:sz w:val="24"/>
          <w:szCs w:val="24"/>
        </w:rPr>
        <w:t xml:space="preserve"> σε συνδυασμό με τις επιπτώσεις της κλιματικής αλλαγής, της υποβάθμισης του περιβάλλοντος, της αύξησης του παγκόσμιου πληθυσμού και της αποτυχημένης διακυβέρνησης</w:t>
      </w:r>
      <w:r>
        <w:rPr>
          <w:rFonts w:ascii="Times New Roman" w:hAnsi="Times New Roman"/>
          <w:bCs/>
          <w:noProof/>
          <w:sz w:val="24"/>
          <w:szCs w:val="24"/>
        </w:rPr>
        <w:t>. Ωστόσο, τ</w:t>
      </w:r>
      <w:r>
        <w:rPr>
          <w:rFonts w:ascii="Times New Roman" w:hAnsi="Times New Roman"/>
          <w:noProof/>
          <w:sz w:val="24"/>
          <w:szCs w:val="24"/>
        </w:rPr>
        <w:t xml:space="preserve">ο </w:t>
      </w:r>
      <w:r>
        <w:rPr>
          <w:rFonts w:ascii="Times New Roman" w:hAnsi="Times New Roman"/>
          <w:b/>
          <w:bCs/>
          <w:noProof/>
          <w:sz w:val="24"/>
          <w:szCs w:val="24"/>
        </w:rPr>
        <w:t>χάσμα μεταξύ των ανθρωπιστικών αναγκών και των διαθέσιμων πόρων</w:t>
      </w:r>
      <w:r>
        <w:rPr>
          <w:rFonts w:ascii="Times New Roman" w:hAnsi="Times New Roman"/>
          <w:noProof/>
          <w:sz w:val="24"/>
          <w:szCs w:val="24"/>
        </w:rPr>
        <w:t xml:space="preserve"> αυξάνεται σε παγκόσμιο επίπεδο. </w:t>
      </w:r>
      <w:r>
        <w:rPr>
          <w:rFonts w:ascii="Times New Roman" w:hAnsi="Times New Roman"/>
          <w:b/>
          <w:bCs/>
          <w:noProof/>
          <w:sz w:val="24"/>
          <w:szCs w:val="24"/>
        </w:rPr>
        <w:t>Οι βασικοί κανόνες και αρχές αμφισβητούνται</w:t>
      </w:r>
      <w:r>
        <w:rPr>
          <w:rFonts w:ascii="Times New Roman" w:hAnsi="Times New Roman"/>
          <w:noProof/>
          <w:sz w:val="24"/>
          <w:szCs w:val="24"/>
        </w:rPr>
        <w:t xml:space="preserve"> όσο λίγες φορές στο παρελθόν, γεγονός που καθιστά δυσχερέστερη και πιο επικίνδυνη την παροχή βοήθειας. </w:t>
      </w:r>
    </w:p>
    <w:p>
      <w:pPr>
        <w:jc w:val="both"/>
        <w:rPr>
          <w:rFonts w:ascii="Times New Roman" w:eastAsia="Times New Roman" w:hAnsi="Times New Roman" w:cs="Times New Roman"/>
          <w:noProof/>
          <w:sz w:val="24"/>
          <w:szCs w:val="24"/>
        </w:rPr>
      </w:pPr>
      <w:r>
        <w:rPr>
          <w:rFonts w:ascii="Times New Roman" w:hAnsi="Times New Roman"/>
          <w:noProof/>
          <w:sz w:val="24"/>
          <w:szCs w:val="24"/>
        </w:rPr>
        <w:t>Η παρούσα ανακοίνωση περιγράφει τον τρόπο με τον οποίο η ΕΕ, σε συνεργασία με τους διάφορους εταίρους της στον τομέα της ανθρωπιστικής βοήθειας και άλλους χορηγούς, μπορεί να ανταποκριθεί στην πρόκληση αυτή.</w:t>
      </w:r>
    </w:p>
    <w:p>
      <w:pPr>
        <w:jc w:val="both"/>
        <w:rPr>
          <w:rFonts w:ascii="Times New Roman" w:hAnsi="Times New Roman"/>
          <w:i/>
          <w:iCs/>
          <w:noProof/>
          <w:sz w:val="24"/>
          <w:szCs w:val="24"/>
        </w:rPr>
      </w:pPr>
      <w:r>
        <w:rPr>
          <w:rFonts w:ascii="Times New Roman" w:hAnsi="Times New Roman"/>
          <w:i/>
          <w:iCs/>
          <w:noProof/>
          <w:sz w:val="24"/>
          <w:szCs w:val="24"/>
        </w:rPr>
        <w:t>Ανθρωπιστικές ανάγκες: αυξητική τάση — οδηγούμενη σε μια θεαματικά ανοδική πορεία λόγω της νόσου COVID-19 και των κλιματικών επιπτώσεων</w:t>
      </w:r>
    </w:p>
    <w:p>
      <w:pPr>
        <w:jc w:val="both"/>
        <w:rPr>
          <w:rFonts w:ascii="Times New Roman" w:eastAsia="Times New Roman" w:hAnsi="Times New Roman" w:cs="Times New Roman"/>
          <w:iCs/>
          <w:noProof/>
          <w:sz w:val="24"/>
          <w:szCs w:val="24"/>
        </w:rPr>
      </w:pPr>
      <w:r>
        <w:rPr>
          <w:noProof/>
          <w:lang w:val="en-GB" w:eastAsia="en-GB"/>
        </w:rPr>
        <w:drawing>
          <wp:inline distT="0" distB="0" distL="0" distR="0">
            <wp:extent cx="5010150" cy="3517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2420" cy="3519494"/>
                    </a:xfrm>
                    <a:prstGeom prst="rect">
                      <a:avLst/>
                    </a:prstGeom>
                    <a:noFill/>
                    <a:ln>
                      <a:noFill/>
                    </a:ln>
                  </pic:spPr>
                </pic:pic>
              </a:graphicData>
            </a:graphic>
          </wp:inline>
        </w:drawing>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Ποτέ άλλοτε η παγκόσμια ευθύνη της ΕΕ ως φορέα παροχής ανθρωπιστικής βοήθειας δεν ήταν τόσο μεγάλη όσο κατά την εκδήλωση </w:t>
      </w:r>
      <w:r>
        <w:rPr>
          <w:rFonts w:ascii="Times New Roman" w:hAnsi="Times New Roman"/>
          <w:bCs/>
          <w:noProof/>
          <w:sz w:val="24"/>
          <w:szCs w:val="24"/>
        </w:rPr>
        <w:t xml:space="preserve">της </w:t>
      </w:r>
      <w:r>
        <w:rPr>
          <w:rFonts w:ascii="Times New Roman" w:hAnsi="Times New Roman"/>
          <w:b/>
          <w:bCs/>
          <w:noProof/>
          <w:sz w:val="24"/>
          <w:szCs w:val="24"/>
        </w:rPr>
        <w:t>πανδημίας COVID-19</w:t>
      </w:r>
      <w:r>
        <w:rPr>
          <w:rFonts w:ascii="Times New Roman" w:hAnsi="Times New Roman"/>
          <w:noProof/>
          <w:sz w:val="24"/>
          <w:szCs w:val="24"/>
        </w:rPr>
        <w:t>. Το 2021 εκτιμάται ότι 150 εκατομμύρια άνθρωποι έχουν περιέλθει σε κατάσταση ακραίας φτώχειας λόγω της πανδημίας</w:t>
      </w:r>
      <w:r>
        <w:rPr>
          <w:rStyle w:val="FootnoteReference"/>
          <w:rFonts w:ascii="Times New Roman" w:eastAsia="Times New Roman" w:hAnsi="Times New Roman" w:cs="Times New Roman"/>
          <w:noProof/>
          <w:sz w:val="24"/>
          <w:szCs w:val="24"/>
          <w:lang w:val="en-IE"/>
        </w:rPr>
        <w:footnoteReference w:id="4"/>
      </w:r>
      <w:r>
        <w:rPr>
          <w:rFonts w:ascii="Times New Roman" w:hAnsi="Times New Roman"/>
          <w:noProof/>
          <w:sz w:val="24"/>
          <w:szCs w:val="24"/>
        </w:rPr>
        <w:t>. Η νόσος COVID-19 έχει επιδεινώσει τις προϋπάρχουσες αδυναμίες και ανισότητες και έχει εντείνει περαιτέρω τις ανθρωπιστικές ανάγκες. Τα Ηνωμένα Έθνη εκτιμούν ότι σχεδόν 235 εκατομμύρια άνθρωποι —1 στους 33 ανθρώπους ανά τον κόσμο— θα χρειαστούν ανθρωπιστική βοήθεια το 2021. Πρόκειται για αύξηση κατά 40 % σε σχέση με τις εκτιμήσεις του 2020 όσον αφορά τις ανάγκες (πριν από τη νόσο COVID-19) και σχεδόν τριπλασιασμό σε σχέση με τις εκτιμήσεις του 2014. Ο αριθμός των εκτοπισθέντων έχει διπλασιαστεί από το 2010, φθάνοντας τα 79,5 εκατομμύρια έως το τέλος του 2019</w:t>
      </w:r>
      <w:r>
        <w:rPr>
          <w:rStyle w:val="FootnoteReference"/>
          <w:rFonts w:ascii="Times New Roman" w:eastAsia="Times New Roman" w:hAnsi="Times New Roman" w:cs="Times New Roman"/>
          <w:noProof/>
          <w:sz w:val="24"/>
          <w:szCs w:val="24"/>
          <w:lang w:val="en-IE"/>
        </w:rPr>
        <w:footnoteReference w:id="5"/>
      </w:r>
      <w:r>
        <w:rPr>
          <w:rFonts w:ascii="Times New Roman" w:hAnsi="Times New Roman"/>
          <w:noProof/>
          <w:sz w:val="24"/>
          <w:szCs w:val="24"/>
        </w:rPr>
        <w:t>. Η μέση ανθρωπιστική κρίση διαρκεί πλέον πάνω από 9 χρόνια και πολλές κρίσεις που ξεσπούν, μεταξύ άλλων και στις γειτονικές χώρες της Ευρώπης, διαρκούν πολύ περισσότερο. Ως εκ τούτου, πάρα πολλές ανθρωπιστικές κρίσεις «λησμονούνται</w:t>
      </w:r>
      <w:r>
        <w:rPr>
          <w:rStyle w:val="FootnoteReference"/>
          <w:rFonts w:ascii="Times New Roman" w:eastAsia="Times New Roman" w:hAnsi="Times New Roman" w:cs="Times New Roman"/>
          <w:noProof/>
          <w:sz w:val="24"/>
          <w:szCs w:val="24"/>
          <w:lang w:val="en-IE"/>
        </w:rPr>
        <w:footnoteReference w:id="6"/>
      </w:r>
      <w:r>
        <w:rPr>
          <w:rFonts w:ascii="Times New Roman" w:hAnsi="Times New Roman"/>
          <w:noProof/>
          <w:sz w:val="24"/>
          <w:szCs w:val="24"/>
        </w:rPr>
        <w:t>».</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Η ΕΕ και τα κράτη μέλη της αντέδρασαν καταρτίζοντας από κοινού, από τον Απρίλιο του 2020, δέσμη μέτρων στο πλαίσιο της προσέγγισης </w:t>
      </w:r>
      <w:r>
        <w:rPr>
          <w:rFonts w:ascii="Times New Roman" w:hAnsi="Times New Roman"/>
          <w:b/>
          <w:noProof/>
          <w:sz w:val="24"/>
          <w:szCs w:val="24"/>
        </w:rPr>
        <w:t>«Ομάδα Ευρώπη»</w:t>
      </w:r>
      <w:r>
        <w:rPr>
          <w:rStyle w:val="FootnoteReference"/>
          <w:rFonts w:ascii="Times New Roman" w:eastAsia="Times New Roman" w:hAnsi="Times New Roman" w:cs="Times New Roman"/>
          <w:noProof/>
          <w:sz w:val="24"/>
          <w:szCs w:val="24"/>
          <w:lang w:val="en-IE"/>
        </w:rPr>
        <w:footnoteReference w:id="7"/>
      </w:r>
      <w:r>
        <w:rPr>
          <w:rFonts w:ascii="Times New Roman" w:hAnsi="Times New Roman"/>
          <w:noProof/>
          <w:sz w:val="24"/>
          <w:szCs w:val="24"/>
        </w:rPr>
        <w:t xml:space="preserve"> ύψους 38,5 δισ. EUR, από τα οποία 3,49 δισ. EUR προορίζονται για την αντιμετώπιση της κατάστασης έκτακτης ανάγκης και τις ανθρωπιστικές ανάγκες που απορρέουν από την πανδημία. </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Η </w:t>
      </w:r>
      <w:r>
        <w:rPr>
          <w:rFonts w:ascii="Times New Roman" w:hAnsi="Times New Roman"/>
          <w:b/>
          <w:bCs/>
          <w:noProof/>
          <w:sz w:val="24"/>
          <w:szCs w:val="24"/>
        </w:rPr>
        <w:t>κλιματική αλλαγή</w:t>
      </w:r>
      <w:r>
        <w:rPr>
          <w:rFonts w:ascii="Times New Roman" w:hAnsi="Times New Roman"/>
          <w:noProof/>
          <w:sz w:val="24"/>
          <w:szCs w:val="24"/>
        </w:rPr>
        <w:t xml:space="preserve"> επιδεινώνει την υποβάθμιση του περιβάλλοντος και τις συνέπειες της μη βιώσιμης διαχείρισης των φυσικών πόρων, ενώ παράλληλα αυξάνει τις ανθρωπιστικές ανάγκες. Εκτός από τους ολοένα συχνότερους και σοβαρότερους φυσικούς κινδύνους που προκαλούν καταστροφές, η κλιματική αλλαγή και η υποβάθμιση του περιβάλλοντος συγκαταλέγονται μεταξύ των βαθύτερων αιτίων των συγκρούσεων, της επισιτιστικής ανασφάλειας και του εκτοπισμού. Το 2018, περίπου 108 εκατομμύρια άνθρωποι χρειάστηκαν διεθνή ανθρωπιστική βοήθεια λόγω καταιγίδων, πλημμυρών, ξηρασιών και δασικών πυρκαγιών</w:t>
      </w:r>
      <w:r>
        <w:rPr>
          <w:rStyle w:val="FootnoteReference"/>
          <w:rFonts w:ascii="Times New Roman" w:eastAsia="Times New Roman" w:hAnsi="Times New Roman" w:cs="Times New Roman"/>
          <w:noProof/>
          <w:sz w:val="24"/>
          <w:szCs w:val="24"/>
          <w:lang w:val="en-IE"/>
        </w:rPr>
        <w:footnoteReference w:id="8"/>
      </w:r>
      <w:r>
        <w:rPr>
          <w:rFonts w:ascii="Times New Roman" w:hAnsi="Times New Roman"/>
          <w:noProof/>
          <w:sz w:val="24"/>
          <w:szCs w:val="24"/>
        </w:rPr>
        <w:t>. Έως το 2050 πάνω από 200 εκατομμύρια άνθρωποι ενδέχεται να χρειάζονται ανθρωπιστική βοήθεια κάθε χρόνο λόγω καταστροφών που σχετίζονται με το κλίμα</w:t>
      </w:r>
      <w:r>
        <w:rPr>
          <w:rStyle w:val="FootnoteReference"/>
          <w:rFonts w:ascii="Times New Roman" w:eastAsia="Times New Roman" w:hAnsi="Times New Roman" w:cs="Times New Roman"/>
          <w:noProof/>
          <w:sz w:val="24"/>
          <w:szCs w:val="24"/>
          <w:lang w:val="en-IE"/>
        </w:rPr>
        <w:footnoteReference w:id="9"/>
      </w:r>
      <w:r>
        <w:rPr>
          <w:rFonts w:ascii="Times New Roman" w:hAnsi="Times New Roman"/>
          <w:noProof/>
          <w:sz w:val="24"/>
          <w:szCs w:val="24"/>
        </w:rPr>
        <w:t xml:space="preserve"> και των κοινωνικοοικονομικών επιπτώσεων της κλιματικής αλλαγής.</w:t>
      </w:r>
    </w:p>
    <w:p>
      <w:pPr>
        <w:jc w:val="both"/>
        <w:rPr>
          <w:rFonts w:ascii="Times New Roman" w:eastAsia="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hAnsi="Times New Roman"/>
          <w:i/>
          <w:iCs/>
          <w:noProof/>
          <w:sz w:val="24"/>
          <w:szCs w:val="24"/>
        </w:rPr>
        <w:t>Αυξανόμενο χρηματοδοτικό κενό – και επίμονα περιορισμένη βάση χορηγών</w:t>
      </w:r>
    </w:p>
    <w:p>
      <w:pPr>
        <w:jc w:val="both"/>
        <w:rPr>
          <w:rFonts w:ascii="Times New Roman" w:eastAsia="Times New Roman" w:hAnsi="Times New Roman" w:cs="Times New Roman"/>
          <w:noProof/>
          <w:sz w:val="24"/>
          <w:szCs w:val="24"/>
        </w:rPr>
      </w:pPr>
      <w:r>
        <w:rPr>
          <w:rFonts w:ascii="Times New Roman" w:hAnsi="Times New Roman"/>
          <w:noProof/>
          <w:sz w:val="24"/>
          <w:szCs w:val="24"/>
        </w:rPr>
        <w:t>Το 2020, όλες οι εκκλήσεις των Ηνωμένων Εθνών για ανθρωπιστική βοήθεια ανήλθαν σε σχεδόν 32,5 δισ. EUR – το υψηλότερο ποσό που έχει καταγραφεί μέχρι σήμερα και που οφείλεται επίσης στον αντίκτυπο της νόσου COVID-19. Επιπλέον, υπάρχει χρηματοδοτικό κενό ύψους 17,5 δισ. EUR – πάνω από το μισό του συνολικού ποσού. Σύμφωνα με τα Ηνωμένα Έθνη, απαιτούνται αρχικά 29 δισ. EUR για την κάλυψη των ανθρωπιστικών εκκλήσεων του ΟΗΕ το 2021</w:t>
      </w:r>
      <w:r>
        <w:rPr>
          <w:rStyle w:val="FootnoteReference"/>
          <w:rFonts w:ascii="Times New Roman" w:eastAsia="Times New Roman" w:hAnsi="Times New Roman" w:cs="Times New Roman"/>
          <w:noProof/>
          <w:sz w:val="24"/>
          <w:szCs w:val="24"/>
          <w:lang w:val="en-IE"/>
        </w:rPr>
        <w:footnoteReference w:id="10"/>
      </w:r>
      <w:r>
        <w:rPr>
          <w:rFonts w:ascii="Times New Roman" w:hAnsi="Times New Roman"/>
          <w:noProof/>
          <w:sz w:val="24"/>
          <w:szCs w:val="24"/>
        </w:rPr>
        <w:t xml:space="preserve">. Μολονότι η ΕΕ και ορισμένοι άλλοι χορηγοί έχουν εντείνει σημαντικά τις προσπάθειές τους τα τελευταία χρόνια, με την παγκόσμια χρηματοδότηση της ανθρωπιστικής βοήθειας για τις ανθρωπιστικές εκκλήσεις των Ηνωμένων Εθνών να αυξάνεται από 4,1 δισ. EUR το 2012 σε 15 δισ. EUR το 2020, </w:t>
      </w:r>
      <w:r>
        <w:rPr>
          <w:rFonts w:ascii="Times New Roman" w:hAnsi="Times New Roman"/>
          <w:b/>
          <w:bCs/>
          <w:noProof/>
          <w:sz w:val="24"/>
          <w:szCs w:val="24"/>
        </w:rPr>
        <w:t>το έλλειμμα παγκόσμιας χρηματοδότησης της ανθρωπιστικής βοήθειας αυξάνεται παρ' όλα αυτά ραγδαία.</w:t>
      </w:r>
      <w:r>
        <w:rPr>
          <w:rFonts w:ascii="Times New Roman" w:hAnsi="Times New Roman"/>
          <w:noProof/>
          <w:sz w:val="24"/>
          <w:szCs w:val="24"/>
        </w:rPr>
        <w:t xml:space="preserve"> </w:t>
      </w:r>
      <w:r>
        <w:rPr>
          <w:rFonts w:ascii="Times New Roman" w:hAnsi="Times New Roman"/>
          <w:b/>
          <w:noProof/>
          <w:sz w:val="24"/>
          <w:szCs w:val="24"/>
        </w:rPr>
        <w:t xml:space="preserve">Το εν λόγω χρηματοδοτικό κενό </w:t>
      </w:r>
      <w:r>
        <w:rPr>
          <w:rFonts w:ascii="Times New Roman" w:hAnsi="Times New Roman"/>
          <w:noProof/>
          <w:sz w:val="24"/>
          <w:szCs w:val="24"/>
        </w:rPr>
        <w:t xml:space="preserve"> </w:t>
      </w:r>
      <w:r>
        <w:rPr>
          <w:rFonts w:ascii="Times New Roman" w:hAnsi="Times New Roman"/>
          <w:b/>
          <w:noProof/>
          <w:sz w:val="24"/>
          <w:szCs w:val="24"/>
        </w:rPr>
        <w:t>είναι πιθανό να αυξηθεί περαιτέρω</w:t>
      </w:r>
      <w:r>
        <w:rPr>
          <w:rFonts w:ascii="Times New Roman" w:hAnsi="Times New Roman"/>
          <w:noProof/>
          <w:sz w:val="24"/>
          <w:szCs w:val="24"/>
        </w:rPr>
        <w:t>, καθώς οι οικονομίες των χορηγών θα παραμείνουν υπό πίεση λόγω των οικονομικών και κοινωνικών επιπτώσεων της νόσου COVID-19. Ορισμένοι σημαντικοί χορηγοί έχουν ήδη ανακοινώσει περικοπές στους προϋπολογισμούς τους για τη βοήθεια ή στις συνεισφορές τους σε σημαντικές κρίσεις. Είναι ανησυχητικό το γεγονός ότι η ανθρωπιστική χρηματοδότηση σε παγκόσμιο επίπεδο εξακολουθεί να εξαρτάται σε μεγάλο βαθμό από πολύ περιορισμένο αριθμό χορηγών: το 2020, οι δέκα μεγαλύτεροι χορηγοί παγκοσμίως αντιστοιχούσαν στο 83 % της αναφερθείσας χρηματοδότησης</w:t>
      </w:r>
      <w:r>
        <w:rPr>
          <w:rStyle w:val="FootnoteReference"/>
          <w:rFonts w:ascii="Times New Roman" w:eastAsia="Times New Roman" w:hAnsi="Times New Roman" w:cs="Times New Roman"/>
          <w:noProof/>
          <w:sz w:val="24"/>
          <w:szCs w:val="24"/>
          <w:lang w:val="en-IE"/>
        </w:rPr>
        <w:footnoteReference w:id="11"/>
      </w:r>
      <w:r>
        <w:rPr>
          <w:rFonts w:ascii="Times New Roman" w:hAnsi="Times New Roman"/>
          <w:noProof/>
          <w:sz w:val="24"/>
          <w:szCs w:val="24"/>
        </w:rPr>
        <w:t>. Το ίδιο ισχύει εντός της ΕΕ, όπου το μεγαλύτερο μέρος της συνολικής χρηματοδότησης της ανθρωπιστικής βοήθειας της ΕΕ προέρχεται από τον προϋπολογισμό ενός πολύ μικρού αριθμού κρατών μελών και από τον προϋπολογισμό της ΕΕ</w:t>
      </w:r>
      <w:r>
        <w:rPr>
          <w:rStyle w:val="FootnoteReference"/>
          <w:rFonts w:ascii="Times New Roman" w:eastAsia="Times New Roman" w:hAnsi="Times New Roman" w:cs="Times New Roman"/>
          <w:noProof/>
          <w:sz w:val="24"/>
          <w:szCs w:val="24"/>
          <w:lang w:val="en-IE"/>
        </w:rPr>
        <w:footnoteReference w:id="12"/>
      </w:r>
      <w:r>
        <w:rPr>
          <w:rFonts w:ascii="Times New Roman" w:hAnsi="Times New Roman"/>
          <w:noProof/>
          <w:sz w:val="24"/>
          <w:szCs w:val="24"/>
        </w:rPr>
        <w:t xml:space="preserve">. Αυτό δεν είναι βιώσιμο. </w:t>
      </w:r>
    </w:p>
    <w:p>
      <w:pPr>
        <w:jc w:val="both"/>
        <w:rPr>
          <w:rFonts w:ascii="Times New Roman" w:eastAsia="Times New Roman" w:hAnsi="Times New Roman" w:cs="Times New Roman"/>
          <w:noProof/>
          <w:sz w:val="24"/>
          <w:szCs w:val="24"/>
          <w:lang w:val="en-IE"/>
        </w:rPr>
      </w:pPr>
    </w:p>
    <w:p>
      <w:pPr>
        <w:jc w:val="center"/>
        <w:rPr>
          <w:rFonts w:ascii="Times New Roman" w:eastAsia="Times New Roman" w:hAnsi="Times New Roman" w:cs="Times New Roman"/>
          <w:noProof/>
          <w:sz w:val="24"/>
          <w:szCs w:val="24"/>
          <w:lang w:val="en-IE"/>
        </w:rPr>
      </w:pPr>
      <w:r>
        <w:rPr>
          <w:noProof/>
          <w:lang w:val="en-GB" w:eastAsia="en-GB"/>
        </w:rPr>
        <w:drawing>
          <wp:inline distT="0" distB="0" distL="0" distR="0">
            <wp:extent cx="5731510" cy="3504486"/>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504486"/>
                    </a:xfrm>
                    <a:prstGeom prst="rect">
                      <a:avLst/>
                    </a:prstGeom>
                    <a:noFill/>
                    <a:ln>
                      <a:noFill/>
                    </a:ln>
                  </pic:spPr>
                </pic:pic>
              </a:graphicData>
            </a:graphic>
          </wp:inline>
        </w:drawing>
      </w:r>
    </w:p>
    <w:p>
      <w:pPr>
        <w:jc w:val="center"/>
        <w:rPr>
          <w:rFonts w:ascii="Times New Roman" w:eastAsia="Times New Roman" w:hAnsi="Times New Roman" w:cs="Times New Roman"/>
          <w:noProof/>
          <w:sz w:val="24"/>
          <w:szCs w:val="24"/>
        </w:rPr>
      </w:pPr>
    </w:p>
    <w:p>
      <w:pPr>
        <w:spacing w:line="276" w:lineRule="auto"/>
        <w:jc w:val="both"/>
        <w:rPr>
          <w:rFonts w:ascii="Times New Roman" w:eastAsia="Times New Roman" w:hAnsi="Times New Roman" w:cs="Times New Roman"/>
          <w:i/>
          <w:iCs/>
          <w:noProof/>
          <w:sz w:val="24"/>
          <w:szCs w:val="24"/>
        </w:rPr>
      </w:pPr>
      <w:r>
        <w:rPr>
          <w:rFonts w:ascii="Times New Roman" w:hAnsi="Times New Roman"/>
          <w:i/>
          <w:iCs/>
          <w:noProof/>
          <w:sz w:val="24"/>
          <w:szCs w:val="24"/>
        </w:rPr>
        <w:t>Εμπόδια στην πρόσβαση και στην παροχή ανθρωπιστικής βοήθειας</w:t>
      </w:r>
    </w:p>
    <w:p>
      <w:pPr>
        <w:jc w:val="both"/>
        <w:rPr>
          <w:rFonts w:ascii="Times New Roman" w:hAnsi="Times New Roman" w:cs="Times New Roman"/>
          <w:noProof/>
          <w:sz w:val="24"/>
          <w:szCs w:val="24"/>
        </w:rPr>
      </w:pPr>
      <w:r>
        <w:rPr>
          <w:rFonts w:ascii="Times New Roman" w:hAnsi="Times New Roman"/>
          <w:noProof/>
          <w:sz w:val="24"/>
          <w:szCs w:val="24"/>
        </w:rPr>
        <w:t>Σε πολλές συγκρούσεις, αυξάνονται οι άμεσες και συχνά εσκεμμένες επιθέσεις από εμπόλεμους κατά αμάχων, νοσοκομείων και σχολείων κατά παράβαση του διεθνούς ανθρωπιστικού δικαίου. Το 2019 αναφέρθηκαν 277 επιθέσεις κατά εργαζομένων στον τομέα της ανθρωπιστικής βοήθειας, με 125 νεκρούς</w:t>
      </w:r>
      <w:r>
        <w:rPr>
          <w:rStyle w:val="FootnoteReference"/>
          <w:rFonts w:ascii="Times New Roman" w:hAnsi="Times New Roman" w:cs="Times New Roman"/>
          <w:noProof/>
          <w:sz w:val="24"/>
          <w:szCs w:val="24"/>
          <w:lang w:val="en-IE"/>
        </w:rPr>
        <w:footnoteReference w:id="13"/>
      </w:r>
      <w:r>
        <w:rPr>
          <w:rFonts w:ascii="Times New Roman" w:hAnsi="Times New Roman"/>
          <w:noProof/>
          <w:sz w:val="24"/>
          <w:szCs w:val="24"/>
        </w:rPr>
        <w:t xml:space="preserve">. Σε πολλές κρίσεις, οι οργανισμοί παροχής βοήθειας πρέπει επίσης να αντιμετωπίσουν διοικητικά εμπόδια και άλλους περιορισμούς, οι οποίοι ενδέχεται να περιορίζουν την ικανότητά τους να έχουν πρόσβαση στους πληγέντες. Η απαγόρευση της κυκλοφορίας λόγω της νόσου COVID-19 και οι επακόλουθοι περιορισμοί στις μετακινήσεις έχουν προσθέσει ένα ακόμη επίπεδο προκλήσεων στην παροχή βοήθειας στους πληγέντες πληθυσμούς. </w:t>
      </w:r>
    </w:p>
    <w:p>
      <w:pPr>
        <w:jc w:val="both"/>
        <w:rPr>
          <w:rFonts w:ascii="Times New Roman" w:hAnsi="Times New Roman" w:cs="Times New Roman"/>
          <w:b/>
          <w:noProof/>
          <w:sz w:val="24"/>
          <w:szCs w:val="24"/>
        </w:rPr>
      </w:pPr>
      <w:r>
        <w:rPr>
          <w:rFonts w:ascii="Times New Roman" w:hAnsi="Times New Roman"/>
          <w:b/>
          <w:noProof/>
          <w:sz w:val="24"/>
          <w:szCs w:val="24"/>
        </w:rPr>
        <w:t>Υπό το πρίσμα αυτών των τάσεων και προκλήσεων, η ΕΕ πρέπει να δώσει νέα ώθηση στην πολιτική της για την ανθρωπιστική βοήθεια, ώστε να μπορέσει να αντιμετωπίσει αποτελεσματικότερα τις αυξανόμενες ανθρωπιστικές ανάγκες και να στηρίξει τη δημιουργία ευνοϊκότερου πλαισίου για την παροχή ανθρωπιστικής βοήθειας βασισμένης σε αρχές. Ταυτόχρονα, θα εξακολουθήσει να συνεργάζεται στενά με τους φορείς ανάπτυξης και οικοδόμησης της ειρήνης για την προώθηση μακροπρόθεσμων λύσεων.</w:t>
      </w:r>
    </w:p>
    <w:p>
      <w:pPr>
        <w:jc w:val="both"/>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b/>
          <w:noProof/>
          <w:sz w:val="24"/>
          <w:szCs w:val="24"/>
        </w:rPr>
        <w:t>2. Οικοδόμηση σε στερεές βάσεις: οι δοκιμασμένες αρχές της ανθρωπιστικής βοήθειας</w:t>
      </w:r>
    </w:p>
    <w:p>
      <w:pPr>
        <w:jc w:val="both"/>
        <w:rPr>
          <w:rFonts w:ascii="Times New Roman" w:hAnsi="Times New Roman" w:cs="Times New Roman"/>
          <w:noProof/>
          <w:sz w:val="24"/>
          <w:szCs w:val="24"/>
        </w:rPr>
      </w:pPr>
      <w:r>
        <w:rPr>
          <w:rFonts w:ascii="Times New Roman" w:hAnsi="Times New Roman"/>
          <w:noProof/>
          <w:sz w:val="24"/>
          <w:szCs w:val="24"/>
        </w:rPr>
        <w:t>Η ανθρωπιστική βοήθεια της ΕΕ βασίζεται σε στέρεη νομική βάση, καθώς και σε ένα σύνολο βασικών αρχών και κοινών στόχων. Η εν λόγω βοήθεια θα εξακολουθήσει να τηρεί αυστηρά τις οικουμενικές ανθρωπιστικές αρχές του ανθρωπισμού, της ουδετερότητας, της αμεροληψίας και της ανεξαρτησίας, όπως κατοχυρώνονται στο διεθνές δίκαιο. Η διασφάλιση του σεβασμού του διεθνούς ανθρωπιστικού δικαίου από κρατικούς και μη κρατικούς φορείς θα παραμείνει βασικός στόχος της πολιτικής της ΕΕ στον τομέα της ανθρωπιστικής βοήθειας.</w:t>
      </w:r>
    </w:p>
    <w:p>
      <w:pPr>
        <w:jc w:val="both"/>
        <w:rPr>
          <w:rFonts w:ascii="Times New Roman" w:hAnsi="Times New Roman" w:cs="Times New Roman"/>
          <w:noProof/>
          <w:sz w:val="24"/>
          <w:szCs w:val="24"/>
        </w:rPr>
      </w:pPr>
      <w:r>
        <w:rPr>
          <w:rFonts w:ascii="Times New Roman" w:hAnsi="Times New Roman"/>
          <w:noProof/>
          <w:sz w:val="24"/>
          <w:szCs w:val="24"/>
        </w:rPr>
        <w:t>Η ευρωπαϊκή κοινή αντίληψη για την ανθρωπιστική βοήθεια</w:t>
      </w:r>
      <w:r>
        <w:rPr>
          <w:rStyle w:val="FootnoteReference"/>
          <w:rFonts w:ascii="Times New Roman" w:hAnsi="Times New Roman" w:cs="Times New Roman"/>
          <w:noProof/>
          <w:sz w:val="24"/>
          <w:szCs w:val="24"/>
          <w:lang w:val="en-IE"/>
        </w:rPr>
        <w:footnoteReference w:id="14"/>
      </w:r>
      <w:r>
        <w:rPr>
          <w:rFonts w:ascii="Times New Roman" w:hAnsi="Times New Roman"/>
          <w:noProof/>
          <w:sz w:val="24"/>
          <w:szCs w:val="24"/>
        </w:rPr>
        <w:t xml:space="preserve"> εξακολουθεί να αποτελεί το πλαίσιο αναφοράς που διέπει την ανθρωπιστική δράση της ΕΕ. Μαζί με τον κανονισμό σχετικά την ανθρωπιστική βοήθεια</w:t>
      </w:r>
      <w:r>
        <w:rPr>
          <w:rStyle w:val="FootnoteReference"/>
          <w:rFonts w:ascii="Times New Roman" w:hAnsi="Times New Roman" w:cs="Times New Roman"/>
          <w:noProof/>
          <w:sz w:val="24"/>
          <w:szCs w:val="24"/>
          <w:lang w:val="en-IE"/>
        </w:rPr>
        <w:footnoteReference w:id="15"/>
      </w:r>
      <w:r>
        <w:rPr>
          <w:rFonts w:ascii="Times New Roman" w:hAnsi="Times New Roman"/>
          <w:noProof/>
          <w:sz w:val="24"/>
          <w:szCs w:val="24"/>
        </w:rPr>
        <w:t>, η κοινή αντίληψη καθορίζει τον ειδικό χαρακτήρα και την εντολή της ανθρωπιστικής βοήθειας: η ανθρωπιστική βοήθεια της ΕΕ παρέχεται αποκλειστικά βάσει των αναγκών σύμφωνα με τις αρχές της χρηστής ανθρωπιστικής χορηγίας</w:t>
      </w:r>
      <w:r>
        <w:rPr>
          <w:rStyle w:val="FootnoteReference"/>
          <w:rFonts w:ascii="Times New Roman" w:hAnsi="Times New Roman" w:cs="Times New Roman"/>
          <w:noProof/>
          <w:sz w:val="24"/>
          <w:szCs w:val="24"/>
          <w:lang w:val="en-IE"/>
        </w:rPr>
        <w:footnoteReference w:id="16"/>
      </w:r>
      <w:r>
        <w:rPr>
          <w:rFonts w:ascii="Times New Roman" w:hAnsi="Times New Roman"/>
          <w:noProof/>
          <w:sz w:val="24"/>
          <w:szCs w:val="24"/>
        </w:rPr>
        <w:t xml:space="preserve">. Όπως υπενθυμίζεται επίσης στην </w:t>
      </w:r>
      <w:r>
        <w:rPr>
          <w:rFonts w:ascii="Times New Roman" w:hAnsi="Times New Roman"/>
          <w:iCs/>
          <w:noProof/>
          <w:sz w:val="24"/>
          <w:szCs w:val="24"/>
        </w:rPr>
        <w:t>ολοκληρωμένη προσέγγιση της ΕΕ έναντι των εξωτερικών συγκρούσεων και κρίσεων</w:t>
      </w:r>
      <w:r>
        <w:rPr>
          <w:rStyle w:val="FootnoteReference"/>
          <w:rFonts w:ascii="Times New Roman" w:eastAsia="Times New Roman" w:hAnsi="Times New Roman" w:cs="Times New Roman"/>
          <w:iCs/>
          <w:noProof/>
          <w:sz w:val="24"/>
          <w:szCs w:val="24"/>
          <w:lang w:val="en-IE"/>
        </w:rPr>
        <w:footnoteReference w:id="17"/>
      </w:r>
      <w:r>
        <w:rPr>
          <w:rFonts w:ascii="Times New Roman" w:hAnsi="Times New Roman"/>
          <w:iCs/>
          <w:noProof/>
          <w:sz w:val="24"/>
          <w:szCs w:val="24"/>
        </w:rPr>
        <w:t>, η ανθρωπιστική βοήθεια της ΕΕ</w:t>
      </w:r>
      <w:r>
        <w:rPr>
          <w:rFonts w:ascii="Times New Roman" w:hAnsi="Times New Roman"/>
          <w:noProof/>
          <w:sz w:val="24"/>
          <w:szCs w:val="24"/>
        </w:rPr>
        <w:t xml:space="preserve"> δεν επηρεάζεται από κανέναν πολιτικό, στρατηγικό, στρατιωτικό ή οικονομικό στόχο. Αυτό είναι επίσης απαραίτητο για να διασφαλιστεί ότι η βοήθεια μπορεί να παρασχεθεί σε άτομα που πλήττονται από κρίση σε συχνά πολύπλοκα πολιτικά περιβάλλοντα και περιβάλλοντα ασφάλειας. </w:t>
      </w:r>
    </w:p>
    <w:p>
      <w:pPr>
        <w:jc w:val="both"/>
        <w:rPr>
          <w:rFonts w:ascii="Times New Roman" w:eastAsia="Times New Roman" w:hAnsi="Times New Roman" w:cs="Times New Roman"/>
          <w:iCs/>
          <w:noProof/>
          <w:sz w:val="24"/>
          <w:szCs w:val="24"/>
        </w:rPr>
      </w:pPr>
      <w:r>
        <w:rPr>
          <w:rFonts w:ascii="Times New Roman" w:hAnsi="Times New Roman"/>
          <w:iCs/>
          <w:noProof/>
          <w:sz w:val="24"/>
          <w:szCs w:val="24"/>
        </w:rPr>
        <w:t>Παρότι η ανθρωπιστική βοήθεια αποτελεί βασικό στοιχείο της συνολικής αντιμετώπισης των κρίσεων από την ΕΕ, η ΕΕ διασφαλίζει τον ιδιαίτερο χαρακτήρα της ανθρωπιστικής βοήθειάς της, ενώ παράλληλα εμβαθύνει περαιτέρω τον σύνδεσμο με την αναπτυξιακή βοήθεια, την επίλυση των συγκρούσεων και τις πρωτοβουλίες οικοδόμησης ειρήνης της ΕΕ.</w:t>
      </w:r>
    </w:p>
    <w:p>
      <w:pPr>
        <w:jc w:val="both"/>
        <w:rPr>
          <w:rFonts w:ascii="Times New Roman" w:eastAsia="Times New Roman" w:hAnsi="Times New Roman" w:cs="Times New Roman"/>
          <w:iCs/>
          <w:noProof/>
          <w:sz w:val="24"/>
          <w:szCs w:val="24"/>
        </w:rPr>
      </w:pPr>
      <w:r>
        <w:rPr>
          <w:rFonts w:ascii="Times New Roman" w:hAnsi="Times New Roman"/>
          <w:noProof/>
          <w:sz w:val="24"/>
          <w:szCs w:val="24"/>
        </w:rPr>
        <w:t>Η ανθρωπιστική δράση της ΕΕ θα εξακολουθήσει να τηρεί την αρχή της «</w:t>
      </w:r>
      <w:r>
        <w:rPr>
          <w:rFonts w:ascii="Times New Roman" w:hAnsi="Times New Roman"/>
          <w:b/>
          <w:bCs/>
          <w:noProof/>
          <w:sz w:val="24"/>
          <w:szCs w:val="24"/>
        </w:rPr>
        <w:t>μη πρόκλησης βλάβης</w:t>
      </w:r>
      <w:r>
        <w:rPr>
          <w:rFonts w:ascii="Times New Roman" w:hAnsi="Times New Roman"/>
          <w:noProof/>
          <w:sz w:val="24"/>
          <w:szCs w:val="24"/>
        </w:rPr>
        <w:t>» στους πληγέντες πληθυσμούς και το περιβάλλον</w:t>
      </w:r>
      <w:r>
        <w:rPr>
          <w:rStyle w:val="FootnoteReference"/>
          <w:rFonts w:ascii="Times New Roman" w:eastAsia="Times New Roman" w:hAnsi="Times New Roman" w:cs="Times New Roman"/>
          <w:iCs/>
          <w:noProof/>
          <w:sz w:val="24"/>
          <w:szCs w:val="24"/>
        </w:rPr>
        <w:footnoteReference w:id="18"/>
      </w:r>
      <w:r>
        <w:rPr>
          <w:rFonts w:ascii="Times New Roman" w:hAnsi="Times New Roman"/>
          <w:noProof/>
          <w:sz w:val="24"/>
          <w:szCs w:val="24"/>
        </w:rPr>
        <w:t xml:space="preserve"> και να επιδιώκει </w:t>
      </w:r>
      <w:r>
        <w:rPr>
          <w:rFonts w:ascii="Times New Roman" w:hAnsi="Times New Roman"/>
          <w:b/>
          <w:bCs/>
          <w:noProof/>
          <w:sz w:val="24"/>
          <w:szCs w:val="24"/>
        </w:rPr>
        <w:t>να λαμβάνει υπόψη τη διάσταση της σύγκρουσης</w:t>
      </w:r>
      <w:r>
        <w:rPr>
          <w:rFonts w:ascii="Times New Roman" w:hAnsi="Times New Roman"/>
          <w:noProof/>
          <w:sz w:val="24"/>
          <w:szCs w:val="24"/>
        </w:rPr>
        <w:t xml:space="preserve"> ούτως ώστε να μην ενισχύει ακούσια τις συγκρούσεις.</w:t>
      </w:r>
      <w:r>
        <w:rPr>
          <w:rFonts w:ascii="Times New Roman" w:hAnsi="Times New Roman"/>
          <w:iCs/>
          <w:noProof/>
          <w:sz w:val="24"/>
          <w:szCs w:val="24"/>
        </w:rPr>
        <w:t xml:space="preserve"> Θα συνεχίσει να προάγει και να ενισχύει τον αποτελεσματικό ανθρωπιστικό </w:t>
      </w:r>
      <w:r>
        <w:rPr>
          <w:rFonts w:ascii="Times New Roman" w:hAnsi="Times New Roman"/>
          <w:b/>
          <w:bCs/>
          <w:iCs/>
          <w:noProof/>
          <w:sz w:val="24"/>
          <w:szCs w:val="24"/>
        </w:rPr>
        <w:t>στρατιωτικό και μη στρατιωτικό συντονισμό</w:t>
      </w:r>
      <w:r>
        <w:rPr>
          <w:rFonts w:ascii="Times New Roman" w:hAnsi="Times New Roman"/>
          <w:iCs/>
          <w:noProof/>
          <w:sz w:val="24"/>
          <w:szCs w:val="24"/>
        </w:rPr>
        <w:t xml:space="preserve">, ώστε να διασφαλίζεται ο ανθρωπιστικός χώρος.  </w:t>
      </w:r>
    </w:p>
    <w:p>
      <w:pPr>
        <w:jc w:val="both"/>
        <w:rPr>
          <w:rFonts w:ascii="Times New Roman" w:eastAsia="Times New Roman" w:hAnsi="Times New Roman" w:cs="Times New Roman"/>
          <w:iCs/>
          <w:noProof/>
          <w:sz w:val="24"/>
          <w:szCs w:val="24"/>
        </w:rPr>
      </w:pPr>
      <w:r>
        <w:rPr>
          <w:rFonts w:ascii="Times New Roman" w:hAnsi="Times New Roman"/>
          <w:iCs/>
          <w:noProof/>
          <w:sz w:val="24"/>
          <w:szCs w:val="24"/>
        </w:rPr>
        <w:t xml:space="preserve">Η ανθρωπιστική βοήθεια αποτελεί συχνά την κύρια μορφή βοήθειας που παρέχεται σε άτομα που πλήττονται από κρίσεις. Δεδομένου ότι οι ανάγκες αυξάνονται και οι προϋπολογισμοί ανθρωπιστικής βοήθειας πλησιάζουν στα όριά τους, είναι υπαρκτός ο κίνδυνος ορισμένα άτομα και κοινότητες να μείνουν στο περιθώριο. </w:t>
      </w:r>
      <w:r>
        <w:rPr>
          <w:rFonts w:ascii="Times New Roman" w:hAnsi="Times New Roman"/>
          <w:b/>
          <w:iCs/>
          <w:noProof/>
          <w:sz w:val="24"/>
          <w:szCs w:val="24"/>
        </w:rPr>
        <w:t>Η ΕΕ θα εξακολουθήσει να διασφαλίζει ισόρροπη ανταπόκριση στις ανάγκες</w:t>
      </w:r>
      <w:r>
        <w:rPr>
          <w:rFonts w:ascii="Times New Roman" w:hAnsi="Times New Roman"/>
          <w:iCs/>
          <w:noProof/>
          <w:sz w:val="24"/>
          <w:szCs w:val="24"/>
        </w:rPr>
        <w:t xml:space="preserve"> και θα συνεχίσει να διαθέτει το 15 % του</w:t>
      </w:r>
      <w:r>
        <w:rPr>
          <w:rFonts w:ascii="Times New Roman" w:hAnsi="Times New Roman"/>
          <w:b/>
          <w:iCs/>
          <w:noProof/>
          <w:sz w:val="24"/>
          <w:szCs w:val="24"/>
        </w:rPr>
        <w:t xml:space="preserve"> </w:t>
      </w:r>
      <w:r>
        <w:rPr>
          <w:rFonts w:ascii="Times New Roman" w:hAnsi="Times New Roman"/>
          <w:iCs/>
          <w:noProof/>
          <w:sz w:val="24"/>
          <w:szCs w:val="24"/>
        </w:rPr>
        <w:t xml:space="preserve">αρχικού προϋπολογισμού της για ανθρωπιστική βοήθεια σε </w:t>
      </w:r>
      <w:r>
        <w:rPr>
          <w:rFonts w:ascii="Times New Roman" w:hAnsi="Times New Roman"/>
          <w:b/>
          <w:iCs/>
          <w:noProof/>
          <w:sz w:val="24"/>
          <w:szCs w:val="24"/>
        </w:rPr>
        <w:t>«λησμονημένες κρίσεις»</w:t>
      </w:r>
      <w:r>
        <w:rPr>
          <w:rFonts w:ascii="Times New Roman" w:hAnsi="Times New Roman"/>
          <w:iCs/>
          <w:noProof/>
          <w:sz w:val="24"/>
          <w:szCs w:val="24"/>
        </w:rPr>
        <w:t>.</w:t>
      </w:r>
    </w:p>
    <w:p>
      <w:pPr>
        <w:autoSpaceDE w:val="0"/>
        <w:autoSpaceDN w:val="0"/>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Η συνεχής ενσωμάτωση της </w:t>
      </w:r>
      <w:r>
        <w:rPr>
          <w:rFonts w:ascii="Times New Roman" w:hAnsi="Times New Roman"/>
          <w:b/>
          <w:bCs/>
          <w:noProof/>
          <w:sz w:val="24"/>
          <w:szCs w:val="24"/>
        </w:rPr>
        <w:t>προστασίας</w:t>
      </w:r>
      <w:r>
        <w:rPr>
          <w:rFonts w:ascii="Times New Roman" w:hAnsi="Times New Roman"/>
          <w:noProof/>
          <w:sz w:val="24"/>
          <w:szCs w:val="24"/>
        </w:rPr>
        <w:t xml:space="preserve"> των ατόμων που εγκλωβίζονται σε καταστάσεις κρίσης, μεταξύ άλλων μέσω της πρόληψης, του μετριασμού και της αντιμετώπισης της σεξουαλικής και έμφυλης βίας και της σεξουαλικής εκμετάλλευσης, κακοποίησης και παρενόχλησης, θα παραμείνει ισχυρό χαρακτηριστικό της ανθρωπιστικής βοήθειας της ΕΕ, σύμφωνα με το σχέδιο δράσης της ΕΕ για θέματα φύλου</w:t>
      </w:r>
      <w:r>
        <w:rPr>
          <w:rStyle w:val="FootnoteReference"/>
          <w:rFonts w:ascii="Times New Roman" w:eastAsia="Times New Roman" w:hAnsi="Times New Roman" w:cs="Times New Roman"/>
          <w:noProof/>
          <w:sz w:val="24"/>
          <w:szCs w:val="24"/>
        </w:rPr>
        <w:footnoteReference w:id="19"/>
      </w:r>
      <w:r>
        <w:rPr>
          <w:rFonts w:ascii="Times New Roman" w:hAnsi="Times New Roman"/>
          <w:noProof/>
          <w:sz w:val="24"/>
          <w:szCs w:val="24"/>
        </w:rPr>
        <w:t xml:space="preserve">. Η ΕΕ θα εξακολουθήσει να υποστηρίζει την παγκόσμια </w:t>
      </w:r>
      <w:r>
        <w:rPr>
          <w:rFonts w:ascii="Times New Roman" w:hAnsi="Times New Roman"/>
          <w:b/>
          <w:bCs/>
          <w:noProof/>
          <w:sz w:val="24"/>
          <w:szCs w:val="24"/>
        </w:rPr>
        <w:t>έκκληση για ανάληψη δράσης όσον αφορά την προστασία από την έμφυλη βία σε καταστάσεις έκτακτης ανάγκης</w:t>
      </w:r>
      <w:r>
        <w:rPr>
          <w:rStyle w:val="FootnoteReference"/>
          <w:rFonts w:ascii="Times New Roman" w:eastAsia="Times New Roman" w:hAnsi="Times New Roman" w:cs="Times New Roman"/>
          <w:noProof/>
        </w:rPr>
        <w:footnoteReference w:id="20"/>
      </w:r>
      <w:r>
        <w:rPr>
          <w:rFonts w:ascii="Times New Roman" w:hAnsi="Times New Roman"/>
          <w:noProof/>
          <w:sz w:val="24"/>
          <w:szCs w:val="24"/>
        </w:rPr>
        <w:t>.</w:t>
      </w:r>
      <w:r>
        <w:rPr>
          <w:rFonts w:ascii="Times New Roman" w:hAnsi="Times New Roman"/>
          <w:noProof/>
        </w:rPr>
        <w:t xml:space="preserve"> </w:t>
      </w:r>
      <w:r>
        <w:rPr>
          <w:rFonts w:ascii="Times New Roman" w:hAnsi="Times New Roman"/>
          <w:noProof/>
          <w:sz w:val="24"/>
          <w:szCs w:val="24"/>
        </w:rPr>
        <w:t>Θα τηρήσει επίσης τις δεσμεύσεις της για την ταχεία αντιμετώπιση κάθε είδους παραπτώματος στον τομέα της διεθνούς βοήθειας, καθώς και για την αύξηση της λογοδοσίας</w:t>
      </w:r>
      <w:r>
        <w:rPr>
          <w:rStyle w:val="FootnoteReference"/>
          <w:rFonts w:ascii="Times New Roman" w:eastAsia="Times New Roman" w:hAnsi="Times New Roman" w:cs="Times New Roman"/>
          <w:noProof/>
          <w:sz w:val="24"/>
          <w:szCs w:val="24"/>
        </w:rPr>
        <w:footnoteReference w:id="21"/>
      </w:r>
      <w:r>
        <w:rPr>
          <w:rFonts w:ascii="Times New Roman" w:hAnsi="Times New Roman"/>
          <w:noProof/>
          <w:sz w:val="24"/>
          <w:szCs w:val="24"/>
        </w:rPr>
        <w:t xml:space="preserve">. </w:t>
      </w:r>
    </w:p>
    <w:p>
      <w:pPr>
        <w:autoSpaceDE w:val="0"/>
        <w:autoSpaceDN w:val="0"/>
        <w:spacing w:after="0" w:line="240" w:lineRule="auto"/>
        <w:jc w:val="both"/>
        <w:rPr>
          <w:rFonts w:ascii="Times New Roman" w:eastAsia="Times New Roman" w:hAnsi="Times New Roman" w:cs="Times New Roman"/>
          <w:noProof/>
          <w:sz w:val="24"/>
          <w:szCs w:val="24"/>
        </w:rPr>
      </w:pP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Οι άνθρωποι θα παραμείνουν σταθερά στο επίκεντρο της ανθρωπιστικής βοήθειας της ΕΕ, με ευκαιρίες για </w:t>
      </w:r>
      <w:r>
        <w:rPr>
          <w:rFonts w:ascii="Times New Roman" w:hAnsi="Times New Roman"/>
          <w:b/>
          <w:bCs/>
          <w:noProof/>
          <w:sz w:val="24"/>
          <w:szCs w:val="24"/>
        </w:rPr>
        <w:t>ουσιαστική συμμετοχή των δικαιούχων της βοήθειας</w:t>
      </w:r>
      <w:r>
        <w:rPr>
          <w:rFonts w:ascii="Times New Roman" w:hAnsi="Times New Roman"/>
          <w:noProof/>
          <w:sz w:val="24"/>
          <w:szCs w:val="24"/>
        </w:rPr>
        <w:t xml:space="preserve"> σε αποφάσεις που τους αφορούν. Η ΕΕ είναι επίσης προσηλωμένη στην κάλυψη των αναγκών και στον σεβασμό των δικαιωμάτων συγκεκριμένων ομάδων, συμπεριλαμβανομένων των γυναικών, των παιδιών, των ηλικιωμένων και των ατόμων με αναπηρία. Αυτό συμβάλλει στο γενικό θεματολόγιο της ΕΕ για την ισότητα</w:t>
      </w:r>
      <w:r>
        <w:rPr>
          <w:rStyle w:val="FootnoteReference"/>
          <w:rFonts w:ascii="Times New Roman" w:eastAsia="Times New Roman" w:hAnsi="Times New Roman" w:cs="Times New Roman"/>
          <w:noProof/>
          <w:sz w:val="24"/>
          <w:szCs w:val="24"/>
        </w:rPr>
        <w:footnoteReference w:id="22"/>
      </w:r>
      <w:r>
        <w:rPr>
          <w:rFonts w:ascii="Times New Roman" w:hAnsi="Times New Roman"/>
          <w:noProof/>
          <w:sz w:val="24"/>
          <w:szCs w:val="24"/>
        </w:rPr>
        <w:t xml:space="preserve">, που αποτελεί κορυφαία προτεραιότητα της Ευρωπαϊκής Επιτροπής. </w:t>
      </w:r>
    </w:p>
    <w:p>
      <w:pPr>
        <w:jc w:val="both"/>
        <w:rPr>
          <w:rFonts w:ascii="Times New Roman" w:eastAsia="Times New Roman" w:hAnsi="Times New Roman" w:cs="Times New Roman"/>
          <w:noProof/>
          <w:sz w:val="24"/>
          <w:szCs w:val="24"/>
        </w:rPr>
      </w:pPr>
      <w:r>
        <w:rPr>
          <w:rFonts w:ascii="Times New Roman" w:hAnsi="Times New Roman"/>
          <w:b/>
          <w:bCs/>
          <w:noProof/>
          <w:sz w:val="24"/>
          <w:szCs w:val="24"/>
        </w:rPr>
        <w:t>Η πρόσβαση των παιδιών που βρίσκονται σε καταστάσεις κρίσεων σε ασφαλή και συνεπή σχολική εκπαίδευση</w:t>
      </w:r>
      <w:r>
        <w:rPr>
          <w:rFonts w:ascii="Times New Roman" w:hAnsi="Times New Roman"/>
          <w:noProof/>
          <w:sz w:val="24"/>
          <w:szCs w:val="24"/>
        </w:rPr>
        <w:t xml:space="preserve"> έχει ζωτική σημασία, ωστόσο αυτό απέχει πολύ από το να αποτελεί πραγματικότητα παντού.  Τα εκπαιδευτικά ιδρύματα —και οι ίδιοι οι σπουδαστές— αποτελούν ολοένα και περισσότερο εσκεμμένο στόχο βίαιων επιθέσεων, κυρίως στην περιοχή του Σαχέλ. Εν τω μεταξύ, μολονότι οι ψηφιακές και εξ αποστάσεως λύσεις συνέβαλαν στη διασφάλιση ενός επιπέδου συνέχειας για τους σπουδαστές σε πολλά μέρη κατά τη διάρκεια της πανδημίας COVID-19, η πρόσβαση σε αυτές τις ευκαιρίες ήταν δύσκολη για πολλούς αποδέκτες ανθρωπιστικής βοήθειας, ενώ τα παιδιά προσφύγων και τα εσωτερικά εκτοπισθέντα παιδιά αντιμετώπισαν ιδιαίτερες δυσκολίες όσον αφορά την πρόσβαση στην εκπαίδευση. Τα Ηνωμένα Έθνη εκτιμούν</w:t>
      </w:r>
      <w:r>
        <w:rPr>
          <w:rStyle w:val="FootnoteReference"/>
          <w:rFonts w:ascii="Times New Roman" w:eastAsia="Times New Roman" w:hAnsi="Times New Roman" w:cs="Times New Roman"/>
          <w:noProof/>
          <w:sz w:val="24"/>
          <w:szCs w:val="24"/>
          <w:lang w:val="en-IE"/>
        </w:rPr>
        <w:footnoteReference w:id="23"/>
      </w:r>
      <w:r>
        <w:rPr>
          <w:rFonts w:ascii="Times New Roman" w:hAnsi="Times New Roman"/>
          <w:noProof/>
          <w:sz w:val="24"/>
          <w:szCs w:val="24"/>
        </w:rPr>
        <w:t xml:space="preserve"> ότι σχεδόν 24 εκατομμύρια παιδιά και νέοι σε καταστάσεις ανθρωπιστικής κρίσης κινδυνεύουν να μην επιστρέψουν στο σχολείο λόγω της νόσου COVID-19. Τα κορίτσια διατρέχουν ακόμη μεγαλύτερο κίνδυνο, καθώς η μη φοίτηση στο σχολείο οδηγεί συχνά σε πρόωρους και καταναγκαστικούς γάμους</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Η ΕΕ θα εξακολουθήσει να δίνει ιδιαίτερη έμφαση στην υποστήριξη της</w:t>
      </w:r>
      <w:r>
        <w:rPr>
          <w:rFonts w:ascii="Times New Roman" w:hAnsi="Times New Roman"/>
          <w:b/>
          <w:bCs/>
          <w:noProof/>
          <w:sz w:val="24"/>
          <w:szCs w:val="24"/>
        </w:rPr>
        <w:t xml:space="preserve"> προστασίας των παιδιών και της εκπαίδευσης σε καταστάσεις έκτακτης ανάγκης</w:t>
      </w:r>
      <w:r>
        <w:rPr>
          <w:rFonts w:ascii="Times New Roman" w:hAnsi="Times New Roman"/>
          <w:bCs/>
          <w:noProof/>
          <w:sz w:val="24"/>
          <w:szCs w:val="24"/>
        </w:rPr>
        <w:t xml:space="preserve">, ιδίως όσον αφορά </w:t>
      </w:r>
      <w:r>
        <w:rPr>
          <w:rFonts w:ascii="Times New Roman" w:hAnsi="Times New Roman"/>
          <w:noProof/>
          <w:sz w:val="24"/>
          <w:szCs w:val="24"/>
        </w:rPr>
        <w:t>την πρόσβαση των κοριτσιών στην εκπαίδευση σε καταστάσεις ανθρωπιστικής κρίσης. Θα συνεχίσει να διαθέτει τουλάχιστον το 10 % του ετήσιου προϋπολογισμού της για ανθρωπιστική βοήθεια σε αυτήν την προτεραιότητα (από μόλις 1 % το 2015) και θα συμμετέχει πλήρως στη «διακήρυξη για ασφαλή σχολεία</w:t>
      </w:r>
      <w:r>
        <w:rPr>
          <w:rStyle w:val="FootnoteReference"/>
          <w:rFonts w:ascii="Times New Roman" w:eastAsia="Times New Roman" w:hAnsi="Times New Roman" w:cs="Times New Roman"/>
          <w:noProof/>
          <w:sz w:val="24"/>
          <w:szCs w:val="24"/>
        </w:rPr>
        <w:footnoteReference w:id="25"/>
      </w:r>
      <w:r>
        <w:rPr>
          <w:rFonts w:ascii="Times New Roman" w:hAnsi="Times New Roman"/>
          <w:noProof/>
          <w:sz w:val="24"/>
          <w:szCs w:val="24"/>
        </w:rPr>
        <w:t xml:space="preserve">». </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Τέλος, η αποτελεσματική </w:t>
      </w:r>
      <w:r>
        <w:rPr>
          <w:rFonts w:ascii="Times New Roman" w:hAnsi="Times New Roman"/>
          <w:b/>
          <w:bCs/>
          <w:noProof/>
          <w:sz w:val="24"/>
          <w:szCs w:val="24"/>
        </w:rPr>
        <w:t>πολυμερής προσέγγιση</w:t>
      </w:r>
      <w:r>
        <w:rPr>
          <w:rStyle w:val="FootnoteReference"/>
          <w:rFonts w:ascii="Times New Roman" w:eastAsia="Times New Roman" w:hAnsi="Times New Roman" w:cs="Times New Roman"/>
          <w:b/>
          <w:bCs/>
          <w:noProof/>
          <w:sz w:val="24"/>
          <w:szCs w:val="24"/>
          <w:lang w:val="en-IE"/>
        </w:rPr>
        <w:footnoteReference w:id="26"/>
      </w:r>
      <w:r>
        <w:rPr>
          <w:rFonts w:ascii="Times New Roman" w:hAnsi="Times New Roman"/>
          <w:noProof/>
          <w:sz w:val="24"/>
          <w:szCs w:val="24"/>
        </w:rPr>
        <w:t xml:space="preserve"> και ο </w:t>
      </w:r>
      <w:r>
        <w:rPr>
          <w:rFonts w:ascii="Times New Roman" w:hAnsi="Times New Roman"/>
          <w:b/>
          <w:bCs/>
          <w:noProof/>
          <w:sz w:val="24"/>
          <w:szCs w:val="24"/>
        </w:rPr>
        <w:t>συντονισμός υπό την αιγίδα των Ηνωμένων Εθνών</w:t>
      </w:r>
      <w:r>
        <w:rPr>
          <w:rFonts w:ascii="Times New Roman" w:hAnsi="Times New Roman"/>
          <w:noProof/>
          <w:sz w:val="24"/>
          <w:szCs w:val="24"/>
        </w:rPr>
        <w:t xml:space="preserve"> θα παραμείνουν στο επίκεντρο της ανθρωπιστικής δράσης της ΕΕ</w:t>
      </w:r>
      <w:r>
        <w:rPr>
          <w:rFonts w:ascii="Times New Roman" w:hAnsi="Times New Roman"/>
          <w:bCs/>
          <w:noProof/>
          <w:sz w:val="24"/>
          <w:szCs w:val="24"/>
        </w:rPr>
        <w:t>, ως βασικοί</w:t>
      </w:r>
      <w:r>
        <w:rPr>
          <w:rFonts w:ascii="Times New Roman" w:hAnsi="Times New Roman"/>
          <w:noProof/>
          <w:sz w:val="24"/>
          <w:szCs w:val="24"/>
        </w:rPr>
        <w:t xml:space="preserve"> παράγοντες διευκόλυνσης μιας συνεκτικής και βασισμένης σε αρχές ανθρωπιστικής δράσης. Επιπλέον, η ΕΕ θα εξακολουθήσει να βασίζεται σε ένα ισχυρό δίκτυο διαφόρων εταίρων, συμπεριλαμβανομένων μη κυβερνητικών οργανώσεων, οργανισμών των Ηνωμένων Εθνών, ταμείων και προγραμμάτων και άλλων διεθνών οργανισμών, καθώς και ειδικευμένων οργανισμών των κρατών μελών της ΕΕ. Η συνεργασία με αυτούς τους διάφορους εταίρους είναι απαραίτητη για τη βελτίωση της κατάστασης και την επίτευξη ποιοτικών αποτελεσμάτων στην πράξη.</w:t>
      </w:r>
    </w:p>
    <w:p>
      <w:pPr>
        <w:rPr>
          <w:rFonts w:ascii="Times New Roman" w:hAnsi="Times New Roman" w:cs="Times New Roman"/>
          <w:b/>
          <w:bCs/>
          <w:noProof/>
          <w:sz w:val="24"/>
          <w:szCs w:val="24"/>
        </w:rPr>
      </w:pPr>
      <w:r>
        <w:rPr>
          <w:noProof/>
        </w:rPr>
        <w:br w:type="page"/>
      </w:r>
    </w:p>
    <w:p>
      <w:pPr>
        <w:rPr>
          <w:rFonts w:ascii="Times New Roman" w:hAnsi="Times New Roman" w:cs="Times New Roman"/>
          <w:b/>
          <w:bCs/>
          <w:noProof/>
          <w:sz w:val="24"/>
          <w:szCs w:val="24"/>
        </w:rPr>
      </w:pPr>
      <w:r>
        <w:rPr>
          <w:rFonts w:ascii="Times New Roman" w:hAnsi="Times New Roman"/>
          <w:b/>
          <w:bCs/>
          <w:noProof/>
          <w:sz w:val="24"/>
          <w:szCs w:val="24"/>
        </w:rPr>
        <w:t xml:space="preserve">3. Αντιμετώπιση των αυξανόμενων αναγκών, μείωση του χρηματοδοτικού κενού </w:t>
      </w:r>
    </w:p>
    <w:p>
      <w:pPr>
        <w:spacing w:line="276" w:lineRule="auto"/>
        <w:jc w:val="both"/>
        <w:rPr>
          <w:rFonts w:ascii="Times New Roman" w:eastAsia="Times New Roman" w:hAnsi="Times New Roman" w:cs="Times New Roman"/>
          <w:b/>
          <w:bCs/>
          <w:noProof/>
          <w:sz w:val="24"/>
          <w:szCs w:val="24"/>
        </w:rPr>
      </w:pPr>
      <w:r>
        <w:rPr>
          <w:rFonts w:ascii="Times New Roman" w:hAnsi="Times New Roman"/>
          <w:b/>
          <w:bCs/>
          <w:noProof/>
          <w:sz w:val="24"/>
          <w:szCs w:val="24"/>
        </w:rPr>
        <w:t xml:space="preserve">3.1 Επίτευξη καλύτερων αποτελεσμάτων: Ενίσχυση της αποτελεσματικότητας και της αποδοτικότητας, αξιοποίηση της καινοτομίας και των ικανοτήτων </w:t>
      </w:r>
    </w:p>
    <w:p>
      <w:pPr>
        <w:jc w:val="both"/>
        <w:rPr>
          <w:rFonts w:ascii="Times New Roman" w:eastAsia="Times New Roman" w:hAnsi="Times New Roman" w:cs="Times New Roman"/>
          <w:noProof/>
          <w:sz w:val="24"/>
          <w:szCs w:val="24"/>
        </w:rPr>
      </w:pPr>
      <w:r>
        <w:rPr>
          <w:rFonts w:ascii="Times New Roman" w:hAnsi="Times New Roman"/>
          <w:noProof/>
          <w:sz w:val="24"/>
          <w:szCs w:val="24"/>
        </w:rPr>
        <w:t>Ήδη το 2016, κατά την Παγκόσμια Ανθρωπιστική Διάσκεψη Κορυφής, οι κύριοι χορηγοί και οργανώσεις ανθρωπιστικής βοήθειας αναγνώρισαν τη διαρθρωτική πρόκληση που θέτουν οι αυξανόμενες ανάγκες και η βάση πεπερασμένων πόρων. Συμφώνησαν σε μια «Μεγάλη Συμφωνία» για την προσαρμογή των πρακτικών εργασίας των χορηγών και των οργανώσεων παροχής βοήθειας με σκοπό τη μεγιστοποίηση της αποτελεσματικότητας και του αντικτύπου</w:t>
      </w:r>
      <w:r>
        <w:rPr>
          <w:rStyle w:val="FootnoteReference"/>
          <w:rFonts w:ascii="Times New Roman" w:eastAsia="Times New Roman" w:hAnsi="Times New Roman" w:cs="Times New Roman"/>
          <w:noProof/>
          <w:sz w:val="24"/>
          <w:szCs w:val="24"/>
        </w:rPr>
        <w:footnoteReference w:id="27"/>
      </w:r>
      <w:r>
        <w:rPr>
          <w:rFonts w:ascii="Times New Roman" w:hAnsi="Times New Roman"/>
          <w:noProof/>
          <w:sz w:val="24"/>
          <w:szCs w:val="24"/>
        </w:rPr>
        <w:t xml:space="preserve">. Οι κεντρικές ιδέες πίσω από τη «Μεγάλη Συμφωνία» ισχύουν και είναι πιο επιτακτικές από ποτέ: </w:t>
      </w:r>
      <w:r>
        <w:rPr>
          <w:rFonts w:ascii="Times New Roman" w:hAnsi="Times New Roman"/>
          <w:b/>
          <w:bCs/>
          <w:noProof/>
          <w:sz w:val="24"/>
          <w:szCs w:val="24"/>
        </w:rPr>
        <w:t xml:space="preserve">ευελιξία από πλευράς χορηγών </w:t>
      </w:r>
      <w:r>
        <w:rPr>
          <w:rFonts w:ascii="Times New Roman" w:hAnsi="Times New Roman"/>
          <w:noProof/>
          <w:sz w:val="24"/>
          <w:szCs w:val="24"/>
        </w:rPr>
        <w:t xml:space="preserve">ώστε να μπορούν οι εταίροι στον τομέα της ανθρωπιστικής βοήθειας να παρέχουν έγκαιρη και προσαρμοσμένη απόκριση, με παράλληλη εναρμόνιση των συχνά επαχθών απαιτήσεων υποβολής εκθέσεων των διαφόρων χορηγών. Σε αντιστάθμισμα, οι οργανώσεις παροχής βοήθειας </w:t>
      </w:r>
      <w:r>
        <w:rPr>
          <w:rFonts w:ascii="Times New Roman" w:hAnsi="Times New Roman"/>
          <w:b/>
          <w:bCs/>
          <w:noProof/>
          <w:sz w:val="24"/>
          <w:szCs w:val="24"/>
        </w:rPr>
        <w:t>ανανέωσαν τη δέσμευσή τους</w:t>
      </w:r>
      <w:r>
        <w:rPr>
          <w:rFonts w:ascii="Times New Roman" w:hAnsi="Times New Roman"/>
          <w:noProof/>
          <w:sz w:val="24"/>
          <w:szCs w:val="24"/>
        </w:rPr>
        <w:t xml:space="preserve"> για </w:t>
      </w:r>
      <w:r>
        <w:rPr>
          <w:rFonts w:ascii="Times New Roman" w:hAnsi="Times New Roman"/>
          <w:b/>
          <w:bCs/>
          <w:noProof/>
          <w:sz w:val="24"/>
          <w:szCs w:val="24"/>
        </w:rPr>
        <w:t>συντονισμένες αξιολογήσεις των αναγκών</w:t>
      </w:r>
      <w:r>
        <w:rPr>
          <w:rFonts w:ascii="Times New Roman" w:hAnsi="Times New Roman"/>
          <w:noProof/>
          <w:sz w:val="24"/>
          <w:szCs w:val="24"/>
        </w:rPr>
        <w:t xml:space="preserve">, </w:t>
      </w:r>
      <w:r>
        <w:rPr>
          <w:rFonts w:ascii="Times New Roman" w:hAnsi="Times New Roman"/>
          <w:b/>
          <w:bCs/>
          <w:noProof/>
          <w:sz w:val="24"/>
          <w:szCs w:val="24"/>
        </w:rPr>
        <w:t>λογοδοσία</w:t>
      </w:r>
      <w:r>
        <w:rPr>
          <w:rFonts w:ascii="Times New Roman" w:hAnsi="Times New Roman"/>
          <w:noProof/>
          <w:sz w:val="24"/>
          <w:szCs w:val="24"/>
        </w:rPr>
        <w:t xml:space="preserve"> στους δικαιούχους και τους φορολογούμενους, </w:t>
      </w:r>
      <w:r>
        <w:rPr>
          <w:rFonts w:ascii="Times New Roman" w:hAnsi="Times New Roman"/>
          <w:b/>
          <w:bCs/>
          <w:noProof/>
          <w:sz w:val="24"/>
          <w:szCs w:val="24"/>
        </w:rPr>
        <w:t>διαφάνεια και προβολή</w:t>
      </w:r>
      <w:r>
        <w:rPr>
          <w:rFonts w:ascii="Times New Roman" w:hAnsi="Times New Roman"/>
          <w:bCs/>
          <w:noProof/>
          <w:sz w:val="24"/>
          <w:szCs w:val="24"/>
        </w:rPr>
        <w:t xml:space="preserve"> της βοήθειας</w:t>
      </w:r>
      <w:r>
        <w:rPr>
          <w:rFonts w:ascii="Times New Roman" w:hAnsi="Times New Roman"/>
          <w:noProof/>
          <w:sz w:val="24"/>
          <w:szCs w:val="24"/>
        </w:rPr>
        <w:t xml:space="preserve"> των χορηγών, διασφαλίζοντας ταυτόχρονα ότι το μεγαλύτερο δυνατό μέρος των κονδυλίων διατίθεται στους ανθρώπους που χρειάζονται βοήθεια. Παράλληλα, είναι σημαντικό να μπορεί να κινητοποιηθεί γρήγορα η χρηματοδότηση για την αντιμετώπιση απρόβλεπτων καταστάσεων έκτακτης ανάγκης (όπως καταδεικνύεται από τη νόσο COVID-19) και συχνότερων περιπτώσεων αιφνίδιας επέλευσης φυσικών καταστροφών, όπως αυτές που προκαλούνται από την κλιματική αλλαγή. Η ΕΕ θα επιδιώξει να εκσυγχρονίσει περαιτέρω τους χρηματοδοτικούς της μηχανισμούς ώστε να προσφέρει </w:t>
      </w:r>
      <w:r>
        <w:rPr>
          <w:rFonts w:ascii="Times New Roman" w:hAnsi="Times New Roman"/>
          <w:b/>
          <w:bCs/>
          <w:noProof/>
          <w:sz w:val="24"/>
          <w:szCs w:val="24"/>
        </w:rPr>
        <w:t>μεγαλύτερη επιχειρησιακή ευελιξία</w:t>
      </w:r>
      <w:r>
        <w:rPr>
          <w:rFonts w:ascii="Times New Roman" w:hAnsi="Times New Roman"/>
          <w:noProof/>
          <w:sz w:val="24"/>
          <w:szCs w:val="24"/>
        </w:rPr>
        <w:t xml:space="preserve"> στους εταίρους της στον τομέα της ανθρωπιστικής βοήθειας, ενισχύοντας παράλληλα την </w:t>
      </w:r>
      <w:r>
        <w:rPr>
          <w:rFonts w:ascii="Times New Roman" w:hAnsi="Times New Roman"/>
          <w:b/>
          <w:bCs/>
          <w:noProof/>
          <w:sz w:val="24"/>
          <w:szCs w:val="24"/>
        </w:rPr>
        <w:t>προστιθέμενη αξία και την προβολή της βοήθειας της ΕΕ.</w:t>
      </w:r>
    </w:p>
    <w:tbl>
      <w:tblPr>
        <w:tblW w:w="0" w:type="auto"/>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10" w:color="auto" w:fill="auto"/>
        <w:tblLayout w:type="fixed"/>
        <w:tblLook w:val="06A0" w:firstRow="1" w:lastRow="0" w:firstColumn="1" w:lastColumn="0" w:noHBand="1" w:noVBand="1"/>
      </w:tblPr>
      <w:tblGrid>
        <w:gridCol w:w="9015"/>
      </w:tblGrid>
      <w:tr>
        <w:trPr>
          <w:trHeight w:val="1635"/>
        </w:trPr>
        <w:tc>
          <w:tcPr>
            <w:tcW w:w="9015" w:type="dxa"/>
            <w:shd w:val="pct10" w:color="auto" w:fill="auto"/>
          </w:tcPr>
          <w:p>
            <w:pPr>
              <w:spacing w:after="0"/>
              <w:jc w:val="both"/>
              <w:rPr>
                <w:rFonts w:ascii="Times New Roman" w:eastAsia="Times New Roman" w:hAnsi="Times New Roman" w:cs="Times New Roman"/>
                <w:iCs/>
                <w:noProof/>
              </w:rPr>
            </w:pPr>
            <w:r>
              <w:rPr>
                <w:rFonts w:ascii="Times New Roman" w:hAnsi="Times New Roman"/>
                <w:iCs/>
                <w:noProof/>
              </w:rPr>
              <w:t>Ενώ το μεγαλύτερο μέρος της ανθρωπιστικής βοήθειας της ΕΕ χορηγείται σε ετήσια βάση, η Ευρωπαϊκή Επιτροπή έχει δρομολογήσει πιλοτικές πολυετείς και πολυεθνικές «προγραμματικές συμπράξεις», μεταξύ άλλων με τη Διεθνή Επιτροπή του Ερυθρού Σταυρού</w:t>
            </w:r>
            <w:r>
              <w:rPr>
                <w:rStyle w:val="FootnoteReference"/>
                <w:rFonts w:ascii="Times New Roman" w:eastAsia="Times New Roman" w:hAnsi="Times New Roman" w:cs="Times New Roman"/>
                <w:iCs/>
                <w:noProof/>
              </w:rPr>
              <w:footnoteReference w:id="28"/>
            </w:r>
            <w:r>
              <w:rPr>
                <w:rFonts w:ascii="Times New Roman" w:hAnsi="Times New Roman"/>
                <w:iCs/>
                <w:noProof/>
              </w:rPr>
              <w:t>. Οι συμπράξεις αυτές αποσκοπούν στην παροχή μεγαλύτερης ευελιξίας στους εταίρους στον τομέα της ανθρωπιστικής βοήθειας και στη μείωση του διοικητικού φόρτου τόσο για τους εν λόγω εταίρους όσο και για την Επιτροπή, μεγιστοποιώντας παράλληλα τον αντίκτυπο της χρηματοδότησης της ΕΕ και ενισχύοντας την προβολή της ΕΕ. Αυτή η πιλοτική προσέγγιση θα επεκταθεί σε οντότητες, οργανισμούς και άλλες διεθνείς οργανώσεις των Ηνωμένων Εθνών.</w:t>
            </w:r>
          </w:p>
        </w:tc>
      </w:tr>
    </w:tbl>
    <w:p>
      <w:pPr>
        <w:spacing w:after="0"/>
        <w:jc w:val="both"/>
        <w:rPr>
          <w:rFonts w:ascii="Times New Roman" w:eastAsia="Times New Roman" w:hAnsi="Times New Roman" w:cs="Times New Roman"/>
          <w:i/>
          <w:iCs/>
          <w:noProof/>
          <w:color w:val="000000" w:themeColor="text1"/>
          <w:sz w:val="24"/>
          <w:szCs w:val="24"/>
        </w:rPr>
      </w:pPr>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Γενικότερα, </w:t>
      </w:r>
      <w:r>
        <w:rPr>
          <w:rFonts w:ascii="Times New Roman" w:hAnsi="Times New Roman"/>
          <w:b/>
          <w:noProof/>
          <w:sz w:val="24"/>
          <w:szCs w:val="24"/>
        </w:rPr>
        <w:t>η ΕΕ θα προωθήσει περαιτέρω την ανάπτυξη και την υιοθέτηση καινοτόμων λύσεων</w:t>
      </w:r>
      <w:r>
        <w:rPr>
          <w:rFonts w:ascii="Times New Roman" w:hAnsi="Times New Roman"/>
          <w:noProof/>
          <w:sz w:val="24"/>
          <w:szCs w:val="24"/>
        </w:rPr>
        <w:t xml:space="preserve"> που παρέχουν αποτελεσματικότερη, οικονομικά αποδοτικότερη, φιλικότερη προς το περιβάλλον και ανθεκτικότερη στην κλιματική αλλαγή βοήθεια</w:t>
      </w:r>
      <w:r>
        <w:rPr>
          <w:rStyle w:val="FootnoteReference"/>
          <w:rFonts w:ascii="Times New Roman" w:eastAsia="Times New Roman" w:hAnsi="Times New Roman" w:cs="Times New Roman"/>
          <w:noProof/>
          <w:sz w:val="24"/>
          <w:szCs w:val="24"/>
        </w:rPr>
        <w:footnoteReference w:id="29"/>
      </w:r>
      <w:r>
        <w:rPr>
          <w:rFonts w:ascii="Times New Roman" w:hAnsi="Times New Roman"/>
          <w:noProof/>
          <w:sz w:val="24"/>
          <w:szCs w:val="24"/>
        </w:rPr>
        <w:t>.</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noProof/>
          <w:sz w:val="24"/>
          <w:szCs w:val="24"/>
        </w:rPr>
      </w:pPr>
      <w:r>
        <w:rPr>
          <w:rFonts w:ascii="Times New Roman" w:hAnsi="Times New Roman"/>
          <w:noProof/>
          <w:color w:val="000000" w:themeColor="text1"/>
          <w:sz w:val="24"/>
          <w:szCs w:val="24"/>
        </w:rPr>
        <w:t xml:space="preserve">Η χρήση των χρηματικών </w:t>
      </w:r>
      <w:r>
        <w:rPr>
          <w:rFonts w:ascii="Times New Roman" w:hAnsi="Times New Roman"/>
          <w:b/>
          <w:noProof/>
          <w:color w:val="000000" w:themeColor="text1"/>
          <w:sz w:val="24"/>
          <w:szCs w:val="24"/>
        </w:rPr>
        <w:t>μεταβιβάσεων</w:t>
      </w:r>
      <w:r>
        <w:rPr>
          <w:rFonts w:ascii="Times New Roman" w:hAnsi="Times New Roman"/>
          <w:noProof/>
          <w:color w:val="000000" w:themeColor="text1"/>
          <w:sz w:val="24"/>
          <w:szCs w:val="24"/>
        </w:rPr>
        <w:t xml:space="preserve"> αναγνωρίζεται πλέον ευρέως ως ο πλέον αποδοτικός και αποτελεσματικός τρόπος παροχής βοήθειας σε άτομα που πλήττονται από συγκρούσεις ή καταστροφές. Η ΕΕ έχει αναλάβει από μακρού τη δέσμευση να χρησιμοποιεί τη χρηματική ενίσχυση σε ανθρωπιστικά πλαίσια, όποτε αυτό είναι εφικτό και σκόπιμο</w:t>
      </w:r>
      <w:r>
        <w:rPr>
          <w:rStyle w:val="FootnoteReference"/>
          <w:rFonts w:ascii="Times New Roman" w:eastAsia="Times New Roman" w:hAnsi="Times New Roman" w:cs="Times New Roman"/>
          <w:noProof/>
          <w:sz w:val="24"/>
          <w:szCs w:val="24"/>
        </w:rPr>
        <w:footnoteReference w:id="30"/>
      </w:r>
      <w:r>
        <w:rPr>
          <w:rFonts w:ascii="Times New Roman" w:hAnsi="Times New Roman"/>
          <w:noProof/>
          <w:sz w:val="24"/>
          <w:szCs w:val="24"/>
        </w:rPr>
        <w:t xml:space="preserve">. Συνεργάστηκε επίσης με βασικούς εταίρους για να διασφαλίσει ότι το μεγαλύτερο δυνατό ποσοστό της χρηματοδότησης που προβλέπεται για ένα πρόγραμμα χρηματικής ενίσχυσης διατίθεται στους τελικούς δικαιούχους. </w:t>
      </w:r>
    </w:p>
    <w:p>
      <w:pPr>
        <w:spacing w:after="0" w:line="240" w:lineRule="auto"/>
        <w:jc w:val="both"/>
        <w:rPr>
          <w:rFonts w:ascii="Times New Roman" w:eastAsia="Times New Roman" w:hAnsi="Times New Roman" w:cs="Times New Roman"/>
          <w:noProof/>
          <w:sz w:val="24"/>
          <w:szCs w:val="24"/>
        </w:rPr>
      </w:pPr>
    </w:p>
    <w:p>
      <w:pPr>
        <w:spacing w:after="0" w:line="240" w:lineRule="auto"/>
        <w:jc w:val="both"/>
        <w:rPr>
          <w:noProof/>
        </w:rPr>
      </w:pPr>
      <w:r>
        <w:rPr>
          <w:rFonts w:ascii="Times New Roman" w:hAnsi="Times New Roman"/>
          <w:noProof/>
          <w:sz w:val="24"/>
          <w:szCs w:val="24"/>
        </w:rPr>
        <w:t>Τα ψηφιακά μέσα έχουν καίρια σημασία για την ασφαλή παράδοση των χρηματικών μεταβιβάσεων. Όταν υπάρχουν, μπορούν επίσης να διαδραματίσουν σημαντικό ρόλο στην ανάπτυξη της εξ αποστάσεως μάθησης όσον αφορά την εκπαίδευση σε καταστάσεις έκτακτης ανάγκης, σύμφωνα με το σχέδιο δράσης για την ψηφιακή εκπαίδευση</w:t>
      </w:r>
      <w:r>
        <w:rPr>
          <w:rStyle w:val="FootnoteReference"/>
          <w:rFonts w:ascii="Times New Roman" w:eastAsia="Times New Roman" w:hAnsi="Times New Roman" w:cs="Times New Roman"/>
          <w:noProof/>
          <w:sz w:val="24"/>
          <w:szCs w:val="24"/>
        </w:rPr>
        <w:footnoteReference w:id="31"/>
      </w:r>
      <w:r>
        <w:rPr>
          <w:rFonts w:ascii="Times New Roman" w:hAnsi="Times New Roman"/>
          <w:noProof/>
          <w:sz w:val="24"/>
          <w:szCs w:val="24"/>
        </w:rPr>
        <w:t xml:space="preserve">, καθώς και στη διευκόλυνση των συστημάτων έγκαιρης προειδοποίησης για καταστροφές, στην παρακολούθηση των εκτοπισμών και σε εξ αποστάσεως εκτιμήσεις των αναγκών. Η ΕΕ θα </w:t>
      </w:r>
      <w:r>
        <w:rPr>
          <w:rFonts w:ascii="Times New Roman" w:hAnsi="Times New Roman"/>
          <w:b/>
          <w:noProof/>
          <w:sz w:val="24"/>
          <w:szCs w:val="24"/>
        </w:rPr>
        <w:t>διευρύνει περαιτέρω τη</w:t>
      </w:r>
      <w:r>
        <w:rPr>
          <w:rFonts w:ascii="Times New Roman" w:hAnsi="Times New Roman"/>
          <w:noProof/>
          <w:sz w:val="24"/>
          <w:szCs w:val="24"/>
        </w:rPr>
        <w:t xml:space="preserve"> </w:t>
      </w:r>
      <w:r>
        <w:rPr>
          <w:rFonts w:ascii="Times New Roman" w:hAnsi="Times New Roman"/>
          <w:b/>
          <w:noProof/>
          <w:sz w:val="24"/>
          <w:szCs w:val="24"/>
        </w:rPr>
        <w:t xml:space="preserve">χρήση ασφαλών και αποδοτικών ψηφιακών εργαλείων </w:t>
      </w:r>
      <w:r>
        <w:rPr>
          <w:rFonts w:ascii="Times New Roman" w:hAnsi="Times New Roman"/>
          <w:noProof/>
          <w:sz w:val="24"/>
          <w:szCs w:val="24"/>
        </w:rPr>
        <w:t xml:space="preserve">στις ανθρωπιστικές δράσεις της, ιδίως στα </w:t>
      </w:r>
      <w:r>
        <w:rPr>
          <w:rFonts w:ascii="Times New Roman" w:hAnsi="Times New Roman"/>
          <w:b/>
          <w:bCs/>
          <w:noProof/>
          <w:sz w:val="24"/>
          <w:szCs w:val="24"/>
        </w:rPr>
        <w:t xml:space="preserve">προγράμματα κοινωνικού διχτυού ασφαλείας για την αντιμετώπιση κλυδωνισμών, </w:t>
      </w:r>
      <w:r>
        <w:rPr>
          <w:rFonts w:ascii="Times New Roman" w:hAnsi="Times New Roman"/>
          <w:bCs/>
          <w:noProof/>
          <w:sz w:val="24"/>
          <w:szCs w:val="24"/>
        </w:rPr>
        <w:t>όπως το Κοινωνικό Δίχτυ Ασφαλείας Έκτακτης Ανάγκης</w:t>
      </w:r>
      <w:r>
        <w:rPr>
          <w:rStyle w:val="FootnoteReference"/>
          <w:rFonts w:ascii="Times New Roman" w:hAnsi="Times New Roman" w:cs="Times New Roman"/>
          <w:bCs/>
          <w:noProof/>
          <w:sz w:val="24"/>
          <w:szCs w:val="24"/>
          <w:lang w:val="en-US"/>
        </w:rPr>
        <w:footnoteReference w:id="32"/>
      </w:r>
      <w:r>
        <w:rPr>
          <w:rFonts w:ascii="Times New Roman" w:hAnsi="Times New Roman"/>
          <w:bCs/>
          <w:noProof/>
          <w:sz w:val="24"/>
          <w:szCs w:val="24"/>
        </w:rPr>
        <w:t xml:space="preserve"> στην Τουρκία (το μεγαλύτερο ανθρωπιστικό πρόγραμμα στην ιστορία της ΕΕ)</w:t>
      </w:r>
      <w:r>
        <w:rPr>
          <w:rFonts w:ascii="Times New Roman" w:hAnsi="Times New Roman"/>
          <w:noProof/>
          <w:sz w:val="24"/>
          <w:szCs w:val="24"/>
        </w:rPr>
        <w:t xml:space="preserve"> και με σκοπό να καταστήσει δυνατή </w:t>
      </w:r>
      <w:r>
        <w:rPr>
          <w:rFonts w:ascii="Times New Roman" w:hAnsi="Times New Roman"/>
          <w:b/>
          <w:noProof/>
          <w:sz w:val="24"/>
          <w:szCs w:val="24"/>
        </w:rPr>
        <w:t>τη διευκόλυνση της συνδεσιμότητας των αποδεκτών της βοήθειας</w:t>
      </w:r>
      <w:r>
        <w:rPr>
          <w:rFonts w:ascii="Times New Roman" w:hAnsi="Times New Roman"/>
          <w:noProof/>
          <w:sz w:val="24"/>
          <w:szCs w:val="24"/>
        </w:rPr>
        <w:t>, με πλήρη σεβασμό των απαιτήσεων για την προστασία των δεδομένων</w:t>
      </w:r>
      <w:r>
        <w:rPr>
          <w:rStyle w:val="FootnoteReference"/>
          <w:rFonts w:ascii="Times New Roman" w:eastAsiaTheme="minorEastAsia" w:hAnsi="Times New Roman" w:cs="Times New Roman"/>
          <w:noProof/>
          <w:sz w:val="24"/>
          <w:szCs w:val="24"/>
        </w:rPr>
        <w:footnoteReference w:id="33"/>
      </w:r>
      <w:r>
        <w:rPr>
          <w:rFonts w:ascii="Times New Roman" w:hAnsi="Times New Roman"/>
          <w:noProof/>
          <w:sz w:val="24"/>
          <w:szCs w:val="24"/>
        </w:rPr>
        <w:t xml:space="preserve">. </w:t>
      </w:r>
    </w:p>
    <w:p>
      <w:pPr>
        <w:spacing w:after="0"/>
        <w:jc w:val="both"/>
        <w:rPr>
          <w:rFonts w:ascii="Times New Roman" w:eastAsia="Times New Roman" w:hAnsi="Times New Roman" w:cs="Times New Roman"/>
          <w:i/>
          <w:iCs/>
          <w:noProof/>
          <w:color w:val="000000" w:themeColor="text1"/>
          <w:sz w:val="24"/>
          <w:szCs w:val="24"/>
        </w:rPr>
      </w:pPr>
    </w:p>
    <w:p>
      <w:pPr>
        <w:spacing w:after="0"/>
        <w:jc w:val="both"/>
        <w:rPr>
          <w:rFonts w:ascii="Times New Roman" w:eastAsia="Times New Roman" w:hAnsi="Times New Roman" w:cs="Times New Roman"/>
          <w:i/>
          <w:iCs/>
          <w:noProof/>
          <w:color w:val="000000" w:themeColor="text1"/>
          <w:sz w:val="24"/>
          <w:szCs w:val="24"/>
        </w:rPr>
      </w:pPr>
      <w:r>
        <w:rPr>
          <w:rFonts w:ascii="Times New Roman" w:hAnsi="Times New Roman"/>
          <w:i/>
          <w:iCs/>
          <w:noProof/>
          <w:color w:val="000000" w:themeColor="text1"/>
          <w:sz w:val="24"/>
          <w:szCs w:val="24"/>
        </w:rPr>
        <w:t>Στήριξη των τοπικών παραγόντων που αναλαμβάνουν δράση</w:t>
      </w:r>
    </w:p>
    <w:p>
      <w:pPr>
        <w:spacing w:after="0" w:line="240" w:lineRule="auto"/>
        <w:jc w:val="both"/>
        <w:rPr>
          <w:rFonts w:ascii="Times New Roman" w:eastAsia="Times New Roman" w:hAnsi="Times New Roman" w:cs="Times New Roman"/>
          <w:bCs/>
          <w:i/>
          <w:noProof/>
          <w:color w:val="000000" w:themeColor="text1"/>
          <w:sz w:val="24"/>
          <w:szCs w:val="24"/>
        </w:rPr>
      </w:pPr>
    </w:p>
    <w:p>
      <w:pPr>
        <w:pStyle w:val="CommentText"/>
        <w:jc w:val="both"/>
        <w:rPr>
          <w:rFonts w:ascii="Times New Roman" w:eastAsia="Times New Roman" w:hAnsi="Times New Roman" w:cs="Times New Roman"/>
          <w:noProof/>
          <w:sz w:val="24"/>
          <w:szCs w:val="24"/>
        </w:rPr>
      </w:pPr>
      <w:r>
        <w:rPr>
          <w:rFonts w:ascii="Times New Roman" w:hAnsi="Times New Roman"/>
          <w:noProof/>
          <w:color w:val="000000" w:themeColor="text1"/>
          <w:sz w:val="24"/>
          <w:szCs w:val="24"/>
        </w:rPr>
        <w:t>Οι τοπικές κοινότητες και οργανώσεις είναι συνήθως οι πρώτοι παράγοντες που αναλαμβάνουν δράση σε μια κρίση</w:t>
      </w:r>
      <w:r>
        <w:rPr>
          <w:rFonts w:ascii="Times New Roman" w:hAnsi="Times New Roman"/>
          <w:noProof/>
          <w:sz w:val="24"/>
          <w:szCs w:val="24"/>
        </w:rPr>
        <w:t xml:space="preserve">, διαδραματίζοντας βασικό ρόλο στην παροχή ταχείας, ποιοτικής και οικονομικά αποδοτικής βοήθειας σε άτομα που έχουν ανάγκη. Κατά τη διάρκεια της έξαρσης της νόσου COVID-19, οι τοπικοί παράγοντες ήταν συχνά οι πρώτοι που αντέδρασαν, καλύπτοντας το κενό που άφησαν οι αποχωρήσαντες διεθνείς φορείς. Η πανδημία έχει επίσης υπογραμμίσει τη σημασία των τοπικών γνώσεων και της κατανόησης του πλαισίου, ώστε να διασφαλίζεται ότι η βοήθεια γίνεται πιο εύκολα αποδεκτή και να επιταχύνεται η ικανότητα παρέμβασης. </w:t>
      </w:r>
    </w:p>
    <w:p>
      <w:pPr>
        <w:pStyle w:val="CommentText"/>
        <w:jc w:val="both"/>
        <w:rPr>
          <w:rFonts w:ascii="Times New Roman" w:eastAsia="Times New Roman" w:hAnsi="Times New Roman" w:cs="Times New Roman"/>
          <w:noProof/>
          <w:sz w:val="24"/>
          <w:szCs w:val="24"/>
        </w:rPr>
      </w:pPr>
      <w:r>
        <w:rPr>
          <w:rFonts w:ascii="Times New Roman" w:hAnsi="Times New Roman"/>
          <w:noProof/>
          <w:sz w:val="24"/>
          <w:szCs w:val="24"/>
        </w:rPr>
        <w:t xml:space="preserve">Η «Μεγάλη Συμφωνία» περιλάμβανε την ισχυρή δέσμευση των χορηγών και των διεθνών οργανισμών παροχής βοήθειας να </w:t>
      </w:r>
      <w:r>
        <w:rPr>
          <w:rFonts w:ascii="Times New Roman" w:hAnsi="Times New Roman"/>
          <w:b/>
          <w:noProof/>
          <w:sz w:val="24"/>
          <w:szCs w:val="24"/>
        </w:rPr>
        <w:t>διοχετεύουν περισσότερους πόρους απευθείας στους τοπικούς παράγοντες που αναλαμβάνουν δράση</w:t>
      </w:r>
      <w:r>
        <w:rPr>
          <w:rFonts w:ascii="Times New Roman" w:hAnsi="Times New Roman"/>
          <w:noProof/>
          <w:sz w:val="24"/>
          <w:szCs w:val="24"/>
        </w:rPr>
        <w:t xml:space="preserve">. Ωστόσο, η ροή της χρηματοδότησης προς τοπικούς φορείς και εθνικές μη κυβερνητικές οργανώσεις έχει παρεμποδιστεί από την ανάγκη πολλοί χορηγοί βοήθειας να συνδυάσουν αυτήν τη δέσμευση με τις κανονιστικές απαιτήσεις, τις απαιτήσεις διαφάνειας και λογοδοσίας, ιδίως σε καταστάσεις συγκρούσεων στις οποίες η παρακολούθηση της χρηματοδότησης μπορεί να είναι δύσκολη. </w:t>
      </w:r>
    </w:p>
    <w:p>
      <w:pPr>
        <w:pStyle w:val="CommentText"/>
        <w:jc w:val="both"/>
        <w:rPr>
          <w:rFonts w:ascii="Times New Roman" w:eastAsia="Times New Roman" w:hAnsi="Times New Roman" w:cs="Times New Roman"/>
          <w:noProof/>
          <w:sz w:val="24"/>
          <w:szCs w:val="24"/>
        </w:rPr>
      </w:pPr>
      <w:r>
        <w:rPr>
          <w:rFonts w:ascii="Times New Roman" w:hAnsi="Times New Roman"/>
          <w:noProof/>
          <w:sz w:val="24"/>
          <w:szCs w:val="24"/>
        </w:rPr>
        <w:t>Η Επιτροπή θα προσπαθήσει να εντείνει τη στήριξη της ΕΕ για την τοπική προσαρμογή, λαμβάνοντας υπόψη τις ιδιαιτερότητες ανά χώρα και πλαίσιο, καθώς και αξιοποιώντας διάφορα μέσα σύμφωνα με τον αιτιώδη σύνδεσμο μεταξύ ανθρωπιστικής βοήθειας, ανάπτυξης και ειρήνης, σε τέσσερις άξονες:</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hAnsi="Times New Roman"/>
          <w:noProof/>
          <w:sz w:val="24"/>
          <w:szCs w:val="24"/>
        </w:rPr>
        <w:t xml:space="preserve">επένδυση στην ενίσχυση των τοπικών ικανοτήτων, αξιοποιώντας την πείρα της από πρωτοβουλίες όπως το </w:t>
      </w:r>
      <w:r>
        <w:rPr>
          <w:rFonts w:ascii="Times New Roman" w:hAnsi="Times New Roman"/>
          <w:iCs/>
          <w:noProof/>
          <w:sz w:val="24"/>
          <w:szCs w:val="24"/>
        </w:rPr>
        <w:t>Ταμείο Τοπικής Πρωτοβουλίας στην Τουρκία (LIFT), το οποίο παρέχει τεχνική και οικονομική στήριξη σε τοπικούς παράγοντες που αναλαμβάνουν δράση ώστε η βοήθεια να φθάνει στους πρόσφυγες και τις κοινότητες υποδοχής</w:t>
      </w:r>
      <w:r>
        <w:rPr>
          <w:rFonts w:ascii="Times New Roman" w:hAnsi="Times New Roman"/>
          <w:noProof/>
          <w:sz w:val="24"/>
          <w:szCs w:val="24"/>
        </w:rPr>
        <w:t xml:space="preserve">· </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hAnsi="Times New Roman"/>
          <w:noProof/>
          <w:sz w:val="24"/>
          <w:szCs w:val="24"/>
        </w:rPr>
        <w:t xml:space="preserve">προώθηση φιλικής προς το περιβάλλον και τοπικής προμήθειας ανθρωπιστικής βοήθειας· </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hAnsi="Times New Roman"/>
          <w:noProof/>
          <w:sz w:val="24"/>
          <w:szCs w:val="24"/>
        </w:rPr>
        <w:t xml:space="preserve">στήριξη τοπικών μοντέλων χρηματοδότησης, όπως οι πολυμερείς μηχανισμοί συλλογικής χρηματοδότησης με ιδιαίτερη έμφαση στους τοπικούς παράγοντες· </w:t>
      </w:r>
    </w:p>
    <w:p>
      <w:pPr>
        <w:pStyle w:val="CommentText"/>
        <w:numPr>
          <w:ilvl w:val="0"/>
          <w:numId w:val="48"/>
        </w:numPr>
        <w:jc w:val="both"/>
        <w:rPr>
          <w:rFonts w:ascii="Times New Roman" w:eastAsiaTheme="minorEastAsia" w:hAnsi="Times New Roman" w:cs="Times New Roman"/>
          <w:noProof/>
          <w:sz w:val="24"/>
          <w:szCs w:val="24"/>
        </w:rPr>
      </w:pPr>
      <w:r>
        <w:rPr>
          <w:rFonts w:ascii="Times New Roman" w:hAnsi="Times New Roman"/>
          <w:noProof/>
          <w:sz w:val="24"/>
          <w:szCs w:val="24"/>
        </w:rPr>
        <w:t xml:space="preserve">ενθάρρυνση κοινοπραξιών που βασίζονται σε ισότιμες εταιρικές σχέσεις, επιμερισμένες αρμοδιότητες και χρηματοδότηση μεταξύ διεθνών και τοπικών παραγόντων που αναλαμβάνουν δράση. </w:t>
      </w:r>
    </w:p>
    <w:p>
      <w:pPr>
        <w:pStyle w:val="CommentText"/>
        <w:ind w:left="720"/>
        <w:jc w:val="both"/>
        <w:rPr>
          <w:rFonts w:ascii="Times New Roman" w:eastAsiaTheme="minorEastAsia" w:hAnsi="Times New Roman" w:cs="Times New Roman"/>
          <w:noProof/>
          <w:sz w:val="24"/>
          <w:szCs w:val="24"/>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pStyle w:val="CommentText"/>
              <w:jc w:val="both"/>
              <w:rPr>
                <w:rFonts w:ascii="Times New Roman" w:eastAsia="Times New Roman" w:hAnsi="Times New Roman" w:cs="Times New Roman"/>
                <w:noProof/>
                <w:sz w:val="24"/>
                <w:szCs w:val="24"/>
              </w:rPr>
            </w:pPr>
            <w:r>
              <w:rPr>
                <w:rFonts w:ascii="Times New Roman" w:hAnsi="Times New Roman"/>
                <w:iCs/>
                <w:noProof/>
                <w:sz w:val="22"/>
              </w:rPr>
              <w:t>Σύμφωνα με τις δεσμεύσεις της για τη «Μεγάλη Συμφωνία», η ΕΕ συνεισφέρει σε συγκεντρωμένα ανά χώρα κονδύλια των Ηνωμένων Εθνών</w:t>
            </w:r>
            <w:r>
              <w:rPr>
                <w:rStyle w:val="FootnoteReference"/>
                <w:rFonts w:ascii="Times New Roman" w:eastAsia="Times New Roman" w:hAnsi="Times New Roman" w:cs="Times New Roman"/>
                <w:iCs/>
                <w:noProof/>
                <w:sz w:val="22"/>
              </w:rPr>
              <w:footnoteReference w:id="34"/>
            </w:r>
            <w:r>
              <w:rPr>
                <w:rFonts w:ascii="Times New Roman" w:hAnsi="Times New Roman"/>
                <w:iCs/>
                <w:noProof/>
                <w:sz w:val="22"/>
              </w:rPr>
              <w:t xml:space="preserve"> στο Νότιο Σουδάν και την Ουκρανία. Τα κονδύλια αυτά επιτρέπουν στους διεθνείς χορηγούς να στηρίζουν έμμεσα τοπικές και εθνικές μη κυβερνητικές οργανώσεις, μεταξύ άλλων με την προώθηση της συμμετοχής τους σε μηχανισμούς συντονισμού της ανθρωπιστικής βοήθειας σε επίπεδο χώρας.</w:t>
            </w:r>
          </w:p>
        </w:tc>
      </w:tr>
    </w:tbl>
    <w:p>
      <w:pPr>
        <w:pStyle w:val="CommentText"/>
        <w:jc w:val="both"/>
        <w:rPr>
          <w:rFonts w:ascii="Times New Roman" w:eastAsia="Times New Roman" w:hAnsi="Times New Roman" w:cs="Times New Roman"/>
          <w:noProof/>
          <w:sz w:val="24"/>
          <w:szCs w:val="24"/>
        </w:rPr>
      </w:pPr>
    </w:p>
    <w:tbl>
      <w:tblPr>
        <w:tblStyle w:val="TableGrid"/>
        <w:tblW w:w="0" w:type="auto"/>
        <w:tblLook w:val="04A0" w:firstRow="1" w:lastRow="0" w:firstColumn="1" w:lastColumn="0" w:noHBand="0" w:noVBand="1"/>
      </w:tblPr>
      <w:tblGrid>
        <w:gridCol w:w="9242"/>
      </w:tblGrid>
      <w:tr>
        <w:tc>
          <w:tcPr>
            <w:tcW w:w="9242" w:type="dxa"/>
          </w:tcPr>
          <w:p>
            <w:pPr>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Προώθηση ευέλικτων και αποτελεσματικών μηχανισμών ανθρωπιστικής δράσης και χρηματοδότησης.</w:t>
            </w:r>
          </w:p>
          <w:p>
            <w:pPr>
              <w:jc w:val="both"/>
              <w:rPr>
                <w:rFonts w:ascii="Times New Roman" w:eastAsiaTheme="minorEastAsia" w:hAnsi="Times New Roman" w:cs="Times New Roman"/>
                <w:i/>
                <w:iCs/>
                <w:noProof/>
                <w:sz w:val="24"/>
                <w:szCs w:val="24"/>
              </w:rPr>
            </w:pPr>
          </w:p>
          <w:p>
            <w:pPr>
              <w:jc w:val="both"/>
              <w:rPr>
                <w:rFonts w:ascii="Times New Roman" w:eastAsiaTheme="minorEastAsia" w:hAnsi="Times New Roman" w:cs="Times New Roman"/>
                <w:b/>
                <w:i/>
                <w:iCs/>
                <w:noProof/>
                <w:sz w:val="24"/>
                <w:szCs w:val="24"/>
              </w:rPr>
            </w:pPr>
            <w:r>
              <w:rPr>
                <w:rFonts w:ascii="Times New Roman" w:hAnsi="Times New Roman"/>
                <w:b/>
                <w:i/>
                <w:iCs/>
                <w:noProof/>
                <w:sz w:val="24"/>
                <w:szCs w:val="24"/>
              </w:rPr>
              <w:t>Βασικές δράσεις:</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Επέκταση των πολυετών και ευέλικτων χρηματοδοτικών ρυθμίσεων με τους εταίρους στον τομέα της ανθρωπιστικής βοήθειας</w:t>
            </w:r>
            <w:r>
              <w:rPr>
                <w:noProof/>
              </w:rPr>
              <w:t xml:space="preserve"> </w:t>
            </w:r>
            <w:r>
              <w:rPr>
                <w:rFonts w:ascii="Times New Roman" w:hAnsi="Times New Roman"/>
                <w:i/>
                <w:iCs/>
                <w:noProof/>
                <w:sz w:val="24"/>
                <w:szCs w:val="24"/>
              </w:rPr>
              <w:t>—σε συνεργασία με μέσα ανάπτυξης όταν μπορεί να προβλεφθεί μια προσέγγιση βάσει συσχετισμού— και απλούστευση/εναρμόνιση των απαιτήσεων υποβολής εκθέσεων σύμφωνα με τη «Μεγάλη Συμφωνία» με παράλληλη διασφάλιση ότι οι εκτιμήσεις αναγκών συντονίζονται μεταξύ των οργανισμών και ότι ενισχύονται η λογοδοσία, η αποτελεσματικότητα και η προβολή της στήριξης της ΕΕ.</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Αύξηση της στήριξης της ΕΕ προς τους τοπικούς παράγοντες που αναλαμβάνουν δράση, μεταξύ άλλων μέσω της εκτεταμένης χρήσης συγκεντρωμένων ανά χώρα κονδυλίων και άλλων χρηματοδοτικών μηχανισμών που δίνουν προτεραιότητα στους τοπικούς φορείς.</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Ανάπτυξη κατευθυντήριων γραμμών για την προαγωγή ισότιμων εταιρικών σχέσεων με τοπικούς παράγοντες που αναλαμβάνουν δράση.</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Ενθάρρυνση της περαιτέρω χρήσης ψηφιακών εργαλείων από τους εταίρους στον τομέα της ανθρωπιστικής βοήθειας, μεταξύ άλλων μέσω κοινών εργασιών για τη δημιουργία ευνοϊκού περιβάλλοντος.</w:t>
            </w:r>
          </w:p>
          <w:p>
            <w:pPr>
              <w:pStyle w:val="ListParagraph"/>
              <w:numPr>
                <w:ilvl w:val="0"/>
                <w:numId w:val="2"/>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Κατάρτιση ειδικών κατευθυντήριων γραμμών για την επέκταση της χρήσης ψηφιακού χρήματος και διασφάλιση της πρόσβασης των αποδεκτών της βοήθειας σε ψηφιακές λύσεις στο πλαίσιο της αναθεώρησης της θεματικής πολιτικής της ΕΕ για τις χρηματικές μεταβιβάσεις.</w:t>
            </w:r>
          </w:p>
          <w:p>
            <w:pPr>
              <w:pStyle w:val="ListParagraph"/>
              <w:numPr>
                <w:ilvl w:val="0"/>
                <w:numId w:val="2"/>
              </w:numPr>
              <w:jc w:val="both"/>
              <w:rPr>
                <w:rFonts w:ascii="Times New Roman" w:eastAsia="Times New Roman" w:hAnsi="Times New Roman" w:cs="Times New Roman"/>
                <w:i/>
                <w:iCs/>
                <w:noProof/>
                <w:color w:val="000000" w:themeColor="text1"/>
                <w:sz w:val="24"/>
                <w:szCs w:val="24"/>
              </w:rPr>
            </w:pPr>
            <w:r>
              <w:rPr>
                <w:rFonts w:ascii="Times New Roman" w:hAnsi="Times New Roman"/>
                <w:i/>
                <w:iCs/>
                <w:noProof/>
                <w:sz w:val="24"/>
                <w:szCs w:val="24"/>
              </w:rPr>
              <w:t>Στήριξη, κλιμάκωση και προώθηση επενδύσεων σε</w:t>
            </w:r>
            <w:r>
              <w:rPr>
                <w:rFonts w:ascii="Times New Roman" w:hAnsi="Times New Roman"/>
                <w:i/>
                <w:noProof/>
                <w:sz w:val="24"/>
                <w:szCs w:val="24"/>
              </w:rPr>
              <w:t xml:space="preserve"> δοκιμασμένες, οικονομικά αποδοτικές, βασισμένες στην τεχνολογία λύσεις για την ανθρωπιστική βοήθεια, με βάση επίσης το παράδειγμα των βραβείων του Ευρωπαϊκού Συμβουλίου Καινοτομίας του 2020</w:t>
            </w:r>
            <w:r>
              <w:rPr>
                <w:rStyle w:val="FootnoteReference"/>
                <w:rFonts w:ascii="Times New Roman" w:eastAsia="Times New Roman" w:hAnsi="Times New Roman" w:cs="Times New Roman"/>
                <w:i/>
                <w:noProof/>
                <w:sz w:val="24"/>
                <w:szCs w:val="24"/>
              </w:rPr>
              <w:footnoteReference w:id="35"/>
            </w:r>
            <w:r>
              <w:rPr>
                <w:rFonts w:ascii="Times New Roman" w:hAnsi="Times New Roman"/>
                <w:i/>
                <w:noProof/>
                <w:sz w:val="24"/>
                <w:szCs w:val="24"/>
              </w:rPr>
              <w:t>.</w:t>
            </w:r>
          </w:p>
        </w:tc>
      </w:tr>
    </w:tbl>
    <w:p>
      <w:pPr>
        <w:spacing w:after="0" w:line="240" w:lineRule="auto"/>
        <w:jc w:val="both"/>
        <w:rPr>
          <w:rFonts w:ascii="Times New Roman" w:eastAsia="Times New Roman" w:hAnsi="Times New Roman" w:cs="Times New Roman"/>
          <w:b/>
          <w:noProof/>
          <w:color w:val="000000" w:themeColor="text1"/>
          <w:sz w:val="24"/>
          <w:szCs w:val="24"/>
        </w:rPr>
      </w:pPr>
    </w:p>
    <w:p>
      <w:pPr>
        <w:spacing w:after="0" w:line="240" w:lineRule="auto"/>
        <w:jc w:val="both"/>
        <w:rPr>
          <w:rFonts w:ascii="Times New Roman" w:eastAsia="Times New Roman" w:hAnsi="Times New Roman" w:cs="Times New Roman"/>
          <w:b/>
          <w:noProof/>
          <w:color w:val="000000" w:themeColor="text1"/>
          <w:sz w:val="24"/>
          <w:szCs w:val="24"/>
        </w:rPr>
      </w:pPr>
    </w:p>
    <w:p>
      <w:pPr>
        <w:spacing w:after="0" w:line="240" w:lineRule="auto"/>
        <w:jc w:val="both"/>
        <w:rPr>
          <w:b/>
          <w:noProof/>
        </w:rPr>
      </w:pPr>
      <w:r>
        <w:rPr>
          <w:rFonts w:ascii="Times New Roman" w:hAnsi="Times New Roman"/>
          <w:b/>
          <w:noProof/>
          <w:color w:val="000000" w:themeColor="text1"/>
          <w:sz w:val="24"/>
          <w:szCs w:val="24"/>
        </w:rPr>
        <w:t>3.2</w:t>
      </w:r>
      <w:r>
        <w:rPr>
          <w:rFonts w:ascii="Times New Roman" w:hAnsi="Times New Roman"/>
          <w:b/>
          <w:i/>
          <w:iCs/>
          <w:noProof/>
          <w:color w:val="000000" w:themeColor="text1"/>
          <w:sz w:val="24"/>
          <w:szCs w:val="24"/>
        </w:rPr>
        <w:t xml:space="preserve"> </w:t>
      </w:r>
      <w:r>
        <w:rPr>
          <w:rFonts w:ascii="Times New Roman" w:hAnsi="Times New Roman"/>
          <w:b/>
          <w:noProof/>
          <w:color w:val="000000" w:themeColor="text1"/>
          <w:sz w:val="24"/>
          <w:szCs w:val="24"/>
        </w:rPr>
        <w:t>Κάλυψη των κενών: Ικανότητα ευρωπαϊκής ανθρωπιστικής δράσης</w:t>
      </w:r>
      <w:r>
        <w:rPr>
          <w:rFonts w:ascii="Times New Roman" w:hAnsi="Times New Roman"/>
          <w:b/>
          <w:noProof/>
          <w:sz w:val="24"/>
          <w:szCs w:val="24"/>
        </w:rPr>
        <w:t xml:space="preserve"> </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Ενώ η ανθρωπιστική βοήθεια της ΕΕ θα εξακολουθήσει να παρέχεται από τους εταίρους της ΕΕ στον τομέα της ανθρωπιστικής βοήθειας, </w:t>
      </w:r>
      <w:r>
        <w:rPr>
          <w:rFonts w:ascii="Times New Roman" w:hAnsi="Times New Roman"/>
          <w:b/>
          <w:noProof/>
          <w:color w:val="000000" w:themeColor="text1"/>
          <w:sz w:val="24"/>
          <w:szCs w:val="24"/>
        </w:rPr>
        <w:t>ενδέχεται να υπάρχουν περιπτώσεις στις οποίες υπάρχει σαφής προστιθέμενη αξία για την άμεση παρέμβαση της ΕΕ</w:t>
      </w:r>
      <w:r>
        <w:rPr>
          <w:rFonts w:ascii="Times New Roman" w:hAnsi="Times New Roman"/>
          <w:noProof/>
          <w:color w:val="000000" w:themeColor="text1"/>
          <w:sz w:val="24"/>
          <w:szCs w:val="24"/>
        </w:rPr>
        <w:t>, για παράδειγμα με σκοπό να καλυφθεί ένα προσωρινό κενό όταν οι συνήθεις μηχανισμοί παροχής βοήθειας ή οι διαθέσιμες ικανότητες των ανθρωπιστικών οργανώσεων ή των εθνικών αρχών ενδέχεται να είναι αναποτελεσματικές ή ελλιπείς</w:t>
      </w:r>
      <w:r>
        <w:rPr>
          <w:rStyle w:val="FootnoteReference"/>
          <w:rFonts w:ascii="Times New Roman" w:eastAsia="Times New Roman" w:hAnsi="Times New Roman" w:cs="Times New Roman"/>
          <w:noProof/>
          <w:color w:val="000000" w:themeColor="text1"/>
          <w:sz w:val="24"/>
          <w:szCs w:val="24"/>
          <w:lang w:val="en-IE"/>
        </w:rPr>
        <w:footnoteReference w:id="36"/>
      </w:r>
      <w:r>
        <w:rPr>
          <w:rFonts w:ascii="Times New Roman" w:hAnsi="Times New Roman"/>
          <w:noProof/>
          <w:color w:val="000000" w:themeColor="text1"/>
          <w:sz w:val="24"/>
          <w:szCs w:val="24"/>
        </w:rPr>
        <w:t xml:space="preserve">. Σε τέτοιες περιπτώσεις, μια </w:t>
      </w:r>
      <w:r>
        <w:rPr>
          <w:rFonts w:ascii="Times New Roman" w:hAnsi="Times New Roman"/>
          <w:b/>
          <w:bCs/>
          <w:noProof/>
          <w:color w:val="000000" w:themeColor="text1"/>
          <w:sz w:val="24"/>
          <w:szCs w:val="24"/>
        </w:rPr>
        <w:t>ικανότητα ευρωπαϊκής ανθρωπιστικής δράσης</w:t>
      </w:r>
      <w:r>
        <w:rPr>
          <w:rFonts w:ascii="Times New Roman" w:hAnsi="Times New Roman"/>
          <w:noProof/>
          <w:color w:val="000000" w:themeColor="text1"/>
          <w:sz w:val="24"/>
          <w:szCs w:val="24"/>
        </w:rPr>
        <w:t xml:space="preserve">, σύμφωνα με τον κανονισμό της </w:t>
      </w:r>
      <w:r>
        <w:rPr>
          <w:rFonts w:ascii="Times New Roman" w:hAnsi="Times New Roman"/>
          <w:bCs/>
          <w:noProof/>
          <w:color w:val="000000" w:themeColor="text1"/>
          <w:sz w:val="24"/>
          <w:szCs w:val="24"/>
        </w:rPr>
        <w:t>ΕΕ</w:t>
      </w:r>
      <w:r>
        <w:rPr>
          <w:rFonts w:ascii="Times New Roman" w:hAnsi="Times New Roman"/>
          <w:noProof/>
          <w:color w:val="000000" w:themeColor="text1"/>
          <w:sz w:val="24"/>
          <w:szCs w:val="24"/>
        </w:rPr>
        <w:t xml:space="preserve"> για την ανθρωπιστική βοήθεια και χρηματοδοτούμενη από τον προϋπολογισμό ανθρωπιστικής βοήθειας της ΕΕ, θα παρείχε τη δυνατότητα στην ΕΕ να στηρίξει τα κράτη μέλη και τους εταίρους της ΕΕ στον τομέα της ανθρωπιστικής βοήθειας στην ταχεία παροχή βοήθειας. </w:t>
      </w:r>
    </w:p>
    <w:p>
      <w:pPr>
        <w:spacing w:after="0" w:line="240" w:lineRule="auto"/>
        <w:jc w:val="both"/>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szCs w:val="24"/>
        </w:rPr>
        <w:t>Η ικανότητα αυτή θα αξιοποιήσει την πείρα που αποκτήθηκε κατά τη διάρκεια της πανδημίας COVID-19, συμπεριλαμβανομένων της χρήσης πτήσεων επαναπατρισμού για τη μεταφορά ανθρωπιστικού φορτίου και της δημιουργίας ανθρωπιστικής αερογέφυρας της ΕΕ</w:t>
      </w:r>
      <w:r>
        <w:rPr>
          <w:rStyle w:val="FootnoteReference"/>
          <w:rFonts w:ascii="Times New Roman" w:eastAsia="Times New Roman" w:hAnsi="Times New Roman" w:cs="Times New Roman"/>
          <w:noProof/>
          <w:color w:val="000000" w:themeColor="text1"/>
          <w:sz w:val="24"/>
          <w:szCs w:val="24"/>
          <w:lang w:val="en-US"/>
        </w:rPr>
        <w:footnoteReference w:id="37"/>
      </w:r>
      <w:r>
        <w:rPr>
          <w:rFonts w:ascii="Times New Roman" w:hAnsi="Times New Roman"/>
          <w:noProof/>
          <w:color w:val="000000" w:themeColor="text1"/>
          <w:sz w:val="24"/>
          <w:szCs w:val="24"/>
        </w:rPr>
        <w:t xml:space="preserve">, στο πλαίσιο της προσέγγισης «Ομάδα Ευρώπη», για τη στήριξη της παροχής ουσιαστικής ανθρωπιστικής βοήθειας. </w:t>
      </w:r>
    </w:p>
    <w:p>
      <w:pPr>
        <w:spacing w:after="0" w:line="240" w:lineRule="auto"/>
        <w:jc w:val="both"/>
        <w:rPr>
          <w:rFonts w:ascii="Times New Roman" w:eastAsia="Times New Roman" w:hAnsi="Times New Roman" w:cs="Times New Roman"/>
          <w:noProof/>
          <w:color w:val="000000" w:themeColor="text1"/>
          <w:sz w:val="24"/>
          <w:szCs w:val="24"/>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eastAsia="Times New Roman" w:hAnsi="Times New Roman" w:cs="Times New Roman"/>
                <w:noProof/>
                <w:color w:val="000000" w:themeColor="text1"/>
                <w:sz w:val="24"/>
                <w:szCs w:val="24"/>
              </w:rPr>
            </w:pPr>
            <w:r>
              <w:rPr>
                <w:rFonts w:ascii="Times New Roman" w:hAnsi="Times New Roman"/>
                <w:iCs/>
                <w:noProof/>
                <w:color w:val="000000" w:themeColor="text1"/>
              </w:rPr>
              <w:t xml:space="preserve">Μεταξύ Μαΐου και Οκτωβρίου 2020, η ΕΕ ολοκλήρωσε επιτυχώς 67 </w:t>
            </w:r>
            <w:r>
              <w:rPr>
                <w:rFonts w:ascii="Times New Roman" w:hAnsi="Times New Roman"/>
                <w:b/>
                <w:bCs/>
                <w:iCs/>
                <w:noProof/>
                <w:color w:val="000000" w:themeColor="text1"/>
              </w:rPr>
              <w:t>επιχειρήσεις ανθρωπιστικής αερογέφυρας της ΕΕ</w:t>
            </w:r>
            <w:r>
              <w:rPr>
                <w:rFonts w:ascii="Times New Roman" w:hAnsi="Times New Roman"/>
                <w:iCs/>
                <w:noProof/>
                <w:color w:val="000000" w:themeColor="text1"/>
              </w:rPr>
              <w:t xml:space="preserve"> σε 20 χώρες σε τέσσερις ηπείρους. Η πρωτοβουλία αυτή, η οποία χρηματοδοτήθηκε από τον προϋπολογισμό ανθρωπιστικής βοήθειας της ΕΕ, απέστειλε 1 150 τόνους βασικού ιατρικού και ανθρωπιστικού φορτίου και 1 700 μέλη ιατρικού και ανθρωπιστικού προσωπικού, καθώς και άλλους επιβάτες. </w:t>
            </w:r>
          </w:p>
        </w:tc>
      </w:tr>
    </w:tbl>
    <w:p>
      <w:pPr>
        <w:spacing w:after="0" w:line="240" w:lineRule="auto"/>
        <w:rPr>
          <w:rFonts w:ascii="Times New Roman" w:eastAsia="Times New Roman" w:hAnsi="Times New Roman" w:cs="Times New Roman"/>
          <w:noProof/>
          <w:color w:val="000000" w:themeColor="text1"/>
          <w:sz w:val="24"/>
          <w:szCs w:val="24"/>
        </w:rPr>
      </w:pPr>
    </w:p>
    <w:p>
      <w:pPr>
        <w:spacing w:after="0" w:line="240" w:lineRule="auto"/>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Η ικανότητα αυτή θα λειτουργεί συμπληρωματικά με τον </w:t>
      </w:r>
      <w:r>
        <w:rPr>
          <w:rFonts w:ascii="Times New Roman" w:hAnsi="Times New Roman"/>
          <w:b/>
          <w:bCs/>
          <w:noProof/>
          <w:color w:val="000000" w:themeColor="text1"/>
          <w:sz w:val="24"/>
          <w:szCs w:val="24"/>
        </w:rPr>
        <w:t>μηχανισμό πολιτικής προστασίας της Ένωσης</w:t>
      </w:r>
      <w:r>
        <w:rPr>
          <w:rFonts w:ascii="Times New Roman" w:hAnsi="Times New Roman"/>
          <w:noProof/>
          <w:color w:val="000000" w:themeColor="text1"/>
          <w:sz w:val="24"/>
          <w:szCs w:val="24"/>
        </w:rPr>
        <w:t xml:space="preserve"> και θα</w:t>
      </w:r>
      <w:r>
        <w:rPr>
          <w:rFonts w:ascii="Times New Roman" w:hAnsi="Times New Roman"/>
          <w:noProof/>
          <w:sz w:val="24"/>
          <w:szCs w:val="24"/>
        </w:rPr>
        <w:t xml:space="preserve"> βασίζεται στην επιχειρησιακή ετοιμότητα του </w:t>
      </w:r>
      <w:r>
        <w:rPr>
          <w:rFonts w:ascii="Times New Roman" w:hAnsi="Times New Roman"/>
          <w:b/>
          <w:bCs/>
          <w:noProof/>
          <w:sz w:val="24"/>
          <w:szCs w:val="24"/>
        </w:rPr>
        <w:t>Κέντρου Συντονισμού Αντιμετώπισης Εκτάκτων Αναγκών</w:t>
      </w:r>
      <w:r>
        <w:rPr>
          <w:rStyle w:val="FootnoteReference"/>
          <w:rFonts w:ascii="Times New Roman" w:eastAsia="Times New Roman" w:hAnsi="Times New Roman" w:cs="Times New Roman"/>
          <w:noProof/>
          <w:sz w:val="24"/>
          <w:szCs w:val="24"/>
          <w:lang w:val="en-US"/>
        </w:rPr>
        <w:footnoteReference w:id="38"/>
      </w:r>
      <w:r>
        <w:rPr>
          <w:rFonts w:ascii="Times New Roman" w:hAnsi="Times New Roman"/>
          <w:noProof/>
          <w:color w:val="000000" w:themeColor="text1"/>
          <w:sz w:val="24"/>
          <w:szCs w:val="24"/>
        </w:rPr>
        <w:t>της ΕΕ. Θα επιδιώξει να διευκολύνει περαιτέρω την ανθρωπιστική δράση των εταίρων της ΕΕ και των κρατών μελών και θα υλοποιηθεί σε στενό συντονισμό με τα κράτη μέλη. Όπου απαιτείται, η ικανότητα αυτή θα αποσκοπεί στη</w:t>
      </w:r>
      <w:r>
        <w:rPr>
          <w:rFonts w:ascii="Times New Roman" w:hAnsi="Times New Roman"/>
          <w:noProof/>
          <w:sz w:val="24"/>
          <w:szCs w:val="24"/>
        </w:rPr>
        <w:t xml:space="preserve"> διευκόλυνση της εφοδιαστικής, συμπεριλαμβανομένων των μεταφορών, </w:t>
      </w:r>
      <w:r>
        <w:rPr>
          <w:rFonts w:ascii="Times New Roman" w:hAnsi="Times New Roman"/>
          <w:noProof/>
          <w:color w:val="000000" w:themeColor="text1"/>
          <w:sz w:val="24"/>
          <w:szCs w:val="24"/>
        </w:rPr>
        <w:t>καθιστώντας δυνατή τη συγκέντρωση πόρων και διευκολύνοντας την ανάπτυξή τους και τις αρχικές τους επιχειρήσεις επιτόπου. Θα μπορούσε, για παράδειγμα, να προσφέρει υλικοτεχνικές αξιολογήσεις, στήριξη της αρχικής ανάπτυξης, στήριξη για προμήθειες, αποθήκευση, μεταφορά και/ή διανομή ειδών αρωγής, συμπεριλαμβανομένων των εμβολίων κατά της νόσου COVID-19 και της παράδοσής τους σε ευάλωτες χώρες</w:t>
      </w:r>
      <w:r>
        <w:rPr>
          <w:rStyle w:val="FootnoteReference"/>
          <w:rFonts w:ascii="Times New Roman" w:eastAsia="Times New Roman" w:hAnsi="Times New Roman" w:cs="Times New Roman"/>
          <w:noProof/>
          <w:color w:val="000000" w:themeColor="text1"/>
          <w:sz w:val="24"/>
          <w:szCs w:val="24"/>
          <w:lang w:val="en-US"/>
        </w:rPr>
        <w:footnoteReference w:id="39"/>
      </w:r>
      <w:r>
        <w:rPr>
          <w:rFonts w:ascii="Times New Roman" w:hAnsi="Times New Roman"/>
          <w:noProof/>
          <w:color w:val="000000" w:themeColor="text1"/>
          <w:sz w:val="24"/>
          <w:szCs w:val="24"/>
        </w:rPr>
        <w:t xml:space="preserve">. </w:t>
      </w:r>
      <w:r>
        <w:rPr>
          <w:rFonts w:ascii="Times New Roman" w:hAnsi="Times New Roman"/>
          <w:noProof/>
          <w:sz w:val="24"/>
          <w:szCs w:val="24"/>
        </w:rPr>
        <w:t>Θα μπορούσε επίσης να ενισχύσει περαιτέρω την ικανότητα ιατρικής παρέμβασης της ΕΕ για μελλοντικές καταστάσεις έκτακτης ανάγκης στον τομέα της υγείας, με βάση το υφιστάμενο Ιατρικό Σώμα της ΕΕ, σε συνεργασία, κατά περίπτωση, με τη μελλοντική ειδική ομάδα της ΕΕ για την υγεία</w:t>
      </w:r>
      <w:r>
        <w:rPr>
          <w:rStyle w:val="FootnoteReference"/>
          <w:rFonts w:ascii="Times New Roman" w:hAnsi="Times New Roman" w:cs="Times New Roman"/>
          <w:bCs/>
          <w:iCs/>
          <w:noProof/>
          <w:color w:val="000000"/>
          <w:sz w:val="24"/>
          <w:szCs w:val="24"/>
          <w:lang w:val="en-US"/>
        </w:rPr>
        <w:footnoteReference w:id="40"/>
      </w:r>
      <w:r>
        <w:rPr>
          <w:rFonts w:ascii="Times New Roman" w:hAnsi="Times New Roman"/>
          <w:noProof/>
          <w:sz w:val="24"/>
          <w:szCs w:val="24"/>
        </w:rPr>
        <w:t xml:space="preserve"> που θα συσταθεί υπό τον συντονισμό του Ευρωπαϊκού Κέντρου Πρόληψης και Ελέγχου Νόσων (ECDC) για να βοηθήσει την τοπική αντιμετώπιση επιδημιών μεταδοτικών νόσων σε συνέργεια με τον μηχανισμό πολιτικής προστασίας της Ένωσης και να ενισχύσει την ετοιμότητα στα κράτη μέλη και σε τρίτες χώρες.</w:t>
      </w:r>
      <w:r>
        <w:rPr>
          <w:rFonts w:ascii="Times New Roman" w:hAnsi="Times New Roman"/>
          <w:bCs/>
          <w:iCs/>
          <w:noProof/>
          <w:color w:val="000000"/>
          <w:sz w:val="24"/>
          <w:szCs w:val="24"/>
        </w:rPr>
        <w:t xml:space="preserve"> Επιπλέον, οι προσπάθειες αυτές θα είναι επίσης συμπληρωματικές προς άλλες πρωτοβουλίες της ΕΕ που μπορούν να συμβάλουν στη στήριξη της ανθρωπιστικής δράσης της ΕΕ, όπως η συμβολή εθελοντών μέσω του Ευρωπαϊκού Σώματος Αλληλεγγύης, το οποίο παρέχει ένα ενιαίο σημείο εισόδου για δραστηριότητες αλληλεγγύης σε ολόκληρη την Ένωση και πέραν αυτής</w:t>
      </w:r>
      <w:r>
        <w:rPr>
          <w:rStyle w:val="FootnoteReference"/>
          <w:rFonts w:ascii="Times New Roman" w:hAnsi="Times New Roman" w:cs="Times New Roman"/>
          <w:bCs/>
          <w:iCs/>
          <w:noProof/>
          <w:color w:val="000000"/>
          <w:sz w:val="24"/>
          <w:szCs w:val="24"/>
          <w:lang w:val="en-US"/>
        </w:rPr>
        <w:footnoteReference w:id="41"/>
      </w:r>
      <w:r>
        <w:rPr>
          <w:rFonts w:ascii="Times New Roman" w:hAnsi="Times New Roman"/>
          <w:bCs/>
          <w:iCs/>
          <w:noProof/>
          <w:color w:val="000000"/>
          <w:sz w:val="24"/>
          <w:szCs w:val="24"/>
        </w:rPr>
        <w:t>.</w:t>
      </w:r>
    </w:p>
    <w:p>
      <w:pPr>
        <w:spacing w:after="0" w:line="240" w:lineRule="auto"/>
        <w:rPr>
          <w:rFonts w:ascii="Times New Roman" w:eastAsia="Times New Roman" w:hAnsi="Times New Roman" w:cs="Times New Roman"/>
          <w:noProof/>
          <w:color w:val="000000" w:themeColor="text1"/>
          <w:sz w:val="24"/>
          <w:szCs w:val="24"/>
        </w:rPr>
      </w:pPr>
    </w:p>
    <w:p>
      <w:pPr>
        <w:spacing w:after="0" w:line="240" w:lineRule="auto"/>
        <w:rPr>
          <w:rFonts w:ascii="Times New Roman" w:eastAsia="Times New Roman" w:hAnsi="Times New Roman" w:cs="Times New Roman"/>
          <w:noProof/>
          <w:color w:val="000000" w:themeColor="text1"/>
          <w:sz w:val="24"/>
          <w:szCs w:val="24"/>
          <w:lang w:val="en-GB"/>
        </w:rPr>
      </w:pPr>
      <w:r>
        <w:rPr>
          <w:noProof/>
          <w:lang w:val="en-GB" w:eastAsia="en-GB"/>
        </w:rPr>
        <w:drawing>
          <wp:inline distT="0" distB="0" distL="0" distR="0">
            <wp:extent cx="5632450" cy="398017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3841" cy="3981158"/>
                    </a:xfrm>
                    <a:prstGeom prst="rect">
                      <a:avLst/>
                    </a:prstGeom>
                    <a:noFill/>
                    <a:ln>
                      <a:noFill/>
                    </a:ln>
                  </pic:spPr>
                </pic:pic>
              </a:graphicData>
            </a:graphic>
          </wp:inline>
        </w:drawing>
      </w:r>
    </w:p>
    <w:p>
      <w:pPr>
        <w:spacing w:after="0" w:line="240" w:lineRule="auto"/>
        <w:rPr>
          <w:rFonts w:ascii="Times New Roman" w:eastAsia="Times New Roman" w:hAnsi="Times New Roman" w:cs="Times New Roman"/>
          <w:noProof/>
          <w:color w:val="000000" w:themeColor="text1"/>
          <w:sz w:val="24"/>
          <w:szCs w:val="24"/>
        </w:rPr>
      </w:pPr>
    </w:p>
    <w:p>
      <w:pPr>
        <w:spacing w:after="0" w:line="240" w:lineRule="auto"/>
        <w:rPr>
          <w:rFonts w:ascii="Times New Roman" w:eastAsia="Times New Roman" w:hAnsi="Times New Roman" w:cs="Times New Roman"/>
          <w:noProof/>
          <w:color w:val="000000" w:themeColor="text1"/>
          <w:sz w:val="24"/>
          <w:szCs w:val="24"/>
          <w:lang w:val="en-US"/>
        </w:rPr>
      </w:pPr>
    </w:p>
    <w:p>
      <w:pPr>
        <w:spacing w:after="0" w:line="240" w:lineRule="auto"/>
        <w:rPr>
          <w:rFonts w:ascii="Times New Roman" w:eastAsia="Times New Roman" w:hAnsi="Times New Roman" w:cs="Times New Roman"/>
          <w:noProof/>
          <w:color w:val="000000" w:themeColor="text1"/>
          <w:sz w:val="24"/>
          <w:szCs w:val="24"/>
          <w:lang w:val="en-US"/>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Διασφάλιση ταχείας και αποτελεσματικής παροχής της ανθρωπιστικής βοήθειας της ΕΕ σε όσους την έχουν ανάγκη.</w:t>
            </w:r>
          </w:p>
          <w:p>
            <w:pPr>
              <w:jc w:val="both"/>
              <w:rPr>
                <w:rFonts w:ascii="Times New Roman" w:eastAsia="Times New Roman" w:hAnsi="Times New Roman" w:cs="Times New Roman"/>
                <w:i/>
                <w:iCs/>
                <w:noProof/>
                <w:sz w:val="24"/>
                <w:szCs w:val="24"/>
              </w:rPr>
            </w:pPr>
          </w:p>
          <w:p>
            <w:pPr>
              <w:jc w:val="both"/>
              <w:rPr>
                <w:rFonts w:ascii="Times New Roman" w:eastAsia="Times New Roman" w:hAnsi="Times New Roman" w:cs="Times New Roman"/>
                <w:b/>
                <w:i/>
                <w:iCs/>
                <w:noProof/>
                <w:sz w:val="24"/>
                <w:szCs w:val="24"/>
              </w:rPr>
            </w:pPr>
            <w:r>
              <w:rPr>
                <w:rFonts w:ascii="Times New Roman" w:hAnsi="Times New Roman"/>
                <w:b/>
                <w:i/>
                <w:iCs/>
                <w:noProof/>
                <w:sz w:val="24"/>
                <w:szCs w:val="24"/>
              </w:rPr>
              <w:t>Βασική δράση:</w:t>
            </w:r>
          </w:p>
          <w:p>
            <w:pPr>
              <w:pStyle w:val="ListParagraph"/>
              <w:numPr>
                <w:ilvl w:val="0"/>
                <w:numId w:val="3"/>
              </w:numPr>
              <w:jc w:val="both"/>
              <w:rPr>
                <w:rFonts w:ascii="Times New Roman" w:eastAsia="Times New Roman" w:hAnsi="Times New Roman" w:cs="Times New Roman"/>
                <w:i/>
                <w:noProof/>
                <w:sz w:val="24"/>
                <w:szCs w:val="24"/>
              </w:rPr>
            </w:pPr>
            <w:r>
              <w:rPr>
                <w:rFonts w:ascii="Times New Roman" w:hAnsi="Times New Roman"/>
                <w:i/>
                <w:iCs/>
                <w:noProof/>
                <w:sz w:val="24"/>
                <w:szCs w:val="24"/>
              </w:rPr>
              <w:t xml:space="preserve">Ανάπτυξη ικανότητας ευρωπαϊκής ανθρωπιστικής δράσης για την κάλυψη κενών, κατά περίπτωση, η οποία θα διευκολύνει τα κράτη μέλη της ΕΕ και τους εταίρους της στον τομέα της ανθρωπιστικής βοήθειας να παρέχουν ταχέως ανθρωπιστική βοήθεια, σε συντονισμό και συμπληρωματικά με τον μηχανισμό πολιτικής προστασίας της Ένωσης. </w:t>
            </w:r>
          </w:p>
        </w:tc>
      </w:tr>
    </w:tbl>
    <w:p>
      <w:pPr>
        <w:spacing w:after="0" w:line="240" w:lineRule="auto"/>
        <w:jc w:val="both"/>
        <w:rPr>
          <w:rFonts w:ascii="Times New Roman" w:hAnsi="Times New Roman" w:cs="Times New Roman"/>
          <w:i/>
          <w:iCs/>
          <w:noProof/>
          <w:sz w:val="24"/>
          <w:szCs w:val="24"/>
        </w:rPr>
      </w:pPr>
    </w:p>
    <w:p>
      <w:pPr>
        <w:spacing w:after="0" w:line="240" w:lineRule="auto"/>
        <w:jc w:val="both"/>
        <w:rPr>
          <w:rFonts w:ascii="Times New Roman" w:hAnsi="Times New Roman" w:cs="Times New Roman"/>
          <w:b/>
          <w:iCs/>
          <w:noProof/>
          <w:sz w:val="24"/>
          <w:szCs w:val="24"/>
        </w:rPr>
      </w:pPr>
      <w:r>
        <w:rPr>
          <w:rFonts w:ascii="Times New Roman" w:hAnsi="Times New Roman"/>
          <w:b/>
          <w:iCs/>
          <w:noProof/>
          <w:sz w:val="24"/>
          <w:szCs w:val="24"/>
        </w:rPr>
        <w:t>3.3. Μεγαλύτερη έμφαση στις κλιματικές επιπτώσεις και τους περιβαλλοντικούς παράγοντες: υποστήριξη, ετοιμότητα και προληπτική δράση</w:t>
      </w:r>
    </w:p>
    <w:p>
      <w:pPr>
        <w:spacing w:after="0" w:line="240" w:lineRule="auto"/>
        <w:jc w:val="both"/>
        <w:rPr>
          <w:rFonts w:ascii="Times New Roman" w:hAnsi="Times New Roman" w:cs="Times New Roman"/>
          <w:b/>
          <w:iCs/>
          <w:noProof/>
          <w:sz w:val="24"/>
          <w:szCs w:val="24"/>
        </w:rPr>
      </w:pPr>
    </w:p>
    <w:p>
      <w:pPr>
        <w:spacing w:after="0" w:line="240" w:lineRule="auto"/>
        <w:jc w:val="both"/>
        <w:rPr>
          <w:rFonts w:ascii="Times New Roman" w:hAnsi="Times New Roman" w:cs="Times New Roman"/>
          <w:noProof/>
          <w:spacing w:val="3"/>
          <w:sz w:val="24"/>
          <w:szCs w:val="24"/>
          <w:shd w:val="clear" w:color="auto" w:fill="FFFFFF"/>
        </w:rPr>
      </w:pPr>
      <w:r>
        <w:rPr>
          <w:rFonts w:ascii="Times New Roman" w:hAnsi="Times New Roman"/>
          <w:noProof/>
          <w:sz w:val="24"/>
          <w:szCs w:val="24"/>
        </w:rPr>
        <w:t>Η ετοιμότητα για την αντιμετώπιση καταστροφών αποτελεί ήδη αναπόσπαστο μέρος της ανθρωπιστικής δράσης της ΕΕ, με ειδικό προϋπολογισμό, και βασικό στοιχείο του μακροπρόθεσμου θεματολογίου της ΕΕ για τη μείωση του κινδύνου καταστροφών. Ωστόσο, οι αυξανόμενες επιπτώσεις της κλιματικής αλλαγής και της υποβάθμισης του περιβάλλοντος θέτουν σε κίνδυνο την επιτυχία της ίδιας της ανθρωπιστικής δράσης</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Η κλιματική αλλαγή όχι μόνο ενισχύει τις φυσικές καταστροφές, αλλά αποτελεί και πολλαπλασιαστή απειλών</w:t>
      </w:r>
      <w:r>
        <w:rPr>
          <w:rStyle w:val="FootnoteReference"/>
          <w:rFonts w:ascii="Times New Roman" w:eastAsia="Times New Roman" w:hAnsi="Times New Roman" w:cs="Times New Roman"/>
          <w:noProof/>
          <w:sz w:val="24"/>
          <w:szCs w:val="24"/>
          <w:lang w:val="en-IE"/>
        </w:rPr>
        <w:footnoteReference w:id="43"/>
      </w:r>
      <w:r>
        <w:rPr>
          <w:rFonts w:ascii="Times New Roman" w:hAnsi="Times New Roman"/>
          <w:noProof/>
          <w:sz w:val="24"/>
          <w:szCs w:val="24"/>
        </w:rPr>
        <w:t xml:space="preserve"> που περιπλέκει και παρατείνει τις καταστάσεις συγκρούσεων, αυξάνοντας έτσι τις ανθρωπιστικές ανάγκες. Ως εκ τούτου, είναι σημαντικό να διασφαλιστεί ότι οι παράμετροι που αφορούν το </w:t>
      </w:r>
      <w:r>
        <w:rPr>
          <w:rFonts w:ascii="Times New Roman" w:hAnsi="Times New Roman"/>
          <w:noProof/>
          <w:sz w:val="24"/>
          <w:szCs w:val="24"/>
          <w:shd w:val="clear" w:color="auto" w:fill="FFFFFF"/>
        </w:rPr>
        <w:t xml:space="preserve">κλίμα και το περιβάλλον (συμπεριλαμβανομένης της ευαισθητοποίησης σχετικά με τους κινδύνους) λαμβάνονται υπόψη στην ανθρωπιστική δράση οπουδήποτε και όποτε παρέχεται, με ιδιαίτερη έμφαση στη στήριξη της προσαρμογής στην κλιματική αλλαγή και της περιβαλλοντικής ανθεκτικότητας στο πλαίσιο του προγραμματισμού ανθρωπιστικής βοήθειας στις χώρες και τις περιοχές που είναι πιο επιρρεπείς σε καταστροφές.  </w:t>
      </w:r>
    </w:p>
    <w:p>
      <w:pPr>
        <w:spacing w:after="0" w:line="240" w:lineRule="auto"/>
        <w:jc w:val="both"/>
        <w:rPr>
          <w:rFonts w:ascii="Times New Roman" w:hAnsi="Times New Roman" w:cs="Times New Roman"/>
          <w:noProof/>
          <w:spacing w:val="3"/>
          <w:sz w:val="24"/>
          <w:szCs w:val="24"/>
          <w:shd w:val="clear" w:color="auto" w:fill="FFFFFF"/>
        </w:rPr>
      </w:pP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Ειδικότερα, </w:t>
      </w:r>
      <w:r>
        <w:rPr>
          <w:rFonts w:ascii="Times New Roman" w:hAnsi="Times New Roman"/>
          <w:b/>
          <w:bCs/>
          <w:noProof/>
          <w:sz w:val="24"/>
          <w:szCs w:val="24"/>
          <w:shd w:val="clear" w:color="auto" w:fill="FFFFFF"/>
        </w:rPr>
        <w:t>οι προληπτικές προσεγγίσεις της</w:t>
      </w:r>
      <w:r>
        <w:rPr>
          <w:rStyle w:val="FootnoteReference"/>
          <w:rFonts w:ascii="Times New Roman" w:hAnsi="Times New Roman" w:cs="Times New Roman"/>
          <w:noProof/>
          <w:spacing w:val="3"/>
          <w:sz w:val="24"/>
          <w:szCs w:val="24"/>
          <w:shd w:val="clear" w:color="auto" w:fill="FFFFFF"/>
          <w:lang w:val="en-US"/>
        </w:rPr>
        <w:footnoteReference w:id="44"/>
      </w:r>
      <w:r>
        <w:rPr>
          <w:rFonts w:ascii="Times New Roman" w:hAnsi="Times New Roman"/>
          <w:b/>
          <w:bCs/>
          <w:noProof/>
          <w:sz w:val="24"/>
          <w:szCs w:val="24"/>
          <w:shd w:val="clear" w:color="auto" w:fill="FFFFFF"/>
        </w:rPr>
        <w:t xml:space="preserve"> ανθρωπιστικής δράσης μπορούν να συμβάλουν στην ενίσχυση της ανθεκτικότητας των κοινοτήτων, συμπεριλαμβανομένων των εκτοπισμένων ομάδων, σε περιοχές που είναι ευάλωτες και επιρρεπείς σε καταστροφές σχετιζόμενες με το κλίμα και σε λοιπούς κινδύνους. </w:t>
      </w:r>
      <w:r>
        <w:rPr>
          <w:rFonts w:ascii="Times New Roman" w:hAnsi="Times New Roman"/>
          <w:noProof/>
          <w:sz w:val="24"/>
          <w:szCs w:val="24"/>
          <w:shd w:val="clear" w:color="auto" w:fill="FFFFFF"/>
        </w:rPr>
        <w:t xml:space="preserve">Η αποτελεσματικότητα των προσεγγίσεων αυτών εξαρτάται από την ύπαρξη επαρκώς αξιόπιστων πληροφοριών </w:t>
      </w:r>
      <w:r>
        <w:rPr>
          <w:rFonts w:ascii="Times New Roman" w:hAnsi="Times New Roman"/>
          <w:noProof/>
          <w:sz w:val="24"/>
          <w:szCs w:val="24"/>
        </w:rPr>
        <w:t>μέσω συστημάτων έγκαιρης προειδοποίησης</w:t>
      </w:r>
      <w:r>
        <w:rPr>
          <w:rStyle w:val="FootnoteReference"/>
          <w:rFonts w:ascii="Times New Roman" w:eastAsia="Times New Roman" w:hAnsi="Times New Roman" w:cs="Times New Roman"/>
          <w:noProof/>
          <w:sz w:val="24"/>
          <w:szCs w:val="24"/>
        </w:rPr>
        <w:footnoteReference w:id="45"/>
      </w:r>
      <w:r>
        <w:rPr>
          <w:rFonts w:ascii="Times New Roman" w:hAnsi="Times New Roman"/>
          <w:noProof/>
          <w:sz w:val="24"/>
          <w:szCs w:val="24"/>
        </w:rPr>
        <w:t xml:space="preserve">, συμπεριλαμβανομένων δεικτών ή άλλων κριτηρίων για την ανάληψη δράσης. Βασιζόμενη σε περισσότερες συμπράξεις με τις κοινότητες που ασχολούνται με το κλίμα και τις επιστημονικές κοινότητες, η ΕΕ θα </w:t>
      </w:r>
      <w:r>
        <w:rPr>
          <w:rFonts w:ascii="Times New Roman" w:hAnsi="Times New Roman"/>
          <w:b/>
          <w:noProof/>
          <w:sz w:val="24"/>
          <w:szCs w:val="24"/>
        </w:rPr>
        <w:t>αυξήσει τη χρήση αυτών των προσεγγίσεων</w:t>
      </w:r>
      <w:r>
        <w:rPr>
          <w:rFonts w:ascii="Times New Roman" w:hAnsi="Times New Roman"/>
          <w:noProof/>
          <w:sz w:val="24"/>
          <w:szCs w:val="24"/>
        </w:rPr>
        <w:t>. Η ΕΕ θα αξιοποιήσει επίσης την προεδρία της πλατφόρμας για τις εκτοπίσεις λόγω φυσικών καταστροφών που θα αναλάβει το 2022, για να προωθήσει τις παγκόσμιες προσπάθειες με σκοπό την προστασία των εκτοπισθέντων από καταστροφές και την κλιματική αλλαγή.</w:t>
      </w: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eastAsia="Times New Roman" w:hAnsi="Times New Roman" w:cs="Times New Roman"/>
                <w:iCs/>
                <w:noProof/>
              </w:rPr>
            </w:pPr>
            <w:r>
              <w:rPr>
                <w:rFonts w:ascii="Times New Roman" w:hAnsi="Times New Roman"/>
                <w:iCs/>
                <w:noProof/>
              </w:rPr>
              <w:t>Τον Ιούλιο του 2020, οι προβλέψεις που παρασχέθηκαν από το παγκόσμιο σύστημα προειδοποίησης για τις πλημμύρες στο πλαίσιο της υπηρεσίας διαχείρισης καταστάσεων έκτακτης ανάγκης Copernicus της ΕΕ (ένα εργαλείο διαθέσιμο για τον μηχανισμό πολιτικής προστασίας της Ένωσης) έδωσαν τη δυνατότητα στους ανθρωπιστικούς εταίρους στο Μπανγκλαντές</w:t>
            </w:r>
            <w:r>
              <w:rPr>
                <w:rStyle w:val="FootnoteReference"/>
                <w:rFonts w:ascii="Times New Roman" w:eastAsia="Times New Roman" w:hAnsi="Times New Roman" w:cs="Times New Roman"/>
                <w:iCs/>
                <w:noProof/>
                <w:lang w:val="en-IE"/>
              </w:rPr>
              <w:footnoteReference w:id="46"/>
            </w:r>
            <w:r>
              <w:rPr>
                <w:rFonts w:ascii="Times New Roman" w:hAnsi="Times New Roman"/>
                <w:iCs/>
                <w:noProof/>
              </w:rPr>
              <w:t xml:space="preserve"> να δράσουν γρήγορα για την αντιμετώπιση σοβαρών πλημμυρών, παρέχοντας χρηματική βοήθεια σε 3 300 οικογένειες σε περιοχές που επλήγησαν περισσότερο.</w:t>
            </w:r>
          </w:p>
        </w:tc>
      </w:tr>
    </w:tbl>
    <w:p>
      <w:pPr>
        <w:spacing w:after="0" w:line="240" w:lineRule="auto"/>
        <w:jc w:val="both"/>
        <w:rPr>
          <w:rFonts w:ascii="Times New Roman" w:hAnsi="Times New Roman" w:cs="Times New Roman"/>
          <w:noProof/>
          <w:spacing w:val="3"/>
          <w:sz w:val="24"/>
          <w:szCs w:val="24"/>
          <w:shd w:val="clear" w:color="auto" w:fill="FFFFFF"/>
        </w:rPr>
      </w:pPr>
    </w:p>
    <w:p>
      <w:pPr>
        <w:spacing w:before="120"/>
        <w:jc w:val="both"/>
        <w:rPr>
          <w:rFonts w:ascii="Times New Roman" w:eastAsia="Times New Roman" w:hAnsi="Times New Roman" w:cs="Times New Roman"/>
          <w:noProof/>
          <w:sz w:val="24"/>
          <w:szCs w:val="24"/>
        </w:rPr>
      </w:pPr>
    </w:p>
    <w:p>
      <w:pPr>
        <w:spacing w:before="120"/>
        <w:jc w:val="both"/>
        <w:rPr>
          <w:rFonts w:ascii="Times New Roman" w:eastAsia="Times New Roman" w:hAnsi="Times New Roman" w:cs="Times New Roman"/>
          <w:noProof/>
          <w:sz w:val="24"/>
          <w:szCs w:val="24"/>
        </w:rPr>
      </w:pPr>
      <w:r>
        <w:rPr>
          <w:noProof/>
          <w:lang w:val="en-GB" w:eastAsia="en-GB"/>
        </w:rPr>
        <w:drawing>
          <wp:inline distT="0" distB="0" distL="0" distR="0">
            <wp:extent cx="5343525" cy="37788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3778885"/>
                    </a:xfrm>
                    <a:prstGeom prst="rect">
                      <a:avLst/>
                    </a:prstGeom>
                    <a:noFill/>
                    <a:ln>
                      <a:noFill/>
                    </a:ln>
                  </pic:spPr>
                </pic:pic>
              </a:graphicData>
            </a:graphic>
          </wp:inline>
        </w:drawing>
      </w:r>
    </w:p>
    <w:p>
      <w:pPr>
        <w:spacing w:before="120"/>
        <w:jc w:val="both"/>
        <w:rPr>
          <w:rFonts w:ascii="Times New Roman" w:eastAsia="Times New Roman" w:hAnsi="Times New Roman" w:cs="Times New Roman"/>
          <w:noProof/>
          <w:sz w:val="24"/>
          <w:szCs w:val="24"/>
        </w:rPr>
      </w:pPr>
      <w:r>
        <w:rPr>
          <w:rFonts w:ascii="Times New Roman" w:hAnsi="Times New Roman"/>
          <w:noProof/>
          <w:sz w:val="24"/>
          <w:szCs w:val="24"/>
        </w:rPr>
        <w:t>Παρά τον αυξανόμενο ανθρωπιστικό αντίκτυπο της κλιματικής αλλαγής, ένα πολύ μικρό μέρος της παγκόσμιας χρηματοδότησης για την αντιμετώπιση της κλιματικής αλλαγής διατίθεται στις πλέον ευάλωτες χώρες</w:t>
      </w:r>
      <w:r>
        <w:rPr>
          <w:rStyle w:val="FootnoteReference"/>
          <w:rFonts w:ascii="Times New Roman" w:eastAsia="Times New Roman" w:hAnsi="Times New Roman" w:cs="Times New Roman"/>
          <w:noProof/>
          <w:sz w:val="24"/>
          <w:szCs w:val="24"/>
          <w:lang w:val="en-US"/>
        </w:rPr>
        <w:footnoteReference w:id="47"/>
      </w:r>
      <w:r>
        <w:rPr>
          <w:rFonts w:ascii="Times New Roman" w:hAnsi="Times New Roman"/>
          <w:noProof/>
          <w:sz w:val="24"/>
          <w:szCs w:val="24"/>
        </w:rPr>
        <w:t xml:space="preserve">. Υπάρχει επείγουσα ανάγκη για πρόσθετη διεθνή χρηματοδότηση για την προσαρμογή στην κλιματική αλλαγή, τόσο από δημόσιες όσο και από ιδιωτικές πηγές. Για να αποφευχθεί μεγαλύτερη επιβάρυνση του συστήματος ανθρωπιστικής βοήθειας, η ΕΕ θα συνεχίσει να </w:t>
      </w:r>
      <w:r>
        <w:rPr>
          <w:rFonts w:ascii="Times New Roman" w:hAnsi="Times New Roman"/>
          <w:b/>
          <w:bCs/>
          <w:noProof/>
          <w:sz w:val="24"/>
          <w:szCs w:val="24"/>
        </w:rPr>
        <w:t>υποστηρίζει τη διάθεση σημαντικά περισσότερων κονδυλίων για το κλίμα με σκοπό την ενίσχυση της ανθεκτικότητας και της προσαρμογής, όπου χρειάζεται περισσότερο</w:t>
      </w:r>
      <w:r>
        <w:rPr>
          <w:rFonts w:ascii="Times New Roman" w:hAnsi="Times New Roman"/>
          <w:noProof/>
          <w:sz w:val="24"/>
          <w:szCs w:val="24"/>
        </w:rPr>
        <w:t>.</w:t>
      </w:r>
      <w:r>
        <w:rPr>
          <w:rFonts w:ascii="Times New Roman" w:hAnsi="Times New Roman"/>
          <w:noProof/>
          <w:sz w:val="16"/>
          <w:szCs w:val="16"/>
        </w:rPr>
        <w:t xml:space="preserve"> </w:t>
      </w:r>
      <w:r>
        <w:rPr>
          <w:rFonts w:ascii="Times New Roman" w:hAnsi="Times New Roman"/>
          <w:noProof/>
          <w:sz w:val="24"/>
          <w:szCs w:val="24"/>
        </w:rPr>
        <w:t xml:space="preserve"> Αυτό μπορεί να καταστεί αποτελεσματικό μόνο μέσω μιας ολοκληρωμένης προσέγγισης για την κλιματική και περιβαλλοντική ανθεκτικότητα στην οποία συμμετέχουν φορείς ανθρωπιστικής, αναπτυξιακής και ειρηνευτικής δράσης με έμφαση στην πρόληψη και την ετοιμότητα, με βάση την εμπειρογνωσία της πολιτικής για το κλίμα και το περιβάλλον και των επιστημονικών κοινοτήτων</w:t>
      </w:r>
      <w:r>
        <w:rPr>
          <w:rStyle w:val="FootnoteReference"/>
          <w:rFonts w:ascii="Times New Roman" w:eastAsia="Times New Roman" w:hAnsi="Times New Roman" w:cs="Times New Roman"/>
          <w:noProof/>
          <w:sz w:val="24"/>
          <w:szCs w:val="24"/>
          <w:lang w:val="en-US"/>
        </w:rPr>
        <w:footnoteReference w:id="48"/>
      </w:r>
      <w:r>
        <w:rPr>
          <w:rFonts w:ascii="Times New Roman" w:hAnsi="Times New Roman"/>
          <w:noProof/>
          <w:sz w:val="24"/>
          <w:szCs w:val="24"/>
        </w:rPr>
        <w:t>.</w:t>
      </w:r>
    </w:p>
    <w:p>
      <w:pPr>
        <w:spacing w:before="120"/>
        <w:jc w:val="both"/>
        <w:rPr>
          <w:noProof/>
        </w:rPr>
      </w:pPr>
      <w:r>
        <w:rPr>
          <w:rFonts w:ascii="Times New Roman" w:hAnsi="Times New Roman"/>
          <w:noProof/>
          <w:sz w:val="24"/>
          <w:szCs w:val="24"/>
        </w:rPr>
        <w:t xml:space="preserve">Μολονότι η ανθρωπιστική βοήθεια δεν υπόκειται στον στόχο του 30 % για την ενσωμάτωση της διάστασης του κλίματος στο πλαίσιο του πολυετούς δημοσιονομικού πλαισίου της ΕΕ για την περίοδο 2021-2027, ωστόσο, συμβάλλει στη δράση για το κλίμα. Ως συμβολή στις συνολικές προσπάθειες παρακολούθησης των δαπανών της ΕΕ που σχετίζονται με το κλίμα, η Επιτροπή θα εφαρμόσει οικειοθελώς την </w:t>
      </w:r>
      <w:r>
        <w:rPr>
          <w:rFonts w:ascii="Times New Roman" w:hAnsi="Times New Roman"/>
          <w:b/>
          <w:noProof/>
          <w:sz w:val="24"/>
          <w:szCs w:val="24"/>
        </w:rPr>
        <w:t>παρακολούθηση αυτή στην ανθρωπιστική βοήθεια της ΕΕ.</w:t>
      </w:r>
    </w:p>
    <w:p>
      <w:pPr>
        <w:spacing w:after="0" w:line="240" w:lineRule="auto"/>
        <w:jc w:val="both"/>
        <w:rPr>
          <w:rFonts w:ascii="Times New Roman" w:eastAsia="Times New Roman" w:hAnsi="Times New Roman" w:cs="Times New Roman"/>
          <w:iCs/>
          <w:noProof/>
          <w:sz w:val="24"/>
          <w:szCs w:val="24"/>
        </w:rPr>
      </w:pPr>
      <w:r>
        <w:rPr>
          <w:rFonts w:ascii="Times New Roman" w:hAnsi="Times New Roman"/>
          <w:noProof/>
          <w:sz w:val="24"/>
          <w:szCs w:val="24"/>
        </w:rPr>
        <w:t xml:space="preserve">Οι χορηγοί και οι φορείς ανθρωπιστικής βοήθειας θα πρέπει να δίνουν το παράδειγμα. Ως εκ τούτου, η ΕΕ θα </w:t>
      </w:r>
      <w:r>
        <w:rPr>
          <w:rFonts w:ascii="Times New Roman" w:hAnsi="Times New Roman"/>
          <w:b/>
          <w:bCs/>
          <w:noProof/>
          <w:sz w:val="24"/>
          <w:szCs w:val="24"/>
        </w:rPr>
        <w:t>στηρίξει επίσης τις προσπάθειες των εταίρων στον τομέα της ανθρωπιστικής βοήθειας να μειώσουν το περιβαλλοντικό τους αποτύπωμα.</w:t>
      </w:r>
      <w:r>
        <w:rPr>
          <w:rFonts w:ascii="Times New Roman" w:hAnsi="Times New Roman"/>
          <w:noProof/>
          <w:sz w:val="24"/>
          <w:szCs w:val="24"/>
        </w:rPr>
        <w:t xml:space="preserve"> Παράλληλα, η Επιτροπή θα </w:t>
      </w:r>
      <w:r>
        <w:rPr>
          <w:rFonts w:ascii="Times New Roman" w:hAnsi="Times New Roman"/>
          <w:b/>
          <w:bCs/>
          <w:noProof/>
          <w:sz w:val="24"/>
          <w:szCs w:val="24"/>
        </w:rPr>
        <w:t>συνεχίσει τη διαδικασία του «οικολογικού προσανατολισμού» του δικτύου της στον ανθρωπιστικό τομέα (ECHOField) και των κεντρικών γραφείων του</w:t>
      </w:r>
      <w:r>
        <w:rPr>
          <w:rStyle w:val="FootnoteReference"/>
          <w:rFonts w:ascii="Times New Roman" w:eastAsia="Times New Roman" w:hAnsi="Times New Roman" w:cs="Times New Roman"/>
          <w:noProof/>
          <w:sz w:val="24"/>
          <w:szCs w:val="24"/>
          <w:lang w:val="en-IE"/>
        </w:rPr>
        <w:footnoteReference w:id="49"/>
      </w:r>
      <w:r>
        <w:rPr>
          <w:rFonts w:ascii="Times New Roman" w:hAnsi="Times New Roman"/>
          <w:noProof/>
          <w:sz w:val="24"/>
          <w:szCs w:val="24"/>
        </w:rPr>
        <w:t xml:space="preserve"> </w:t>
      </w:r>
      <w:r>
        <w:rPr>
          <w:rFonts w:ascii="Times New Roman" w:hAnsi="Times New Roman"/>
          <w:iCs/>
          <w:noProof/>
          <w:sz w:val="24"/>
          <w:szCs w:val="24"/>
        </w:rPr>
        <w:t xml:space="preserve">προς στήριξη της </w:t>
      </w:r>
      <w:r>
        <w:rPr>
          <w:rFonts w:ascii="Times New Roman" w:hAnsi="Times New Roman"/>
          <w:b/>
          <w:bCs/>
          <w:iCs/>
          <w:noProof/>
          <w:sz w:val="24"/>
          <w:szCs w:val="24"/>
        </w:rPr>
        <w:t>Ευρωπαϊκής Πράσινης Συμφωνίας</w:t>
      </w:r>
      <w:r>
        <w:rPr>
          <w:rStyle w:val="FootnoteReference"/>
          <w:rFonts w:ascii="Times New Roman" w:eastAsia="Times New Roman" w:hAnsi="Times New Roman" w:cs="Times New Roman"/>
          <w:b/>
          <w:bCs/>
          <w:iCs/>
          <w:noProof/>
          <w:sz w:val="24"/>
          <w:szCs w:val="24"/>
          <w:lang w:val="en-IE"/>
        </w:rPr>
        <w:footnoteReference w:id="50"/>
      </w:r>
      <w:r>
        <w:rPr>
          <w:rFonts w:ascii="Times New Roman" w:hAnsi="Times New Roman"/>
          <w:iCs/>
          <w:noProof/>
          <w:sz w:val="24"/>
          <w:szCs w:val="24"/>
        </w:rPr>
        <w:t>.</w:t>
      </w:r>
    </w:p>
    <w:p>
      <w:pPr>
        <w:spacing w:after="0" w:line="240" w:lineRule="auto"/>
        <w:jc w:val="both"/>
        <w:rPr>
          <w:rFonts w:ascii="Times New Roman" w:eastAsia="Times New Roman" w:hAnsi="Times New Roman" w:cs="Times New Roman"/>
          <w:iCs/>
          <w:noProof/>
          <w:sz w:val="24"/>
          <w:szCs w:val="24"/>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Περαιτέρω ενσωμάτωση των επιπτώσεων της κλιματικής αλλαγής και των περιβαλλοντικών παραγόντων στην πολιτική και την πρακτική της ανθρωπιστικής βοήθειας και ενίσχυση του συντονισμού με τους φορείς ανάπτυξης, ασφάλειας και κλίματος/περιβάλλοντος για την οικοδόμηση ανθεκτικότητας των ευάλωτων κοινοτήτων.</w:t>
            </w:r>
          </w:p>
          <w:p>
            <w:pPr>
              <w:jc w:val="both"/>
              <w:rPr>
                <w:rFonts w:ascii="Times New Roman" w:eastAsia="Times New Roman" w:hAnsi="Times New Roman" w:cs="Times New Roman"/>
                <w:b/>
                <w:i/>
                <w:iCs/>
                <w:noProof/>
                <w:sz w:val="24"/>
                <w:szCs w:val="24"/>
              </w:rPr>
            </w:pPr>
          </w:p>
          <w:p>
            <w:pPr>
              <w:jc w:val="both"/>
              <w:rPr>
                <w:rFonts w:ascii="Times New Roman" w:hAnsi="Times New Roman" w:cs="Times New Roman"/>
                <w:b/>
                <w:i/>
                <w:noProof/>
                <w:sz w:val="24"/>
              </w:rPr>
            </w:pPr>
            <w:r>
              <w:rPr>
                <w:rFonts w:ascii="Times New Roman" w:hAnsi="Times New Roman"/>
                <w:b/>
                <w:i/>
                <w:noProof/>
                <w:sz w:val="24"/>
              </w:rPr>
              <w:t>Βασικές δράσεις:</w:t>
            </w:r>
          </w:p>
          <w:p>
            <w:pPr>
              <w:pStyle w:val="ListParagraph"/>
              <w:numPr>
                <w:ilvl w:val="0"/>
                <w:numId w:val="3"/>
              </w:numPr>
              <w:jc w:val="both"/>
              <w:rPr>
                <w:rFonts w:ascii="Times New Roman" w:hAnsi="Times New Roman" w:cs="Times New Roman"/>
                <w:i/>
                <w:noProof/>
                <w:sz w:val="24"/>
                <w:szCs w:val="24"/>
              </w:rPr>
            </w:pPr>
            <w:r>
              <w:rPr>
                <w:rFonts w:ascii="Times New Roman" w:hAnsi="Times New Roman"/>
                <w:i/>
                <w:iCs/>
                <w:noProof/>
                <w:sz w:val="24"/>
                <w:szCs w:val="24"/>
                <w:shd w:val="clear" w:color="auto" w:fill="FFFFFF"/>
              </w:rPr>
              <w:t xml:space="preserve">Σημαντική αύξηση του μεριδίου των κονδυλίων για το κλίμα που προορίζονται για την ενίσχυση της ανθεκτικότητας και της προσαρμογής στις πλέον επιρρεπείς σε καταστροφές χώρες και περιοχές, σύμφωνα με τη νέα στρατηγική της ΕΕ για την προσαρμογή στην κλιματική αλλαγή και στο πλαίσιο της προσέγγισης βάσει συσχετισμού ανθρωπιστικής βοήθειας, ανάπτυξης και ειρήνης. </w:t>
            </w:r>
          </w:p>
          <w:p>
            <w:pPr>
              <w:pStyle w:val="ListParagraph"/>
              <w:numPr>
                <w:ilvl w:val="0"/>
                <w:numId w:val="3"/>
              </w:numPr>
              <w:jc w:val="both"/>
              <w:rPr>
                <w:rFonts w:ascii="Times New Roman" w:hAnsi="Times New Roman" w:cs="Times New Roman"/>
                <w:i/>
                <w:iCs/>
                <w:noProof/>
                <w:sz w:val="24"/>
                <w:szCs w:val="24"/>
              </w:rPr>
            </w:pPr>
            <w:r>
              <w:rPr>
                <w:rFonts w:ascii="Times New Roman" w:hAnsi="Times New Roman"/>
                <w:i/>
                <w:iCs/>
                <w:noProof/>
                <w:sz w:val="24"/>
                <w:szCs w:val="24"/>
              </w:rPr>
              <w:t>Ενίσχυση της κλιματικής και περιβαλλοντικής ανθεκτικότητας</w:t>
            </w:r>
            <w:r>
              <w:rPr>
                <w:rFonts w:ascii="Times New Roman" w:hAnsi="Times New Roman"/>
                <w:i/>
                <w:iCs/>
                <w:noProof/>
                <w:sz w:val="24"/>
                <w:szCs w:val="24"/>
                <w:shd w:val="clear" w:color="auto" w:fill="FFFFFF"/>
              </w:rPr>
              <w:t xml:space="preserve"> των ευάλωτων πληθυσμών</w:t>
            </w:r>
            <w:r>
              <w:rPr>
                <w:rFonts w:ascii="Times New Roman" w:hAnsi="Times New Roman"/>
                <w:i/>
                <w:iCs/>
                <w:noProof/>
                <w:sz w:val="24"/>
                <w:szCs w:val="24"/>
              </w:rPr>
              <w:t xml:space="preserve">, μέσω </w:t>
            </w:r>
            <w:r>
              <w:rPr>
                <w:rFonts w:ascii="Times New Roman" w:hAnsi="Times New Roman"/>
                <w:i/>
                <w:iCs/>
                <w:noProof/>
                <w:sz w:val="24"/>
                <w:szCs w:val="24"/>
                <w:shd w:val="clear" w:color="auto" w:fill="FFFFFF"/>
              </w:rPr>
              <w:t>της προσέγγισης βάσει συσχετισμού ανθρωπιστικής βοήθειας, ανάπτυξης και ειρήνης</w:t>
            </w:r>
            <w:r>
              <w:rPr>
                <w:rFonts w:ascii="Times New Roman" w:hAnsi="Times New Roman"/>
                <w:i/>
                <w:iCs/>
                <w:noProof/>
                <w:sz w:val="24"/>
                <w:szCs w:val="24"/>
              </w:rPr>
              <w:t xml:space="preserve"> και διασφάλιση της διάδοσης και της εφαρμογής νέων κατευθυντήριων γραμμών σχετικά με την ετοιμότητα για την αντιμετώπιση καταστροφών μεταξύ των ανθρωπιστικών εταίρων της ΕΕ, σε στενό συντονισμό με τους αναπτυξιακούς φορείς και τους φορείς για κλίμα. </w:t>
            </w:r>
          </w:p>
          <w:p>
            <w:pPr>
              <w:pStyle w:val="ListParagraph"/>
              <w:numPr>
                <w:ilvl w:val="0"/>
                <w:numId w:val="3"/>
              </w:numPr>
              <w:jc w:val="both"/>
              <w:rPr>
                <w:rFonts w:ascii="Times New Roman" w:hAnsi="Times New Roman" w:cs="Times New Roman"/>
                <w:i/>
                <w:noProof/>
                <w:sz w:val="24"/>
                <w:szCs w:val="24"/>
              </w:rPr>
            </w:pPr>
            <w:r>
              <w:rPr>
                <w:rFonts w:ascii="Times New Roman" w:hAnsi="Times New Roman"/>
                <w:i/>
                <w:iCs/>
                <w:noProof/>
                <w:sz w:val="24"/>
                <w:szCs w:val="24"/>
              </w:rPr>
              <w:t xml:space="preserve">Περαιτέρω ανάπτυξη και εφαρμογή προσεγγίσεων που λαμβάνουν υπόψη τον κίνδυνο, συμπεριλαμβανομένης της χρηματοδότησης κινδύνου και της κλιμάκωσης της προληπτικής δράσης σε διάφορα ανθρωπιστικά πλαίσια και περιοχές. </w:t>
            </w:r>
          </w:p>
          <w:p>
            <w:pPr>
              <w:pStyle w:val="ListParagraph"/>
              <w:numPr>
                <w:ilvl w:val="0"/>
                <w:numId w:val="3"/>
              </w:numPr>
              <w:jc w:val="both"/>
              <w:rPr>
                <w:noProof/>
                <w:sz w:val="24"/>
                <w:szCs w:val="24"/>
              </w:rPr>
            </w:pPr>
            <w:r>
              <w:rPr>
                <w:rFonts w:ascii="Times New Roman" w:hAnsi="Times New Roman"/>
                <w:i/>
                <w:iCs/>
                <w:noProof/>
                <w:sz w:val="24"/>
                <w:szCs w:val="24"/>
              </w:rPr>
              <w:t>Κατάρτιση κατευθυντήριων γραμμών και προετοιμασία κατάρτισης</w:t>
            </w:r>
            <w:r>
              <w:rPr>
                <w:i/>
                <w:iCs/>
                <w:noProof/>
                <w:sz w:val="24"/>
                <w:szCs w:val="24"/>
              </w:rPr>
              <w:t xml:space="preserve"> </w:t>
            </w:r>
            <w:r>
              <w:rPr>
                <w:rFonts w:ascii="Times New Roman" w:hAnsi="Times New Roman"/>
                <w:i/>
                <w:iCs/>
                <w:noProof/>
                <w:sz w:val="24"/>
                <w:szCs w:val="24"/>
              </w:rPr>
              <w:t>για τους εταίρους της ΕΕ στον τομέα της ανθρωπιστικής βοήθειας</w:t>
            </w:r>
            <w:r>
              <w:rPr>
                <w:i/>
                <w:iCs/>
                <w:noProof/>
                <w:sz w:val="24"/>
                <w:szCs w:val="24"/>
              </w:rPr>
              <w:t xml:space="preserve"> </w:t>
            </w:r>
            <w:r>
              <w:rPr>
                <w:rFonts w:ascii="Times New Roman" w:hAnsi="Times New Roman"/>
                <w:i/>
                <w:iCs/>
                <w:noProof/>
                <w:sz w:val="24"/>
                <w:szCs w:val="24"/>
              </w:rPr>
              <w:t xml:space="preserve">σχετικά με τον οικολογικό προσανατολισμό της ανθρωπιστικής βοήθειας, με στόχο τη μείωση του κλιματικού και περιβαλλοντικού αποτυπώματος της ανθρωπιστικής βοήθειας. </w:t>
            </w:r>
          </w:p>
          <w:p>
            <w:pPr>
              <w:pStyle w:val="ListParagraph"/>
              <w:numPr>
                <w:ilvl w:val="0"/>
                <w:numId w:val="3"/>
              </w:numPr>
              <w:jc w:val="both"/>
              <w:rPr>
                <w:rFonts w:ascii="Times New Roman" w:hAnsi="Times New Roman" w:cs="Times New Roman"/>
                <w:i/>
                <w:noProof/>
                <w:sz w:val="24"/>
                <w:szCs w:val="24"/>
              </w:rPr>
            </w:pPr>
            <w:r>
              <w:rPr>
                <w:rFonts w:ascii="Times New Roman" w:hAnsi="Times New Roman"/>
                <w:i/>
                <w:noProof/>
                <w:sz w:val="24"/>
                <w:szCs w:val="24"/>
              </w:rPr>
              <w:t xml:space="preserve">Παρακολούθηση των δαπανών που σχετίζονται με το κλίμα στο πλαίσιο του κανονισμού της ΕΕ για την ανθρωπιστική βοήθεια.  </w:t>
            </w:r>
          </w:p>
        </w:tc>
      </w:tr>
    </w:tbl>
    <w:p>
      <w:pPr>
        <w:pStyle w:val="paragraph"/>
        <w:spacing w:before="0" w:beforeAutospacing="0" w:after="0" w:afterAutospacing="0"/>
        <w:jc w:val="both"/>
        <w:textAlignment w:val="baseline"/>
        <w:rPr>
          <w:rFonts w:eastAsiaTheme="minorEastAsia"/>
          <w:b/>
          <w:bCs/>
          <w:noProof/>
        </w:rPr>
      </w:pPr>
    </w:p>
    <w:p>
      <w:pPr>
        <w:pStyle w:val="paragraph"/>
        <w:spacing w:before="0" w:beforeAutospacing="0" w:after="0" w:afterAutospacing="0"/>
        <w:jc w:val="both"/>
        <w:textAlignment w:val="baseline"/>
        <w:rPr>
          <w:rFonts w:eastAsiaTheme="minorEastAsia"/>
          <w:b/>
          <w:bCs/>
          <w:noProof/>
        </w:rPr>
      </w:pPr>
    </w:p>
    <w:p>
      <w:pPr>
        <w:pStyle w:val="ListParagraph"/>
        <w:numPr>
          <w:ilvl w:val="1"/>
          <w:numId w:val="39"/>
        </w:numPr>
        <w:jc w:val="both"/>
        <w:rPr>
          <w:rFonts w:ascii="Times New Roman" w:eastAsia="Times New Roman" w:hAnsi="Times New Roman" w:cs="Times New Roman"/>
          <w:b/>
          <w:bCs/>
          <w:noProof/>
          <w:sz w:val="24"/>
          <w:szCs w:val="24"/>
          <w:u w:val="single"/>
        </w:rPr>
      </w:pPr>
      <w:r>
        <w:rPr>
          <w:rFonts w:ascii="Times New Roman" w:hAnsi="Times New Roman"/>
          <w:b/>
          <w:bCs/>
          <w:noProof/>
          <w:sz w:val="24"/>
          <w:szCs w:val="24"/>
        </w:rPr>
        <w:t>Επίτευξη αποτελεσμάτων από κοινού: διεύρυνση της βάσης των πόρων, αντιμετώπιση των βαθύτερων αιτίων των κρίσεων και, τελικά, μείωση των αναγκών</w:t>
      </w:r>
    </w:p>
    <w:p>
      <w:pPr>
        <w:rPr>
          <w:rFonts w:ascii="Times New Roman" w:eastAsia="Times New Roman" w:hAnsi="Times New Roman" w:cs="Times New Roman"/>
          <w:bCs/>
          <w:i/>
          <w:noProof/>
          <w:sz w:val="24"/>
          <w:szCs w:val="24"/>
          <w:u w:val="single"/>
        </w:rPr>
      </w:pPr>
      <w:r>
        <w:rPr>
          <w:rFonts w:ascii="Times New Roman" w:hAnsi="Times New Roman"/>
          <w:bCs/>
          <w:i/>
          <w:noProof/>
          <w:sz w:val="24"/>
          <w:szCs w:val="24"/>
        </w:rPr>
        <w:t>Αντιμετώπιση των βαθύτερων αιτίων και προώθηση του συσχετισμού ανθρωπιστικής βοήθειας, ανάπτυξης και ειρήνης</w:t>
      </w:r>
    </w:p>
    <w:p>
      <w:pPr>
        <w:jc w:val="both"/>
        <w:rPr>
          <w:rFonts w:ascii="Times New Roman" w:eastAsia="Times New Roman" w:hAnsi="Times New Roman" w:cs="Times New Roman"/>
          <w:bCs/>
          <w:noProof/>
          <w:sz w:val="24"/>
          <w:szCs w:val="24"/>
        </w:rPr>
      </w:pPr>
      <w:r>
        <w:rPr>
          <w:rFonts w:ascii="Times New Roman" w:hAnsi="Times New Roman"/>
          <w:noProof/>
          <w:sz w:val="24"/>
          <w:szCs w:val="24"/>
        </w:rPr>
        <w:t>Στόχος της ανθρωπιστικής βοήθειας είναι</w:t>
      </w:r>
      <w:r>
        <w:rPr>
          <w:rFonts w:ascii="Times New Roman" w:hAnsi="Times New Roman"/>
          <w:b/>
          <w:noProof/>
          <w:sz w:val="24"/>
          <w:szCs w:val="24"/>
        </w:rPr>
        <w:t xml:space="preserve"> η παροχή επείγουσας βοήθειας σε άτομα που πλήττονται από κρίσεις</w:t>
      </w:r>
      <w:r>
        <w:rPr>
          <w:rFonts w:ascii="Times New Roman" w:hAnsi="Times New Roman"/>
          <w:noProof/>
          <w:sz w:val="24"/>
          <w:szCs w:val="24"/>
        </w:rPr>
        <w:t>. Η ανθρωπιστική βοήθεια από μόνη της δεν αντιμετωπίζει — και δεν μπορεί να αντιμετωπίσει— τις σύνθετες υποκείμενες αιτίες των συγκρούσεων και άλλων κρίσεων, είτε σχετίζονται με κοινωνικο</w:t>
      </w:r>
      <w:r>
        <w:rPr>
          <w:rFonts w:ascii="Times New Roman" w:hAnsi="Times New Roman"/>
          <w:bCs/>
          <w:noProof/>
          <w:sz w:val="24"/>
          <w:szCs w:val="24"/>
        </w:rPr>
        <w:t xml:space="preserve">οικονομικά ζητήματα είτε με τη διακυβέρνηση ή περιβαλλοντικά ζητήματα. Όλοι αυτοί οι παράγοντες θα πρέπει να αντιμετωπίζονται συνεχώς με ολιστικό τρόπο- </w:t>
      </w:r>
      <w:r>
        <w:rPr>
          <w:rFonts w:ascii="Times New Roman" w:hAnsi="Times New Roman"/>
          <w:b/>
          <w:bCs/>
          <w:noProof/>
          <w:sz w:val="24"/>
          <w:szCs w:val="24"/>
        </w:rPr>
        <w:t>με την αντιμετώπιση των προκλήσεων της διακυβέρνησης, με τον σεβασμό των θεμελιωδών δικαιωμάτων των πληθυσμών, με συνυπολογισμό των ανισοτήτων, με την παροχή πρόσβασης στις βασικές υπηρεσίες, στη δικαιοσύνη, στις οικονομικές ευκαιρίες και στην ασφάλεια, καθώς και με την αντιμετώπιση των κλιματικών και περιβαλλοντικών προκλήσεων.</w:t>
      </w:r>
      <w:r>
        <w:rPr>
          <w:rFonts w:ascii="Times New Roman" w:hAnsi="Times New Roman"/>
          <w:bCs/>
          <w:noProof/>
          <w:sz w:val="24"/>
          <w:szCs w:val="24"/>
        </w:rPr>
        <w:t xml:space="preserve"> Η διεθνής στήριξη σε οποιαδήποτε κατάσταση κρίσης θα έχει διαρκή αντίκτυπο εφόσον συμβαδίσει με την ισχυρή δέσμευση των εθνικών και τοπικών αρχών να θέσουν τους ανθρώπους στο επίκεντρο αυτής της προσπάθειας, αντιμετωπίζοντας τον αποκλεισμό, προστατεύοντας τα δικαιώματα και διασφαλίζοντας τη λογοδοσία. Η εν λόγω προσπάθεια πρέπει να βρίσκεται στο επίκεντρο της προσέγγισης της ΕΕ όσον αφορά τις συγκρούσεις και τις κρίσεις. </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Σε αυτό το πλαίσιο, η ΕΕ θα </w:t>
      </w:r>
      <w:r>
        <w:rPr>
          <w:rFonts w:ascii="Times New Roman" w:hAnsi="Times New Roman"/>
          <w:b/>
          <w:noProof/>
          <w:sz w:val="24"/>
          <w:szCs w:val="24"/>
        </w:rPr>
        <w:t>εντείνει τις προσπάθειές της για τη σύνδεση της ανθρωπιστικής βοήθειας με την ανάπτυξη και την οικοδόμηση της ειρήνης</w:t>
      </w:r>
      <w:r>
        <w:rPr>
          <w:rFonts w:ascii="Times New Roman" w:hAnsi="Times New Roman"/>
          <w:noProof/>
          <w:sz w:val="24"/>
          <w:szCs w:val="24"/>
        </w:rPr>
        <w:t xml:space="preserve">. Η ανθρωπιστική βοήθεια δεν έχει σχεδιαστεί ως μακροπρόθεσμη λύση για τις ανάγκες των ανθρώπων που πλήττονται από κρίσεις. Μέσω της προσέγγισης βάσει συσχετισμού ανθρωπιστικής βοήθειας, ανάπτυξης και ειρήνης, η ΕΕ θα χρησιμοποιήσει όλα τα μέσα που απαιτούνται όχι μόνο για την αντιμετώπιση βραχυπρόθεσμων αναγκών αλλά και για την παροχή μακροπρόθεσμων λύσεων και, σε περίπτωση συγκρούσεων, θα συμβάλει στην οικοδόμηση διαρκούς ειρήνης. Αυτό συνεπάγεται </w:t>
      </w:r>
      <w:r>
        <w:rPr>
          <w:rFonts w:ascii="Times New Roman" w:hAnsi="Times New Roman"/>
          <w:b/>
          <w:noProof/>
          <w:sz w:val="24"/>
          <w:szCs w:val="24"/>
        </w:rPr>
        <w:t>κοινά πλαίσια ανάλυσης και επιχειρησιακής αντίδρασης</w:t>
      </w:r>
      <w:r>
        <w:rPr>
          <w:rFonts w:ascii="Times New Roman" w:hAnsi="Times New Roman"/>
          <w:noProof/>
          <w:sz w:val="24"/>
          <w:szCs w:val="24"/>
        </w:rPr>
        <w:t xml:space="preserve">, καθώς και μια </w:t>
      </w:r>
      <w:r>
        <w:rPr>
          <w:rFonts w:ascii="Times New Roman" w:hAnsi="Times New Roman"/>
          <w:b/>
          <w:noProof/>
          <w:sz w:val="24"/>
          <w:szCs w:val="24"/>
        </w:rPr>
        <w:t>προσέγγιση που λαμβάνει υπόψη τις συγκρούσεις</w:t>
      </w:r>
      <w:r>
        <w:rPr>
          <w:rFonts w:ascii="Times New Roman" w:hAnsi="Times New Roman"/>
          <w:noProof/>
          <w:sz w:val="24"/>
          <w:szCs w:val="24"/>
        </w:rPr>
        <w:t>, ώστε η εξωτερική βοήθεια να μην ενισχύει ακούσια τις συγκρούσεις.</w:t>
      </w:r>
    </w:p>
    <w:p>
      <w:pPr>
        <w:jc w:val="both"/>
        <w:rPr>
          <w:rFonts w:ascii="Times New Roman" w:hAnsi="Times New Roman" w:cs="Times New Roman"/>
          <w:noProof/>
          <w:sz w:val="24"/>
          <w:szCs w:val="24"/>
          <w:shd w:val="clear" w:color="auto" w:fill="FFFFFF"/>
        </w:rPr>
      </w:pPr>
      <w:r>
        <w:rPr>
          <w:rFonts w:ascii="Times New Roman" w:hAnsi="Times New Roman"/>
          <w:noProof/>
          <w:sz w:val="24"/>
          <w:szCs w:val="24"/>
        </w:rPr>
        <w:t>Η προσέγγιση βάσει συσχετισμού αποτελεί πλέον πραγματικότητα στην εξωτερική βοήθεια της ΕΕ σε πολλές ευάλωτες και επιρρεπείς σε συγκρούσεις χώρες. Σε αυτά περιλαμβάνονται τόσο οι έξι χώρες-πιλότοι της ΕΕ —όσον αφορά αυτόν τον συσχετισμό— που προσδιορίστηκαν το 2017 (</w:t>
      </w:r>
      <w:r>
        <w:rPr>
          <w:rFonts w:ascii="Times New Roman" w:hAnsi="Times New Roman"/>
          <w:noProof/>
          <w:sz w:val="24"/>
          <w:szCs w:val="24"/>
          <w:shd w:val="clear" w:color="auto" w:fill="FFFFFF"/>
        </w:rPr>
        <w:t xml:space="preserve">Τσαντ, Ιράκ, Μιανμάρ, Νιγηρία, Σουδάν και Ουγκάντα) όσο και άλλα πλαίσια (π.χ. κοινά πλαίσια ανθρωπιστικής βοήθειας, ανάπτυξης και ειρήνης για την αντιμετώπιση της συριακής κρίσης στον Λίβανο και την Ιορδανία). Ενδεικτικά παραδείγματα: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noProof/>
          <w:sz w:val="24"/>
          <w:szCs w:val="24"/>
          <w:shd w:val="clear" w:color="auto" w:fill="FFFFFF"/>
        </w:rPr>
        <w:t xml:space="preserve">στήριξη των κοινωνικών διχτυών ασφαλείας που έχουν σχεδιαστεί σε στενό συντονισμό μεταξύ ανθρωπιστικών και αναπτυξιακών φορέων·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noProof/>
          <w:sz w:val="24"/>
          <w:szCs w:val="24"/>
          <w:shd w:val="clear" w:color="auto" w:fill="FFFFFF"/>
        </w:rPr>
        <w:t xml:space="preserve">συντονισμένη στήριξη της ετοιμότητας και της ανθεκτικότητας έναντι καταστροφών στο πλαίσιο της αναπτυξιακής και ανθρωπιστικής χρηματοδότησης (κυρίως σε περιοχές που πλήττονται σοβαρά από την υποβάθμιση του εδάφους, τη λειψυδρία και την κλιματική αλλαγή, όπως το Σαχέλ)·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noProof/>
          <w:sz w:val="24"/>
          <w:szCs w:val="24"/>
          <w:shd w:val="clear" w:color="auto" w:fill="FFFFFF"/>
        </w:rPr>
        <w:t xml:space="preserve">μεγαλύτερη προσοχή στην προστασία των αμάχων·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noProof/>
          <w:sz w:val="24"/>
          <w:szCs w:val="24"/>
          <w:shd w:val="clear" w:color="auto" w:fill="FFFFFF"/>
        </w:rPr>
        <w:t xml:space="preserve">άσκηση πίεσης για διαρθρωτικές μεταρρυθμίσεις όσον αφορά την αντιμετώπιση των βαθύτερων αιτίων της βίας· </w:t>
      </w:r>
    </w:p>
    <w:p>
      <w:pPr>
        <w:pStyle w:val="ListParagraph"/>
        <w:numPr>
          <w:ilvl w:val="0"/>
          <w:numId w:val="40"/>
        </w:numPr>
        <w:spacing w:line="256" w:lineRule="auto"/>
        <w:jc w:val="both"/>
        <w:rPr>
          <w:rFonts w:ascii="Times New Roman" w:hAnsi="Times New Roman" w:cs="Times New Roman"/>
          <w:noProof/>
          <w:sz w:val="24"/>
          <w:szCs w:val="24"/>
          <w:shd w:val="clear" w:color="auto" w:fill="FFFFFF"/>
        </w:rPr>
      </w:pPr>
      <w:r>
        <w:rPr>
          <w:rFonts w:ascii="Times New Roman" w:hAnsi="Times New Roman"/>
          <w:noProof/>
          <w:sz w:val="24"/>
          <w:szCs w:val="24"/>
          <w:shd w:val="clear" w:color="auto" w:fill="FFFFFF"/>
        </w:rPr>
        <w:t>προώθηση μακροπρόθεσμων λύσεων στο πλαίσιο της αναγκαστικής εκτόπισης, σύμφωνα με την ανακοίνωση της ΕΕ του 2016 με τίτλο «Ζώντας με αξιοπρέπεια»</w:t>
      </w:r>
      <w:r>
        <w:rPr>
          <w:rStyle w:val="FootnoteReference"/>
          <w:rFonts w:ascii="Times New Roman" w:hAnsi="Times New Roman" w:cs="Times New Roman"/>
          <w:noProof/>
          <w:sz w:val="24"/>
          <w:szCs w:val="24"/>
          <w:shd w:val="clear" w:color="auto" w:fill="FFFFFF"/>
        </w:rPr>
        <w:footnoteReference w:id="51"/>
      </w:r>
      <w:r>
        <w:rPr>
          <w:rFonts w:ascii="Times New Roman" w:hAnsi="Times New Roman"/>
          <w:noProof/>
          <w:sz w:val="24"/>
          <w:szCs w:val="24"/>
          <w:shd w:val="clear" w:color="auto" w:fill="FFFFFF"/>
        </w:rPr>
        <w:t xml:space="preserve"> και το Παγκόσμιο Σύμφωνο για τους πρόσφυγες</w:t>
      </w:r>
      <w:r>
        <w:rPr>
          <w:rStyle w:val="FootnoteReference"/>
          <w:rFonts w:ascii="Times New Roman" w:hAnsi="Times New Roman" w:cs="Times New Roman"/>
          <w:noProof/>
          <w:sz w:val="24"/>
          <w:szCs w:val="24"/>
          <w:shd w:val="clear" w:color="auto" w:fill="FFFFFF"/>
        </w:rPr>
        <w:footnoteReference w:id="52"/>
      </w:r>
      <w:r>
        <w:rPr>
          <w:rFonts w:ascii="Times New Roman" w:hAnsi="Times New Roman"/>
          <w:noProof/>
          <w:sz w:val="24"/>
          <w:szCs w:val="24"/>
          <w:shd w:val="clear" w:color="auto" w:fill="FFFFFF"/>
        </w:rPr>
        <w:t xml:space="preserve">. </w:t>
      </w:r>
    </w:p>
    <w:p>
      <w:pPr>
        <w:jc w:val="both"/>
        <w:rPr>
          <w:rFonts w:ascii="Times New Roman" w:eastAsiaTheme="minorEastAsia" w:hAnsi="Times New Roman" w:cs="Times New Roman"/>
          <w:i/>
          <w:iCs/>
          <w:noProof/>
          <w:sz w:val="24"/>
          <w:szCs w:val="24"/>
        </w:rPr>
      </w:pPr>
      <w:r>
        <w:rPr>
          <w:rFonts w:ascii="Times New Roman" w:hAnsi="Times New Roman"/>
          <w:noProof/>
          <w:sz w:val="24"/>
          <w:szCs w:val="24"/>
          <w:shd w:val="clear" w:color="auto" w:fill="FFFFFF"/>
        </w:rPr>
        <w:t>Οι συνεχιζόμενες συγκρούσεις και οι κοινωνικοοικονομικές επιπτώσεις της νόσου COVID-19 απλώς επιτείνουν την ανάγκη αύξησης των εν λόγω προσπαθειών, κυρίως μέσω της στενότερης συνεργασίας μεταξύ</w:t>
      </w:r>
      <w:r>
        <w:rPr>
          <w:rFonts w:ascii="Times New Roman" w:hAnsi="Times New Roman"/>
          <w:b/>
          <w:bCs/>
          <w:noProof/>
          <w:sz w:val="24"/>
          <w:szCs w:val="24"/>
          <w:shd w:val="clear" w:color="auto" w:fill="FFFFFF"/>
        </w:rPr>
        <w:t xml:space="preserve"> </w:t>
      </w:r>
      <w:r>
        <w:rPr>
          <w:rFonts w:ascii="Times New Roman" w:hAnsi="Times New Roman"/>
          <w:bCs/>
          <w:noProof/>
          <w:sz w:val="24"/>
          <w:szCs w:val="24"/>
          <w:shd w:val="clear" w:color="auto" w:fill="FFFFFF"/>
        </w:rPr>
        <w:t xml:space="preserve">της ΕΕ, των </w:t>
      </w:r>
      <w:r>
        <w:rPr>
          <w:rFonts w:ascii="Times New Roman" w:hAnsi="Times New Roman"/>
          <w:noProof/>
          <w:sz w:val="24"/>
          <w:szCs w:val="24"/>
        </w:rPr>
        <w:t xml:space="preserve">κρατών μελών της, του διπλωματικού δικτύου και των χρηματοπιστωτικών ιδρυμάτων των κρατών μελών (συμπεριλαμβανομένων των εθνικών αναπτυξιακών τραπεζών και των εκτελεστικών οργανισμών, καθώς και της Ευρωπαϊκής Τράπεζας Επενδύσεων και της Ευρωπαϊκής Τράπεζας Ανασυγκρότησης και Ανάπτυξης) </w:t>
      </w:r>
      <w:r>
        <w:rPr>
          <w:rFonts w:ascii="Times New Roman" w:hAnsi="Times New Roman"/>
          <w:b/>
          <w:noProof/>
          <w:sz w:val="24"/>
          <w:szCs w:val="24"/>
        </w:rPr>
        <w:t>με βάση την προσέγγιση «Ομάδα Ευρώπη»</w:t>
      </w:r>
      <w:r>
        <w:rPr>
          <w:rStyle w:val="FootnoteReference"/>
          <w:rFonts w:ascii="Times New Roman" w:eastAsia="Times New Roman" w:hAnsi="Times New Roman" w:cs="Times New Roman"/>
          <w:noProof/>
          <w:sz w:val="24"/>
          <w:szCs w:val="24"/>
        </w:rPr>
        <w:footnoteReference w:id="53"/>
      </w:r>
      <w:r>
        <w:rPr>
          <w:rFonts w:ascii="Times New Roman" w:hAnsi="Times New Roman"/>
          <w:noProof/>
          <w:sz w:val="24"/>
          <w:szCs w:val="24"/>
        </w:rPr>
        <w:t xml:space="preserve">. Θα καταβληθούν ιδιαίτερες προσπάθειες για την επισιτιστική ασφάλεια, την υγεία και την εκπαίδευση, δεδομένων των δραματικών επιπτώσεων της πανδημίας σε αυτούς τους τομείς. </w:t>
      </w:r>
      <w:r>
        <w:rPr>
          <w:rFonts w:ascii="Times New Roman" w:hAnsi="Times New Roman"/>
          <w:iCs/>
          <w:noProof/>
          <w:sz w:val="24"/>
          <w:szCs w:val="24"/>
        </w:rPr>
        <w:t xml:space="preserve">Με βάση τα θετικά διδάγματα που αντλήθηκαν από την περίοδο προγραμματισμού 2014-2020, </w:t>
      </w:r>
      <w:r>
        <w:rPr>
          <w:rFonts w:ascii="Times New Roman" w:hAnsi="Times New Roman"/>
          <w:b/>
          <w:iCs/>
          <w:noProof/>
          <w:sz w:val="24"/>
          <w:szCs w:val="24"/>
        </w:rPr>
        <w:t>η ΕΕ θα εξακολουθήσει</w:t>
      </w:r>
      <w:r>
        <w:rPr>
          <w:rFonts w:ascii="Times New Roman" w:hAnsi="Times New Roman"/>
          <w:iCs/>
          <w:noProof/>
          <w:sz w:val="24"/>
          <w:szCs w:val="24"/>
        </w:rPr>
        <w:t xml:space="preserve"> </w:t>
      </w:r>
      <w:r>
        <w:rPr>
          <w:rFonts w:ascii="Times New Roman" w:hAnsi="Times New Roman"/>
          <w:b/>
          <w:iCs/>
          <w:noProof/>
          <w:sz w:val="24"/>
          <w:szCs w:val="24"/>
        </w:rPr>
        <w:t>να ενισχύει τις συνέργειες και τη συμπληρωματικότητα μεταξύ των διαφόρων φορέων και υπηρεσιών της ΕΕ</w:t>
      </w:r>
      <w:r>
        <w:rPr>
          <w:rFonts w:ascii="Times New Roman" w:hAnsi="Times New Roman"/>
          <w:iCs/>
          <w:noProof/>
          <w:sz w:val="24"/>
          <w:szCs w:val="24"/>
        </w:rPr>
        <w:t>, τηρώντας παράλληλα τις ανθρωπιστικές αρχές.</w:t>
      </w:r>
      <w:r>
        <w:rPr>
          <w:rFonts w:ascii="Times New Roman" w:hAnsi="Times New Roman"/>
          <w:i/>
          <w:iCs/>
          <w:noProof/>
          <w:sz w:val="24"/>
          <w:szCs w:val="24"/>
        </w:rPr>
        <w:t xml:space="preserve"> </w:t>
      </w:r>
    </w:p>
    <w:p>
      <w:pPr>
        <w:jc w:val="both"/>
        <w:rPr>
          <w:rFonts w:ascii="Times New Roman" w:eastAsia="Times New Roman" w:hAnsi="Times New Roman" w:cs="Times New Roman"/>
          <w:noProof/>
          <w:sz w:val="24"/>
          <w:szCs w:val="24"/>
        </w:rPr>
      </w:pPr>
    </w:p>
    <w:tbl>
      <w:tblPr>
        <w:tblStyle w:val="TableGrid"/>
        <w:tblW w:w="0" w:type="auto"/>
        <w:tblLook w:val="04A0" w:firstRow="1" w:lastRow="0" w:firstColumn="1" w:lastColumn="0" w:noHBand="0" w:noVBand="1"/>
      </w:tblPr>
      <w:tblGrid>
        <w:gridCol w:w="9242"/>
      </w:tblGrid>
      <w:tr>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jc w:val="both"/>
              <w:rPr>
                <w:rFonts w:ascii="Times New Roman" w:hAnsi="Times New Roman" w:cs="Times New Roman"/>
                <w:i/>
                <w:noProof/>
                <w:sz w:val="24"/>
                <w:szCs w:val="24"/>
                <w:shd w:val="clear" w:color="auto" w:fill="FFFFFF"/>
              </w:rPr>
            </w:pPr>
            <w:r>
              <w:rPr>
                <w:rFonts w:ascii="Times New Roman" w:hAnsi="Times New Roman"/>
                <w:b/>
                <w:i/>
                <w:noProof/>
                <w:sz w:val="24"/>
                <w:szCs w:val="24"/>
                <w:shd w:val="clear" w:color="auto" w:fill="FFFFFF"/>
              </w:rPr>
              <w:t>Στόχος:</w:t>
            </w:r>
            <w:r>
              <w:rPr>
                <w:rFonts w:ascii="Times New Roman" w:hAnsi="Times New Roman"/>
                <w:i/>
                <w:noProof/>
                <w:sz w:val="24"/>
                <w:szCs w:val="24"/>
                <w:shd w:val="clear" w:color="auto" w:fill="FFFFFF"/>
              </w:rPr>
              <w:t xml:space="preserve"> Διασφάλιση της συνέργειας μεταξύ πολιτικών στον ανθρωπιστικό και αναπτυξιακό τομέα, στον τομέα οικοδόμησης της ειρήνης και άλλων πολιτικών για την καλύτερη σύνδεση της επείγουσας αρωγής και των πιο μακροπρόθεσμων λύσεων, με στόχο τη μείωση των αναγκών και την αντιμετώπιση των βαθύτερων αιτίων των συγκρούσεων και των κρίσεων.</w:t>
            </w:r>
          </w:p>
          <w:p>
            <w:pPr>
              <w:jc w:val="both"/>
              <w:rPr>
                <w:rFonts w:ascii="Times New Roman" w:eastAsia="Times New Roman" w:hAnsi="Times New Roman" w:cs="Times New Roman"/>
                <w:i/>
                <w:iCs/>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Βασικές δράσεις</w:t>
            </w:r>
            <w:r>
              <w:rPr>
                <w:rFonts w:ascii="Times New Roman" w:hAnsi="Times New Roman"/>
                <w:i/>
                <w:iCs/>
                <w:noProof/>
                <w:sz w:val="24"/>
                <w:szCs w:val="24"/>
              </w:rPr>
              <w:t>:</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 xml:space="preserve">Διενέργεια συστηματικών κοινών αναλύσεων της ΕΕ σχετικά με τους κινδύνους, τις ανάγκες, τα τρωτά σημεία και τους διαρθρωτικούς παράγοντες της κρίσης, καθώς και, κατά περίπτωση, από κοινού προγραμματισμός και σχεδιασμός των πολιτικών της ΕΕ, σύμφωνα με τον σύνδεσμο μεταξύ ανθρωπιστικής βοήθειας, ανάπτυξης και ειρήνης. </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Ενίσχυση των μηχανισμών συντονισμού σε τοπικό επίπεδο σε όλες τις ανθρωπιστικές, αναπτυξιακές και ειρηνευτικές δράσεις της ΕΕ, ώστε να διασφαλιστούν κοινά και συνεκτικά αποτελέσματα, με την υποστήριξη των αντιπροσωπειών της ΕΕ και των τοπικών υπηρεσιών της ΓΔ ECHO. Στενή συνεργασία με τα κράτη μέλη της ΕΕ σε αυτό το πλαίσιο βάσει της προσέγγισης «Ομάδα Ευρώπη».</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Εφαρμογή αποτελεσματικών συνδέσεων μεταξύ των διαφόρων ανθρωπιστικών, αναπτυξιακών και ειρηνευτικών δράσεων και χρήση των υφιστάμενων εργαλείων, όπως ο διάλογος πολιτικής, για την ενίσχυση των εθνικών και τοπικών ικανοτήτων —συμπεριλαμβανομένης της ικανότητας των μη κρατικών αρχών— ώστε να παρέχουν βασικές υπηρεσίες και να στηρίζουν την ενίσχυση της ανθεκτικότητας.</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Επέκταση της στήριξης για κοινωνικά δίχτυα ασφαλείας που βασίζονται στη χρηματική βοήθεια και ανταποκρίνονται στους κλυδωνισμούς.</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Χρήση της πολιτικής και διπλωματικής δέσμευσης της ΕΕ και όλων των διαθέσιμων μέσων για την πρόληψη κρίσεων, την επίλυση συγκρούσεων και την οικοδόμηση της ειρήνης, με παράλληλη ενίσχυση της υποστήριξης των ανθρωπιστικών επιχειρήσεων, ώστε να διευκολυνθούν η πρόσβαση και ο σεβασμός των ανθρωπιστικών αρχών, η προστασία των αμάχων και το διεθνές ανθρωπιστικό δίκαιο.</w:t>
            </w:r>
          </w:p>
          <w:p>
            <w:pPr>
              <w:pStyle w:val="ListParagraph"/>
              <w:numPr>
                <w:ilvl w:val="0"/>
                <w:numId w:val="47"/>
              </w:numPr>
              <w:jc w:val="both"/>
              <w:rPr>
                <w:rFonts w:ascii="Times New Roman" w:hAnsi="Times New Roman" w:cs="Times New Roman"/>
                <w:i/>
                <w:iCs/>
                <w:noProof/>
                <w:sz w:val="24"/>
                <w:szCs w:val="24"/>
              </w:rPr>
            </w:pPr>
            <w:r>
              <w:rPr>
                <w:rFonts w:ascii="Times New Roman" w:hAnsi="Times New Roman"/>
                <w:i/>
                <w:iCs/>
                <w:noProof/>
                <w:sz w:val="24"/>
                <w:szCs w:val="24"/>
              </w:rPr>
              <w:t>Προώθηση αποτελεσματικού ανθρωπιστικού συντονισμού του πολιτικού και στρατιωτικού τομέα σε όλα τα συναφή πλαίσια, ως τρόπου προστασίας του ανθρωπιστικού χώρου, αποφυγής των αλληλεπικαλύψεων, ελαχιστοποίησης των ασυνεπειών και μεγιστοποίησης των δυνητικών συνεργειών με φορείς στον τομέα της ασφάλειας και της άμυνας.</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 xml:space="preserve">Δημιουργία συνεργειών με τις προσπάθειες της ΕΕ για την ειρηνευτική διαμεσολάβηση και την πρόληψη των συγκρούσεων, με πλήρη σεβασμό των ανθρωπιστικών αρχών, με σκοπό την αύξηση των προσπαθειών για την ανακούφιση των δεινών. </w:t>
            </w:r>
          </w:p>
          <w:p>
            <w:pPr>
              <w:pStyle w:val="ListParagraph"/>
              <w:numPr>
                <w:ilvl w:val="0"/>
                <w:numId w:val="47"/>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 xml:space="preserve">Ενσωμάτωση της εκπαίδευσης στους τομείς προτεραιότητας όσον αφορά τον αιτιώδη σύνδεσμο μεταξύ ανθρωπιστικής βοήθειας, ανάπτυξης και ειρήνης για τη συμβολή στη γεφύρωση του παγκόσμιου χάσματος στην εκπαίδευση, παράλληλα με τομείς όπως η υγεία, η επισιτιστική ασφάλεια, η ετοιμότητα για την αντιμετώπιση καταστροφών και η ανθεκτικότητα στην κλιματική αλλαγή. </w:t>
            </w:r>
          </w:p>
        </w:tc>
      </w:tr>
    </w:tbl>
    <w:p>
      <w:pPr>
        <w:spacing w:after="0" w:line="240" w:lineRule="auto"/>
        <w:jc w:val="both"/>
        <w:rPr>
          <w:rFonts w:ascii="Times New Roman" w:eastAsia="Times New Roman" w:hAnsi="Times New Roman" w:cs="Times New Roman"/>
          <w:i/>
          <w:noProof/>
          <w:color w:val="000000" w:themeColor="text1"/>
          <w:sz w:val="24"/>
          <w:szCs w:val="24"/>
        </w:rPr>
      </w:pPr>
    </w:p>
    <w:p>
      <w:pPr>
        <w:spacing w:after="0" w:line="240" w:lineRule="auto"/>
        <w:jc w:val="both"/>
        <w:rPr>
          <w:rFonts w:ascii="Times New Roman" w:eastAsia="Times New Roman" w:hAnsi="Times New Roman" w:cs="Times New Roman"/>
          <w:i/>
          <w:noProof/>
          <w:color w:val="000000" w:themeColor="text1"/>
          <w:sz w:val="24"/>
          <w:szCs w:val="24"/>
        </w:rPr>
      </w:pPr>
    </w:p>
    <w:p>
      <w:pPr>
        <w:spacing w:after="0" w:line="240" w:lineRule="auto"/>
        <w:jc w:val="both"/>
        <w:rPr>
          <w:rFonts w:ascii="Times New Roman" w:hAnsi="Times New Roman" w:cs="Times New Roman"/>
          <w:i/>
          <w:iCs/>
          <w:noProof/>
          <w:sz w:val="24"/>
          <w:szCs w:val="24"/>
        </w:rPr>
      </w:pPr>
      <w:r>
        <w:rPr>
          <w:rFonts w:ascii="Times New Roman" w:hAnsi="Times New Roman"/>
          <w:i/>
          <w:noProof/>
          <w:color w:val="000000" w:themeColor="text1"/>
          <w:sz w:val="24"/>
          <w:szCs w:val="24"/>
        </w:rPr>
        <w:t>Δ</w:t>
      </w:r>
      <w:r>
        <w:rPr>
          <w:rFonts w:ascii="Times New Roman" w:hAnsi="Times New Roman"/>
          <w:i/>
          <w:iCs/>
          <w:noProof/>
          <w:sz w:val="24"/>
          <w:szCs w:val="24"/>
        </w:rPr>
        <w:t xml:space="preserve">ιεύρυνση της βάσης των πόρων – τόσο εντός όσο και εκτός Ευρώπης </w:t>
      </w:r>
    </w:p>
    <w:p>
      <w:pPr>
        <w:spacing w:after="0" w:line="240" w:lineRule="auto"/>
        <w:jc w:val="both"/>
        <w:rPr>
          <w:rFonts w:ascii="Times New Roman" w:hAnsi="Times New Roman" w:cs="Times New Roman"/>
          <w:i/>
          <w:iCs/>
          <w:noProof/>
          <w:sz w:val="24"/>
          <w:szCs w:val="24"/>
        </w:rPr>
      </w:pPr>
    </w:p>
    <w:p>
      <w:pPr>
        <w:spacing w:after="0" w:line="240" w:lineRule="auto"/>
        <w:jc w:val="both"/>
        <w:rPr>
          <w:rFonts w:ascii="Times New Roman" w:eastAsia="Times New Roman" w:hAnsi="Times New Roman" w:cs="Times New Roman"/>
          <w:b/>
          <w:bCs/>
          <w:noProof/>
          <w:sz w:val="24"/>
          <w:szCs w:val="24"/>
        </w:rPr>
      </w:pPr>
      <w:r>
        <w:rPr>
          <w:rFonts w:ascii="Times New Roman" w:hAnsi="Times New Roman"/>
          <w:noProof/>
          <w:sz w:val="24"/>
          <w:szCs w:val="24"/>
        </w:rPr>
        <w:t>Η ραγδαία αύξηση του πεδίου και της σοβαρότητας των ανθρωπιστικών κρίσεων τα τελευταία χρόνια αποτελεί πρόκληση για την ανθρωπότητα στο σύνολό της. Η νόσος COVID-19 έχει αναδείξει την επιτακτική ανάγκη «να μην μείνει κανείς στο περιθώριο». Οι βασικές συστάσεις της ομάδας υψηλού επιπέδου για την ανθρωπιστική χρηματοδότηση, την οποία συγκάλεσε ο γενικός γραμματέας των Ηνωμένων Εθνών το 2015, έχουν ακόμη μεγαλύτερη σημασία το 2021</w:t>
      </w:r>
      <w:r>
        <w:rPr>
          <w:rStyle w:val="FootnoteReference"/>
          <w:rFonts w:ascii="Times New Roman" w:eastAsia="Times New Roman" w:hAnsi="Times New Roman" w:cs="Times New Roman"/>
          <w:noProof/>
          <w:sz w:val="24"/>
          <w:szCs w:val="24"/>
        </w:rPr>
        <w:footnoteReference w:id="54"/>
      </w:r>
      <w:r>
        <w:rPr>
          <w:rFonts w:ascii="Times New Roman" w:hAnsi="Times New Roman"/>
          <w:noProof/>
          <w:sz w:val="24"/>
          <w:szCs w:val="24"/>
        </w:rPr>
        <w:t xml:space="preserve">: υπάρχει </w:t>
      </w:r>
      <w:r>
        <w:rPr>
          <w:rFonts w:ascii="Times New Roman" w:hAnsi="Times New Roman"/>
          <w:b/>
          <w:bCs/>
          <w:noProof/>
          <w:sz w:val="24"/>
          <w:szCs w:val="24"/>
        </w:rPr>
        <w:t xml:space="preserve">επείγουσα ανάγκη για περισσότερους πόρους για την αντιμετώπιση σημαντικά διευρυμένων ανθρωπιστικών αναγκών. </w:t>
      </w:r>
    </w:p>
    <w:p>
      <w:pPr>
        <w:spacing w:after="0" w:line="240" w:lineRule="auto"/>
        <w:jc w:val="both"/>
        <w:rPr>
          <w:rFonts w:ascii="Times New Roman" w:eastAsia="Times New Roman" w:hAnsi="Times New Roman" w:cs="Times New Roman"/>
          <w:noProof/>
          <w:sz w:val="24"/>
          <w:szCs w:val="24"/>
        </w:rPr>
      </w:pPr>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Παρόλα αυτά, </w:t>
      </w:r>
      <w:r>
        <w:rPr>
          <w:rFonts w:ascii="Times New Roman" w:hAnsi="Times New Roman"/>
          <w:b/>
          <w:bCs/>
          <w:noProof/>
          <w:sz w:val="24"/>
          <w:szCs w:val="24"/>
        </w:rPr>
        <w:t>η βάση των πόρων για την ανθρωπιστική βοήθεια παραμένει ανησυχητικά περιορισμένη</w:t>
      </w:r>
      <w:r>
        <w:rPr>
          <w:rFonts w:ascii="Times New Roman" w:hAnsi="Times New Roman"/>
          <w:noProof/>
          <w:sz w:val="24"/>
          <w:szCs w:val="24"/>
        </w:rPr>
        <w:t>. Το 2020, οι τρεις μεγαλύτεροι χορηγοί (Ηνωμένες Πολιτείες, Γερμανία και Ευρωπαϊκή Επιτροπή) παρείχαν το 62 % της αναφερθείσας ανθρωπιστικής χρηματοδότησης παγκοσμίως. Εντός της ΕΕ, μόνο τέσσερα κράτη μέλη και η Ευρωπαϊκή Επιτροπή αντιπροσωπεύουν περίπου το 90 % της ανθρωπιστικής χρηματοδότησης που παρέχει η ΕΕ</w:t>
      </w:r>
      <w:r>
        <w:rPr>
          <w:rStyle w:val="FootnoteReference"/>
          <w:rFonts w:ascii="Times New Roman" w:eastAsia="Times New Roman" w:hAnsi="Times New Roman" w:cs="Times New Roman"/>
          <w:noProof/>
          <w:sz w:val="24"/>
          <w:szCs w:val="24"/>
        </w:rPr>
        <w:footnoteReference w:id="55"/>
      </w:r>
      <w:r>
        <w:rPr>
          <w:rFonts w:ascii="Times New Roman" w:hAnsi="Times New Roman"/>
          <w:noProof/>
          <w:sz w:val="24"/>
          <w:szCs w:val="24"/>
        </w:rPr>
        <w:t xml:space="preserve">. Ενώ ορισμένες χώρες έχουν αυξήσει την ανθρωπιστική χρηματοδότησή τους τα τελευταία χρόνια, συμπεριλαμβανομένων ορισμένων κρατών μελών της ΕΕ, υπάρχουν σημαντικά περιθώρια για διεύρυνση του καταλόγου των χορηγών και ενίσχυση των συνεισφορών των υφιστάμενων χορηγών προκειμένου να ανταποκριθούν στην κοινή παγκόσμια προσπάθεια που απαιτείται επειγόντως. </w:t>
      </w:r>
    </w:p>
    <w:p>
      <w:pPr>
        <w:spacing w:after="0" w:line="240" w:lineRule="auto"/>
        <w:jc w:val="both"/>
        <w:rPr>
          <w:rFonts w:ascii="Times New Roman" w:eastAsia="Times New Roman" w:hAnsi="Times New Roman" w:cs="Times New Roman"/>
          <w:noProof/>
          <w:sz w:val="24"/>
          <w:szCs w:val="24"/>
        </w:rPr>
      </w:pPr>
    </w:p>
    <w:p>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Στο πλαίσιο αυτό, η ΕΕ θα πρέπει </w:t>
      </w:r>
      <w:r>
        <w:rPr>
          <w:rFonts w:ascii="Times New Roman" w:hAnsi="Times New Roman"/>
          <w:b/>
          <w:bCs/>
          <w:noProof/>
          <w:sz w:val="24"/>
          <w:szCs w:val="24"/>
        </w:rPr>
        <w:t>να αυξήσει την υποστήριξή της για την ουσιαστική ενίσχυση των προσπαθειών ανθρωπιστικής χρηματοδότησης</w:t>
      </w:r>
      <w:r>
        <w:rPr>
          <w:rFonts w:ascii="Times New Roman" w:hAnsi="Times New Roman"/>
          <w:bCs/>
          <w:noProof/>
          <w:sz w:val="24"/>
          <w:szCs w:val="24"/>
        </w:rPr>
        <w:t xml:space="preserve"> και τον</w:t>
      </w:r>
      <w:r>
        <w:rPr>
          <w:rFonts w:ascii="Times New Roman" w:hAnsi="Times New Roman"/>
          <w:noProof/>
          <w:sz w:val="24"/>
          <w:szCs w:val="24"/>
        </w:rPr>
        <w:t xml:space="preserve"> καλύτερο επιμερισμό των ευθυνών μεταξύ των χορηγών, συμπεριλαμβανομένων των κρατών μελών της ΕΕ. Η ΕΕ —σε συνεργασία με τα κράτη μέλη της, καθώς και με άλλους χορηγούς ανθρωπιστικής βοήθειας που έχουν δεσμευτεί, όπως οι Ηνωμένες Πολιτείες— θα πρέπει να αξιοποιήσει τη διμερή, περιφερειακή και πολυμερή συνεργασία της με παραδοσιακούς και αναδυόμενους χορηγούς (ειδικότερα εκείνους των οποίων η ισχύς στην παγκόσμια οικονομία έχει αυξηθεί σημαντικά τα τελευταία χρόνια, όπως η Κίνα και τα κράτη του Κόλπου) για να ενθαρρύνει υψηλότερα επίπεδα χρηματοδότησης και συστηματικότερη στήριξη του παγκόσμιου ανθρωπιστικού συστήματος. Η δέσμευση αυτή θα πρέπει να βασίζεται και να υπενθυμίζει τον υφιστάμενο στόχο του 0,7 %</w:t>
      </w:r>
      <w:r>
        <w:rPr>
          <w:rStyle w:val="FootnoteReference"/>
          <w:rFonts w:ascii="Times New Roman" w:eastAsiaTheme="minorEastAsia" w:hAnsi="Times New Roman" w:cs="Times New Roman"/>
          <w:iCs/>
          <w:noProof/>
          <w:sz w:val="24"/>
          <w:szCs w:val="24"/>
        </w:rPr>
        <w:footnoteReference w:id="56"/>
      </w:r>
      <w:r>
        <w:rPr>
          <w:rFonts w:ascii="Times New Roman" w:hAnsi="Times New Roman"/>
          <w:noProof/>
          <w:sz w:val="24"/>
          <w:szCs w:val="24"/>
        </w:rPr>
        <w:t xml:space="preserve"> του ακαθάριστου εθνικού εισοδήματος για την επίσημη αναπτυξιακή βοήθεια και θα πρέπει να ενθαρρύνει την ενίσχυση των δεσμεύσεων ανθρωπιστικής χρηματοδότησης κατ’ αναλογία με την απότομη αύξηση των ανθρωπιστικών αναγκών και απαιτήσεων τα τελευταία χρόνια. Οι προσπάθειες αυτές θα πρέπει να συμβαδίζουν με την υποστήριξη του σεβασμού των ανθρωπιστικών αρχών, της χρηστής ανθρωπιστικής χορηγίας και του διεθνούς ανθρωπιστικού δικαίου.</w:t>
      </w:r>
    </w:p>
    <w:p>
      <w:pPr>
        <w:spacing w:after="0" w:line="240" w:lineRule="auto"/>
        <w:jc w:val="both"/>
        <w:rPr>
          <w:rFonts w:ascii="Times New Roman" w:eastAsia="Times New Roman" w:hAnsi="Times New Roman" w:cs="Times New Roman"/>
          <w:noProof/>
          <w:sz w:val="24"/>
          <w:szCs w:val="24"/>
        </w:rPr>
      </w:pPr>
    </w:p>
    <w:tbl>
      <w:tblPr>
        <w:tblStyle w:val="TableGrid"/>
        <w:tblW w:w="0" w:type="auto"/>
        <w:shd w:val="pct10" w:color="auto" w:fill="auto"/>
        <w:tblLook w:val="04A0" w:firstRow="1" w:lastRow="0" w:firstColumn="1" w:lastColumn="0" w:noHBand="0" w:noVBand="1"/>
      </w:tblPr>
      <w:tblGrid>
        <w:gridCol w:w="9242"/>
      </w:tblGrid>
      <w:tr>
        <w:tc>
          <w:tcPr>
            <w:tcW w:w="9242" w:type="dxa"/>
            <w:shd w:val="pct10" w:color="auto" w:fill="auto"/>
          </w:tcPr>
          <w:p>
            <w:pPr>
              <w:jc w:val="both"/>
              <w:rPr>
                <w:rFonts w:ascii="Times New Roman" w:hAnsi="Times New Roman" w:cs="Times New Roman"/>
                <w:noProof/>
              </w:rPr>
            </w:pPr>
            <w:r>
              <w:rPr>
                <w:rFonts w:ascii="Times New Roman" w:hAnsi="Times New Roman"/>
                <w:iCs/>
                <w:noProof/>
              </w:rPr>
              <w:t>Η ΕΕ και οι ΗΠΑ έχουν ισχυρή εταιρική σχέση στον τομέα της ανθρωπιστικής βοήθειας με βάση τον διάλογο και τη συνεργασία σε συγκεκριμένες κρίσεις και θεματικά ζητήματα. Στηριζόμενες σε αυτήν την ισχυρή σχέση, η ΕΕ και οι ΗΠΑ μπορούν επίσης να συνεργαστούν για την καλύτερη κατανομή των ευθυνών μεταξύ των χορηγών για τη στήριξη του παγκόσμιου ανθρωπιστικού συστήματος, σύμφωνα με το νέο διατλαντικό θεματολόγιο για την παγκόσμια αλλαγή</w:t>
            </w:r>
            <w:r>
              <w:rPr>
                <w:rStyle w:val="FootnoteReference"/>
                <w:rFonts w:ascii="Times New Roman" w:hAnsi="Times New Roman" w:cs="Times New Roman"/>
                <w:iCs/>
                <w:noProof/>
              </w:rPr>
              <w:footnoteReference w:id="57"/>
            </w:r>
            <w:r>
              <w:rPr>
                <w:rFonts w:ascii="Times New Roman" w:hAnsi="Times New Roman"/>
                <w:iCs/>
                <w:noProof/>
              </w:rPr>
              <w:t xml:space="preserve">. </w:t>
            </w:r>
          </w:p>
        </w:tc>
      </w:tr>
    </w:tbl>
    <w:p>
      <w:pPr>
        <w:spacing w:before="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Η ΕΕ θα πρέπει επίσης να διερευνήσει τρόπους για την καλύτερη προώθηση και συμμετοχή του </w:t>
      </w:r>
      <w:r>
        <w:rPr>
          <w:rFonts w:ascii="Times New Roman" w:hAnsi="Times New Roman"/>
          <w:b/>
          <w:noProof/>
          <w:sz w:val="24"/>
          <w:szCs w:val="24"/>
        </w:rPr>
        <w:t>ιδιωτικού τομέα</w:t>
      </w:r>
      <w:r>
        <w:rPr>
          <w:rFonts w:ascii="Times New Roman" w:hAnsi="Times New Roman"/>
          <w:noProof/>
          <w:sz w:val="24"/>
          <w:szCs w:val="24"/>
        </w:rPr>
        <w:t xml:space="preserve"> στην παροχή υπηρεσιών σε άτομα που πλήττονται από ανθρωπιστικές κρίσεις, κατά περίπτωση. Τα τελευταία χρόνια διάφοροι ανθρωπιστικοί φορείς έχουν αναλάβει ορισμένες καινοτόμες πρωτοβουλίες για πρωτοπόρα εργαλεία, όπως τα ομόλογα ανθρωπιστικού αντικτύπου. Έχει σημειωθεί σημαντική πρόοδος όσον αφορά τη χρήση της ασφάλισης και αντασφάλισης για κινδύνους καταστροφών. Ωστόσο, υπάρχουν περιθώρια για την ΕΕ να κάνει περισσότερα για την αξιοποίηση πρόσθετης χρηματοδότησης μέσω της μεγαλύτερης δέσμευσης του ιδιωτικού τομέα για τη στήριξη της ανθρωπιστικής δράσης. </w:t>
      </w:r>
    </w:p>
    <w:p>
      <w:pPr>
        <w:spacing w:before="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Με βάση τις εκτεταμένες διερευνητικές εργασίες στις οποίες συνέβαλε στο πολυμερές πλαίσιο</w:t>
      </w:r>
      <w:r>
        <w:rPr>
          <w:rStyle w:val="FootnoteReference"/>
          <w:rFonts w:ascii="Times New Roman" w:eastAsia="Times New Roman" w:hAnsi="Times New Roman" w:cs="Times New Roman"/>
          <w:noProof/>
          <w:sz w:val="24"/>
          <w:szCs w:val="24"/>
        </w:rPr>
        <w:footnoteReference w:id="58"/>
      </w:r>
      <w:r>
        <w:rPr>
          <w:rFonts w:ascii="Times New Roman" w:hAnsi="Times New Roman"/>
          <w:noProof/>
          <w:sz w:val="24"/>
          <w:szCs w:val="24"/>
        </w:rPr>
        <w:t>, η Επιτροπή θα εργαστεί για την εισαγωγή καινοτόμων μεθόδων χρηματοδότησης στην εργαλειοθήκη της στον τομέα της ανθρωπιστικής βοήθειας και θα προωθήσει ενεργά τη συμμετοχή του ιδιωτικού τομέα στη χρηματοδότηση της ανθρωπιστικής βοήθειας.</w:t>
      </w:r>
    </w:p>
    <w:p>
      <w:pPr>
        <w:spacing w:before="120" w:line="240" w:lineRule="auto"/>
        <w:jc w:val="both"/>
        <w:rPr>
          <w:rFonts w:ascii="Times New Roman" w:eastAsia="Times New Roman" w:hAnsi="Times New Roman" w:cs="Times New Roman"/>
          <w:noProof/>
          <w:sz w:val="24"/>
          <w:szCs w:val="24"/>
        </w:rPr>
      </w:pPr>
    </w:p>
    <w:tbl>
      <w:tblPr>
        <w:tblStyle w:val="TableGrid"/>
        <w:tblW w:w="0" w:type="auto"/>
        <w:tblLook w:val="04A0" w:firstRow="1" w:lastRow="0" w:firstColumn="1" w:lastColumn="0" w:noHBand="0" w:noVBand="1"/>
      </w:tblPr>
      <w:tblGrid>
        <w:gridCol w:w="9242"/>
      </w:tblGrid>
      <w:tr>
        <w:tc>
          <w:tcPr>
            <w:tcW w:w="9242" w:type="dxa"/>
          </w:tcPr>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Σημαντική αύξηση της βάσης των πόρων για την ανθρωπιστική δράση.</w:t>
            </w:r>
          </w:p>
          <w:p>
            <w:pPr>
              <w:jc w:val="both"/>
              <w:rPr>
                <w:rFonts w:ascii="Times New Roman" w:eastAsia="Times New Roman" w:hAnsi="Times New Roman" w:cs="Times New Roman"/>
                <w:i/>
                <w:iCs/>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Βασικές δράσεις</w:t>
            </w:r>
            <w:r>
              <w:rPr>
                <w:rFonts w:ascii="Times New Roman" w:hAnsi="Times New Roman"/>
                <w:i/>
                <w:iCs/>
                <w:noProof/>
                <w:sz w:val="24"/>
                <w:szCs w:val="24"/>
              </w:rPr>
              <w:t>:</w:t>
            </w:r>
          </w:p>
          <w:p>
            <w:pPr>
              <w:pStyle w:val="ListParagraph"/>
              <w:numPr>
                <w:ilvl w:val="0"/>
                <w:numId w:val="1"/>
              </w:numPr>
              <w:jc w:val="both"/>
              <w:rPr>
                <w:rFonts w:ascii="Times New Roman" w:eastAsiaTheme="minorEastAsia" w:hAnsi="Times New Roman" w:cs="Times New Roman"/>
                <w:i/>
                <w:iCs/>
                <w:noProof/>
                <w:sz w:val="24"/>
                <w:szCs w:val="24"/>
              </w:rPr>
            </w:pPr>
            <w:r>
              <w:rPr>
                <w:rFonts w:ascii="Times New Roman" w:hAnsi="Times New Roman"/>
                <w:i/>
                <w:iCs/>
                <w:noProof/>
                <w:sz w:val="24"/>
                <w:szCs w:val="24"/>
              </w:rPr>
              <w:t xml:space="preserve">Υπενθύμιση της δέσμευσης της ΕΕ να παράσχει το 0,7 % του ακαθάριστου εθνικού εισοδήματος ως επίσημη αναπτυξιακή βοήθεια, συνεργασία με τα κράτη μέλη για την ενίσχυση των δεσμεύσεων ανθρωπιστικής χρηματοδότησης κατ’ αναλογία με την απότομη αύξηση των ανθρωπιστικών αναγκών και απαιτήσεων τα τελευταία χρόνια. </w:t>
            </w:r>
          </w:p>
          <w:p>
            <w:pPr>
              <w:pStyle w:val="ListParagraph"/>
              <w:numPr>
                <w:ilvl w:val="0"/>
                <w:numId w:val="1"/>
              </w:numPr>
              <w:jc w:val="both"/>
              <w:rPr>
                <w:rFonts w:ascii="Times New Roman" w:eastAsiaTheme="minorEastAsia" w:hAnsi="Times New Roman" w:cs="Times New Roman"/>
                <w:i/>
                <w:noProof/>
                <w:sz w:val="24"/>
                <w:szCs w:val="24"/>
              </w:rPr>
            </w:pPr>
            <w:r>
              <w:rPr>
                <w:rFonts w:ascii="Times New Roman" w:hAnsi="Times New Roman"/>
                <w:i/>
                <w:iCs/>
                <w:noProof/>
                <w:sz w:val="24"/>
                <w:szCs w:val="24"/>
              </w:rPr>
              <w:t>Ενίσχυση της συνεργασίας της ΕΕ με παραδοσιακές και αναδυόμενες χώρες-χορηγούς με στόχο την υπενθύμιση της κοινής ευθύνης για τη στήριξη της ανθρωπιστικής δράσης και την πιο συστηματική ενσωμάτωσή της στον πολιτικό διάλογο της ΕΕ με τις σχετικές τρίτες χώρες. Ενίσχυση ή σφυρηλάτηση συμμαχιών σε παγκόσμιο επίπεδο με χώρες που συμμερίζονται τις ίδιες απόψεις για την προώθηση του παγκόσμιου ανθρωπιστικού θεματολογίου.</w:t>
            </w:r>
          </w:p>
          <w:p>
            <w:pPr>
              <w:pStyle w:val="ListParagraph"/>
              <w:numPr>
                <w:ilvl w:val="0"/>
                <w:numId w:val="1"/>
              </w:numPr>
              <w:jc w:val="both"/>
              <w:rPr>
                <w:rFonts w:ascii="Times New Roman" w:eastAsiaTheme="minorEastAsia" w:hAnsi="Times New Roman" w:cs="Times New Roman"/>
                <w:i/>
                <w:noProof/>
                <w:sz w:val="24"/>
                <w:szCs w:val="24"/>
              </w:rPr>
            </w:pPr>
            <w:r>
              <w:rPr>
                <w:rFonts w:ascii="Times New Roman" w:hAnsi="Times New Roman"/>
                <w:i/>
                <w:iCs/>
                <w:noProof/>
                <w:sz w:val="24"/>
                <w:szCs w:val="24"/>
              </w:rPr>
              <w:t>Δρομολόγηση πιλοτικής πρωτοβουλίας συνδυασμού μέσων από τον προϋπολογισμό ανθρωπιστικής βοήθειας της ΕΕ για την αξιοποίηση πρόσθετης χρηματοδότησης από τον ιδιωτικό τομέα σε</w:t>
            </w:r>
            <w:r>
              <w:rPr>
                <w:rFonts w:ascii="Times New Roman" w:hAnsi="Times New Roman"/>
                <w:noProof/>
                <w:sz w:val="24"/>
                <w:szCs w:val="24"/>
              </w:rPr>
              <w:t xml:space="preserve"> </w:t>
            </w:r>
            <w:r>
              <w:rPr>
                <w:rFonts w:ascii="Times New Roman" w:hAnsi="Times New Roman"/>
                <w:i/>
                <w:iCs/>
                <w:noProof/>
                <w:sz w:val="24"/>
                <w:szCs w:val="24"/>
              </w:rPr>
              <w:t xml:space="preserve">ανθρωπιστικό πλαίσιο το 2021. </w:t>
            </w:r>
          </w:p>
        </w:tc>
      </w:tr>
    </w:tbl>
    <w:p>
      <w:pPr>
        <w:pStyle w:val="paragraph"/>
        <w:spacing w:before="0" w:beforeAutospacing="0" w:after="0" w:afterAutospacing="0"/>
        <w:jc w:val="both"/>
        <w:textAlignment w:val="baseline"/>
        <w:rPr>
          <w:rFonts w:eastAsiaTheme="minorEastAsia"/>
          <w:b/>
          <w:bCs/>
          <w:noProof/>
        </w:rPr>
      </w:pPr>
    </w:p>
    <w:p>
      <w:pPr>
        <w:pStyle w:val="paragraph"/>
        <w:spacing w:before="0" w:beforeAutospacing="0" w:after="0" w:afterAutospacing="0"/>
        <w:jc w:val="both"/>
        <w:textAlignment w:val="baseline"/>
        <w:rPr>
          <w:rFonts w:eastAsiaTheme="minorEastAsia"/>
          <w:b/>
          <w:bCs/>
          <w:noProof/>
        </w:rPr>
      </w:pPr>
    </w:p>
    <w:p>
      <w:pPr>
        <w:pStyle w:val="paragraph"/>
        <w:spacing w:before="0" w:beforeAutospacing="0" w:after="0" w:afterAutospacing="0"/>
        <w:jc w:val="both"/>
        <w:textAlignment w:val="baseline"/>
        <w:rPr>
          <w:rFonts w:eastAsiaTheme="minorEastAsia"/>
          <w:b/>
          <w:bCs/>
          <w:noProof/>
        </w:rPr>
      </w:pPr>
      <w:r>
        <w:rPr>
          <w:b/>
          <w:bCs/>
          <w:noProof/>
        </w:rPr>
        <w:t xml:space="preserve">4. Στήριξη ενός περισσότερο ευνοϊκού περιβάλλοντος για την ανθρωπιστική βοήθεια </w:t>
      </w:r>
    </w:p>
    <w:p>
      <w:pPr>
        <w:pStyle w:val="paragraph"/>
        <w:spacing w:before="0" w:beforeAutospacing="0" w:after="0" w:afterAutospacing="0"/>
        <w:textAlignment w:val="baseline"/>
        <w:rPr>
          <w:rFonts w:eastAsiaTheme="minorEastAsia"/>
          <w:b/>
          <w:bCs/>
          <w:noProof/>
        </w:rPr>
      </w:pPr>
    </w:p>
    <w:p>
      <w:pPr>
        <w:pStyle w:val="paragraph"/>
        <w:spacing w:before="0" w:beforeAutospacing="0" w:after="0" w:afterAutospacing="0"/>
        <w:jc w:val="both"/>
        <w:textAlignment w:val="baseline"/>
        <w:rPr>
          <w:rStyle w:val="eop"/>
          <w:b/>
          <w:bCs/>
          <w:noProof/>
        </w:rPr>
      </w:pPr>
      <w:r>
        <w:rPr>
          <w:rStyle w:val="eop"/>
          <w:b/>
          <w:bCs/>
          <w:noProof/>
        </w:rPr>
        <w:t>4.1</w:t>
      </w:r>
      <w:r>
        <w:rPr>
          <w:rStyle w:val="eop"/>
          <w:b/>
          <w:noProof/>
        </w:rPr>
        <w:t xml:space="preserve"> </w:t>
      </w:r>
      <w:r>
        <w:rPr>
          <w:rStyle w:val="eop"/>
          <w:b/>
          <w:bCs/>
          <w:noProof/>
        </w:rPr>
        <w:t xml:space="preserve">Προάσπιση του σεβασμού του διεθνούς ανθρωπιστικού δικαίου </w:t>
      </w:r>
    </w:p>
    <w:p>
      <w:pPr>
        <w:pStyle w:val="paragraph"/>
        <w:spacing w:before="0" w:beforeAutospacing="0" w:after="0" w:afterAutospacing="0"/>
        <w:jc w:val="both"/>
        <w:textAlignment w:val="baseline"/>
        <w:rPr>
          <w:rStyle w:val="eop"/>
          <w:b/>
          <w:bCs/>
          <w:noProof/>
        </w:rPr>
      </w:pPr>
    </w:p>
    <w:p>
      <w:pPr>
        <w:pStyle w:val="paragraph"/>
        <w:spacing w:before="0" w:beforeAutospacing="0" w:after="0" w:afterAutospacing="0"/>
        <w:jc w:val="both"/>
        <w:textAlignment w:val="baseline"/>
        <w:rPr>
          <w:noProof/>
        </w:rPr>
      </w:pPr>
      <w:r>
        <w:rPr>
          <w:noProof/>
        </w:rPr>
        <w:t xml:space="preserve">Το </w:t>
      </w:r>
      <w:r>
        <w:rPr>
          <w:b/>
          <w:bCs/>
          <w:noProof/>
        </w:rPr>
        <w:t xml:space="preserve">διεθνές ανθρωπιστικό δίκαιο (ΔΑΔ) </w:t>
      </w:r>
      <w:r>
        <w:rPr>
          <w:noProof/>
        </w:rPr>
        <w:t xml:space="preserve">είναι ένα σύνολο διεθνώς συμφωνημένων και παγκοσμίως αναγνωρισμένων κανόνων για τον περιορισμό των επιπτώσεων των ένοπλων συγκρούσεων και για την προστασία των αμάχων και άλλων που δεν συμμετέχουν σε εχθροπραξίες. Ο </w:t>
      </w:r>
      <w:r>
        <w:rPr>
          <w:b/>
          <w:bCs/>
          <w:noProof/>
        </w:rPr>
        <w:t>σεβασμός του ΔΑΔ</w:t>
      </w:r>
      <w:r>
        <w:rPr>
          <w:noProof/>
        </w:rPr>
        <w:t xml:space="preserve"> αποτελεί από μόνος του σημαντικό στόχο· αποτελεί επίσης προϋπόθεση για αποτελεσματική ανθρωπιστική βοήθεια και μπορεί να αποτρέψει εξαρχής την ανάγκη για βοήθεια αυτού του είδους. Σήμερα, οι παραβιάσεις των κανόνων αυτών αποτελούν επαναλαμβανόμενο φαινόμενο. Οι άμαχοι, συμπεριλαμβανομένων των εργαζομένων στον ανθρωπιστικό τομέα ή στον τομέα της υγειονομικής περίθαλψης, πολύ συχνά στοχοποιούνται σκόπιμα από εμπόλεμες ομάδες.</w:t>
      </w:r>
      <w:r>
        <w:rPr>
          <w:rStyle w:val="normaltextrun"/>
          <w:noProof/>
        </w:rPr>
        <w:t xml:space="preserve"> </w:t>
      </w:r>
      <w:r>
        <w:rPr>
          <w:noProof/>
        </w:rPr>
        <w:t xml:space="preserve"> </w:t>
      </w:r>
    </w:p>
    <w:p>
      <w:pPr>
        <w:pStyle w:val="paragraph"/>
        <w:spacing w:before="0" w:beforeAutospacing="0" w:after="0" w:afterAutospacing="0"/>
        <w:jc w:val="both"/>
        <w:textAlignment w:val="baseline"/>
        <w:rPr>
          <w:noProof/>
          <w:lang w:eastAsia="en-GB"/>
        </w:rPr>
      </w:pPr>
    </w:p>
    <w:p>
      <w:pPr>
        <w:pStyle w:val="paragraph"/>
        <w:spacing w:before="0" w:beforeAutospacing="0" w:after="0" w:afterAutospacing="0"/>
        <w:jc w:val="both"/>
        <w:textAlignment w:val="baseline"/>
        <w:rPr>
          <w:noProof/>
        </w:rPr>
      </w:pPr>
      <w:r>
        <w:rPr>
          <w:rStyle w:val="normaltextrun"/>
          <w:noProof/>
        </w:rPr>
        <w:t>Η ΕΕ έχει θεσπίσει κατευθυντήριες γραμμές για την προώθηση της συμμόρφωσης με το ΔΑΔ</w:t>
      </w:r>
      <w:r>
        <w:rPr>
          <w:rStyle w:val="FootnoteReference"/>
          <w:noProof/>
          <w:lang w:val="en-GB"/>
        </w:rPr>
        <w:footnoteReference w:id="59"/>
      </w:r>
      <w:r>
        <w:rPr>
          <w:rStyle w:val="normaltextrun"/>
          <w:noProof/>
        </w:rPr>
        <w:t xml:space="preserve"> και παρέχει στήριξη για την </w:t>
      </w:r>
      <w:r>
        <w:rPr>
          <w:noProof/>
        </w:rPr>
        <w:t xml:space="preserve">εκπαίδευση του στρατιωτικού προσωπικού, των δυνάμεων ασφαλείας και του διπλωματικού προσωπικού. Αυτό θα συνεχιστεί στο πλαίσιο των νέων εξωτερικών μέσων της ΕΕ (για την περίοδο 2021-2027). </w:t>
      </w:r>
      <w:r>
        <w:rPr>
          <w:b/>
          <w:noProof/>
        </w:rPr>
        <w:t>Η ΕΕ θα πρέπει να συνεχίσει να θέτει σταθερά την προώθηση και την εφαρμογή του ΔΑΔ στο επίκεντρο της εξωτερικής της δράσης</w:t>
      </w:r>
      <w:r>
        <w:rPr>
          <w:noProof/>
        </w:rPr>
        <w:t>. Στο πλαίσιο αυτό, η ΕΕ θα εξακολουθήσει να υποστηρίζει σθεναρά τον ρόλο της Διεθνούς Επιτροπής του Ερυθρού Σταυρού στην εντολή της για την αποτελεσματική εφαρμογή του ΔΑΔ.</w:t>
      </w: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rPr>
      </w:pPr>
      <w:r>
        <w:rPr>
          <w:rStyle w:val="normaltextrun"/>
          <w:noProof/>
        </w:rPr>
        <w:t xml:space="preserve">Οι σοβαρές παραβιάσεις του ΔΑΔ θα πρέπει να καταγγέλλονται συστηματικά ως μέρος συντονισμένης προσέγγισης της ΕΕ. </w:t>
      </w:r>
      <w:r>
        <w:rPr>
          <w:noProof/>
        </w:rPr>
        <w:t>Η διασφάλιση του σεβασμού του ΔΑΔ στο πλαίσιο των εξωτερικών μέσων της ΕΕ θα πρέπει να ενισχυθεί, μεταξύ άλλων μέσω της δέουσας επιμέλειας. Η ΕΕ θα πρέπει επίσης να αξιοποιήσει την πολιτική και οικονομική της βαρύτητα για να προαγάγει τη συμμόρφωση με το ΔΑΔ από χώρες εταίρους, για παράδειγμα μέσω του πολιτικού διαλόγου και του διαλόγου για τα ανθρώπινα δικαιώματα, καθώς και στις σχέσεις εμπορίου και βοήθειας με χώρες εταίρους, κατά περίπτωση.</w:t>
      </w: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rPr>
      </w:pPr>
      <w:r>
        <w:rPr>
          <w:noProof/>
        </w:rPr>
        <w:t xml:space="preserve">Η </w:t>
      </w:r>
      <w:r>
        <w:rPr>
          <w:b/>
          <w:noProof/>
        </w:rPr>
        <w:t>αυξανόμενη χρήση κυρώσεων</w:t>
      </w:r>
      <w:r>
        <w:rPr>
          <w:noProof/>
        </w:rPr>
        <w:t xml:space="preserve"> —ιδίως μονομερείς κυρώσεις τρίτων χωρών, ορισμένες από τις οποίες αποτελούν κυρώσεις εξωεδαφικής εμβέλειας— περιπλέκει επίσης την παροχή ανθρωπιστικής βοήθειας και παρεμποδίζει την ανθρωπιστική δράση που βασίζεται σε αρχές. Καθώς οι τράπεζες και άλλα χρηματοπιστωτικά ιδρύματα επιδιώκουν να μειώσουν την έκθεσή τους περιορίζοντας ή τερματίζοντας τις δραστηριότητές τους σε δικαιοδοσίες που υπόκεινται σε κυρώσεις, οι ανθρωπιστικές συναλλαγές καθίστανται δυσκολότερες —αν όχι αδύνατες. Ενώ τα περιοριστικά μέτρα της ΕΕ είναι στοχευμένα και δεν αποσκοπούν στην παρεμπόδιση της παροχής ανθρωπιστικής βοήθειας, συνεπάγονται ορισμένες </w:t>
      </w:r>
      <w:r>
        <w:rPr>
          <w:b/>
          <w:noProof/>
        </w:rPr>
        <w:t>υποχρεώσεις,</w:t>
      </w:r>
      <w:r>
        <w:rPr>
          <w:noProof/>
        </w:rPr>
        <w:t xml:space="preserve"> η παραβίαση των οποίων μπορεί να οδηγήσει σε νομικές ενέργειες, συμπεριλαμβανομένων ποινικών κυρώσεων σε εθνικό επίπεδο. </w:t>
      </w:r>
    </w:p>
    <w:p>
      <w:pPr>
        <w:pStyle w:val="paragraph"/>
        <w:spacing w:before="0" w:beforeAutospacing="0" w:after="0" w:afterAutospacing="0"/>
        <w:jc w:val="both"/>
        <w:textAlignment w:val="baseline"/>
        <w:rPr>
          <w:rFonts w:eastAsia="Calibri"/>
          <w:noProof/>
          <w:lang w:eastAsia="en-GB"/>
        </w:rPr>
      </w:pPr>
    </w:p>
    <w:p>
      <w:pPr>
        <w:pStyle w:val="paragraph"/>
        <w:spacing w:before="0" w:beforeAutospacing="0" w:after="0" w:afterAutospacing="0"/>
        <w:jc w:val="both"/>
        <w:textAlignment w:val="baseline"/>
        <w:rPr>
          <w:rFonts w:eastAsia="Calibri"/>
          <w:noProof/>
        </w:rPr>
      </w:pPr>
      <w:r>
        <w:rPr>
          <w:noProof/>
        </w:rPr>
        <w:t>Η ΕΕ έχει αναλάβει δραστηριότητες προβολής για να διευκολύνει την παροχή ανθρωπιστικής βοήθειας σε περιβάλλοντα που υπόκεινται σε κυρώσεις, συμπεριλαμβανομένης της καθοδήγησης της Επιτροπής στο πλαίσιο της πανδημίας COVID-19</w:t>
      </w:r>
      <w:r>
        <w:rPr>
          <w:rStyle w:val="FootnoteReference"/>
          <w:rFonts w:eastAsia="Calibri"/>
          <w:noProof/>
          <w:lang w:val="en-GB" w:eastAsia="en-GB"/>
        </w:rPr>
        <w:footnoteReference w:id="60"/>
      </w:r>
      <w:r>
        <w:rPr>
          <w:noProof/>
        </w:rPr>
        <w:t xml:space="preserve">. </w:t>
      </w:r>
      <w:r>
        <w:rPr>
          <w:b/>
          <w:noProof/>
        </w:rPr>
        <w:t>Η ΕΕ θα πρέπει να συνεχίσει και να εντείνει περαιτέρω τη στήριξή της προς τους εταίρους της στον τομέα της ανθρωπιστικής βοήθειας όσον αφορά τα δικαιώματα και τις υποχρεώσεις τους στα διάφορα καθεστώτα κυρώσεων της ΕΕ</w:t>
      </w:r>
      <w:r>
        <w:rPr>
          <w:rStyle w:val="FootnoteReference"/>
          <w:rFonts w:eastAsia="Calibri"/>
          <w:b/>
          <w:noProof/>
          <w:lang w:val="en-GB" w:eastAsia="en-GB"/>
        </w:rPr>
        <w:footnoteReference w:id="61"/>
      </w:r>
      <w:r>
        <w:rPr>
          <w:b/>
          <w:noProof/>
        </w:rPr>
        <w:t>.</w:t>
      </w:r>
      <w:r>
        <w:rPr>
          <w:noProof/>
        </w:rPr>
        <w:t xml:space="preserve"> Ταυτόχρονα, η ΕΕ θα πρέπει να επιδιώξει τη συνεπή ενσωμάτωση των </w:t>
      </w:r>
      <w:r>
        <w:rPr>
          <w:b/>
          <w:noProof/>
        </w:rPr>
        <w:t>ανθρωπιστικών εξαιρέσεων</w:t>
      </w:r>
      <w:r>
        <w:rPr>
          <w:noProof/>
        </w:rPr>
        <w:t xml:space="preserve"> στα καθεστώτα κυρώσεων της ΕΕ</w:t>
      </w:r>
      <w:r>
        <w:rPr>
          <w:rStyle w:val="FootnoteReference"/>
          <w:rFonts w:eastAsia="Calibri"/>
          <w:noProof/>
          <w:lang w:val="en-GB" w:eastAsia="en-GB"/>
        </w:rPr>
        <w:footnoteReference w:id="62"/>
      </w:r>
      <w:r>
        <w:rPr>
          <w:noProof/>
        </w:rPr>
        <w:t>. Σύμφωνα με την «έκκληση για δράση για την ενίσχυση του σεβασμού του διεθνούς ανθρωπιστικού δικαίου και της βασιζόμενης σε αρχές ανθρωπιστικής δράσης», στην οποία προσχώρησε πρόσφατα η ΕΕ</w:t>
      </w:r>
      <w:r>
        <w:rPr>
          <w:rStyle w:val="FootnoteReference"/>
          <w:noProof/>
          <w:sz w:val="22"/>
          <w:szCs w:val="22"/>
          <w:lang w:val="en-GB"/>
        </w:rPr>
        <w:footnoteReference w:id="63"/>
      </w:r>
      <w:r>
        <w:rPr>
          <w:noProof/>
        </w:rPr>
        <w:t xml:space="preserve">, οι εργαζόμενοι στον ανθρωπιστικό τομέα και στον τομέα υγειονομικής περίθαλψης οι οποίοι συμμετέχουν σε δραστηριότητες που διεξάγονται σύμφωνα με το ΔΑΔ και τις ανθρωπιστικές αρχές δεν θα πρέπει να αποτελούν στόχο ποινικής δίωξης. Η ΕΕ θα πρέπει επίσης να εξετάσει το ενδεχόμενο να συμπεριλάβει </w:t>
      </w:r>
      <w:r>
        <w:rPr>
          <w:b/>
          <w:noProof/>
        </w:rPr>
        <w:t>τις παραβιάσεις του ΔΑΔ ως κριτήριο για την καταχώριση προσώπων ή οντοτήτων στα σχετικά καθεστώτα κυρώσεων της ΕΕ.</w:t>
      </w:r>
    </w:p>
    <w:p>
      <w:pPr>
        <w:pStyle w:val="paragraph"/>
        <w:spacing w:before="0" w:beforeAutospacing="0" w:after="0" w:afterAutospacing="0"/>
        <w:jc w:val="both"/>
        <w:textAlignment w:val="baseline"/>
        <w:rPr>
          <w:rFonts w:eastAsia="Calibri"/>
          <w:noProof/>
          <w:lang w:eastAsia="en-GB"/>
        </w:rPr>
      </w:pPr>
    </w:p>
    <w:tbl>
      <w:tblPr>
        <w:tblStyle w:val="TableGrid"/>
        <w:tblW w:w="0" w:type="auto"/>
        <w:tblLook w:val="04A0" w:firstRow="1" w:lastRow="0" w:firstColumn="1" w:lastColumn="0" w:noHBand="0" w:noVBand="1"/>
      </w:tblPr>
      <w:tblGrid>
        <w:gridCol w:w="9242"/>
      </w:tblGrid>
      <w:tr>
        <w:tc>
          <w:tcPr>
            <w:tcW w:w="9242" w:type="dxa"/>
          </w:tcPr>
          <w:p>
            <w:pPr>
              <w:pStyle w:val="paragraph"/>
              <w:spacing w:before="0" w:beforeAutospacing="0" w:after="0" w:afterAutospacing="0"/>
              <w:jc w:val="both"/>
              <w:textAlignment w:val="baseline"/>
              <w:rPr>
                <w:rFonts w:eastAsia="Calibri"/>
                <w:i/>
                <w:iCs/>
                <w:noProof/>
              </w:rPr>
            </w:pPr>
            <w:r>
              <w:rPr>
                <w:b/>
                <w:i/>
                <w:iCs/>
                <w:noProof/>
              </w:rPr>
              <w:t>Στόχος:</w:t>
            </w:r>
            <w:r>
              <w:rPr>
                <w:i/>
                <w:iCs/>
                <w:noProof/>
              </w:rPr>
              <w:t xml:space="preserve"> Τοποθέτηση της συμμόρφωσης με το διεθνές ανθρωπιστικό δίκαιο (ΔΑΔ) στο επίκεντρο της εξωτερικής δράσης της ΕΕ για την προστασία του άμαχου πληθυσμού, υποστήριξη της βασισμένης σε αρχές ανθρωπιστικής δράσης και προστασία των εργαζομένων στον τομέα της ανθρωπιστικής βοήθειας και της υγειονομικής περίθαλψης. </w:t>
            </w:r>
          </w:p>
          <w:p>
            <w:pPr>
              <w:pStyle w:val="paragraph"/>
              <w:spacing w:before="0" w:beforeAutospacing="0" w:after="0" w:afterAutospacing="0"/>
              <w:jc w:val="both"/>
              <w:textAlignment w:val="baseline"/>
              <w:rPr>
                <w:rFonts w:eastAsia="Calibri"/>
                <w:i/>
                <w:iCs/>
                <w:noProof/>
                <w:lang w:eastAsia="en-GB"/>
              </w:rPr>
            </w:pPr>
          </w:p>
          <w:p>
            <w:pPr>
              <w:pStyle w:val="paragraph"/>
              <w:spacing w:before="0" w:beforeAutospacing="0" w:after="0" w:afterAutospacing="0"/>
              <w:jc w:val="both"/>
              <w:textAlignment w:val="baseline"/>
              <w:rPr>
                <w:rFonts w:eastAsia="Calibri"/>
                <w:b/>
                <w:i/>
                <w:iCs/>
                <w:noProof/>
              </w:rPr>
            </w:pPr>
            <w:r>
              <w:rPr>
                <w:b/>
                <w:i/>
                <w:iCs/>
                <w:noProof/>
              </w:rPr>
              <w:t>Βασικές δράσεις:</w:t>
            </w:r>
          </w:p>
          <w:p>
            <w:pPr>
              <w:pStyle w:val="paragraph"/>
              <w:numPr>
                <w:ilvl w:val="0"/>
                <w:numId w:val="15"/>
              </w:numPr>
              <w:spacing w:before="0" w:beforeAutospacing="0" w:after="0" w:afterAutospacing="0"/>
              <w:jc w:val="both"/>
              <w:textAlignment w:val="baseline"/>
              <w:rPr>
                <w:rFonts w:eastAsia="Calibri"/>
                <w:i/>
                <w:noProof/>
              </w:rPr>
            </w:pPr>
            <w:r>
              <w:rPr>
                <w:i/>
                <w:iCs/>
                <w:noProof/>
              </w:rPr>
              <w:t xml:space="preserve">Θέσπιση μηχανισμού συντονισμού σε επίπεδο ΕΕ για το ΔΑΔ, ώστε να διασφαλιστεί η καλύτερη παρακολούθηση των παραβιάσεων του διεθνούς ανθρωπιστικού δικαίου παγκοσμίως, να διευκολυνθεί ο συντονισμός των σχετικών φορέων της ΕΕ και να υποστηριχτεί η ενίσχυση της ανθρωπιστικής διπλωματίας της ΕΕ. </w:t>
            </w:r>
          </w:p>
          <w:p>
            <w:pPr>
              <w:pStyle w:val="paragraph"/>
              <w:numPr>
                <w:ilvl w:val="0"/>
                <w:numId w:val="35"/>
              </w:numPr>
              <w:spacing w:before="0" w:beforeAutospacing="0" w:after="0" w:afterAutospacing="0"/>
              <w:jc w:val="both"/>
              <w:textAlignment w:val="baseline"/>
              <w:rPr>
                <w:rFonts w:eastAsia="Calibri"/>
                <w:i/>
                <w:iCs/>
                <w:noProof/>
              </w:rPr>
            </w:pPr>
            <w:r>
              <w:rPr>
                <w:i/>
                <w:iCs/>
                <w:noProof/>
              </w:rPr>
              <w:t>Περαιτέρω ενίσχυση του πλαισίου συμμόρφωσης με το ΔΑΔ, ως μέρος των εξωτερικών μέσων της ΕΕ, μεταξύ άλλων μέσω της δέουσας επιμέλειας και μέσω των διαλόγων της για την πολιτική, την ασφάλεια και τα ανθρώπινα δικαιώματα και των εμπορικών συμφωνιών με χώρες εταίρους, κατά περίπτωση.</w:t>
            </w:r>
          </w:p>
          <w:p>
            <w:pPr>
              <w:pStyle w:val="paragraph"/>
              <w:numPr>
                <w:ilvl w:val="0"/>
                <w:numId w:val="35"/>
              </w:numPr>
              <w:spacing w:before="0" w:beforeAutospacing="0" w:after="0" w:afterAutospacing="0"/>
              <w:jc w:val="both"/>
              <w:textAlignment w:val="baseline"/>
              <w:rPr>
                <w:rStyle w:val="normaltextrun"/>
                <w:i/>
                <w:iCs/>
                <w:noProof/>
              </w:rPr>
            </w:pPr>
            <w:r>
              <w:rPr>
                <w:rStyle w:val="normaltextrun"/>
                <w:i/>
                <w:noProof/>
              </w:rPr>
              <w:t xml:space="preserve">Εξέταση του ενδεχομένου να συμπεριληφθούν οι σοβαρές παραβιάσεις του διεθνούς ανθρωπιστικού δικαίου ως λόγοι καταχώρισης στα καθεστώτα κυρώσεων της ΕΕ, όποτε αυτό κρίνεται σκόπιμο, με παράλληλη διασφάλιση ότι αποτρέπεται κάθε πιθανός αρνητικός αντίκτυπος στις ανθρωπιστικές δραστηριότητες. </w:t>
            </w:r>
          </w:p>
          <w:p>
            <w:pPr>
              <w:pStyle w:val="paragraph"/>
              <w:numPr>
                <w:ilvl w:val="0"/>
                <w:numId w:val="35"/>
              </w:numPr>
              <w:spacing w:before="0" w:beforeAutospacing="0" w:after="0" w:afterAutospacing="0"/>
              <w:jc w:val="both"/>
              <w:textAlignment w:val="baseline"/>
              <w:rPr>
                <w:rStyle w:val="normaltextrun"/>
                <w:i/>
                <w:noProof/>
              </w:rPr>
            </w:pPr>
            <w:r>
              <w:rPr>
                <w:rStyle w:val="normaltextrun"/>
                <w:i/>
                <w:iCs/>
                <w:noProof/>
              </w:rPr>
              <w:t xml:space="preserve">Συνεχής διασφάλιση ότι το ΔΑΔ αντικατοπτρίζεται πλήρως στην πολιτική κυρώσεων της ΕΕ, </w:t>
            </w:r>
            <w:r>
              <w:rPr>
                <w:rStyle w:val="normaltextrun"/>
                <w:i/>
                <w:noProof/>
              </w:rPr>
              <w:t>μεταξύ άλλων μέσω της συνεπούς ενσωμάτωσης των ανθρωπιστικών εξαιρέσεων στα καθεστώτα κυρώσεων της ΕΕ</w:t>
            </w:r>
            <w:r>
              <w:rPr>
                <w:rStyle w:val="normaltextrun"/>
                <w:i/>
                <w:iCs/>
                <w:noProof/>
              </w:rPr>
              <w:t xml:space="preserve">. Συνεργασία προς την κατεύθυνση </w:t>
            </w:r>
            <w:r>
              <w:rPr>
                <w:i/>
                <w:iCs/>
                <w:noProof/>
              </w:rPr>
              <w:t xml:space="preserve">ενός </w:t>
            </w:r>
            <w:r>
              <w:rPr>
                <w:rStyle w:val="normaltextrun"/>
                <w:i/>
                <w:iCs/>
                <w:noProof/>
              </w:rPr>
              <w:t xml:space="preserve">αποτελεσματικού πλαισίου για τη χρήση των εν λόγω εξαιρέσεων από ανθρωπιστικές οργανώσεις που λαμβάνουν χρηματοδότηση από την ΕΕ. Παροχή περαιτέρω πρακτικής στήριξης σε ανθρωπιστικές οργανώσεις όσον αφορά τα δικαιώματα και τις υποχρεώσεις τους στα διάφορα καθεστώτα κυρώσεων της ΕΕ. </w:t>
            </w:r>
          </w:p>
          <w:p>
            <w:pPr>
              <w:pStyle w:val="paragraph"/>
              <w:numPr>
                <w:ilvl w:val="0"/>
                <w:numId w:val="35"/>
              </w:numPr>
              <w:spacing w:before="0" w:beforeAutospacing="0" w:after="0" w:afterAutospacing="0"/>
              <w:jc w:val="both"/>
              <w:textAlignment w:val="baseline"/>
              <w:rPr>
                <w:i/>
                <w:noProof/>
              </w:rPr>
            </w:pPr>
            <w:r>
              <w:rPr>
                <w:rStyle w:val="normaltextrun"/>
                <w:i/>
                <w:iCs/>
                <w:noProof/>
              </w:rPr>
              <w:t>Συνέχιση της προώθησης του διαλόγου μεταξύ όλων των μερών που συμμετέχουν στην ανθρωπιστική βοήθεια (χορηγοί, ρυθμιστικές αρχές, ΜΚΟ και τράπεζες) προκειμένου να διευκολυνθεί η παροχή ανθρωπιστικής βοήθειας σε όλους όσοι την έχουν ανάγκη.</w:t>
            </w:r>
          </w:p>
        </w:tc>
      </w:tr>
    </w:tbl>
    <w:p>
      <w:pPr>
        <w:jc w:val="both"/>
        <w:rPr>
          <w:rFonts w:ascii="Times New Roman" w:hAnsi="Times New Roman" w:cs="Times New Roman"/>
          <w:b/>
          <w:bCs/>
          <w:noProof/>
          <w:sz w:val="24"/>
          <w:szCs w:val="24"/>
        </w:rPr>
      </w:pPr>
    </w:p>
    <w:p>
      <w:pPr>
        <w:jc w:val="both"/>
        <w:rPr>
          <w:rFonts w:ascii="Times New Roman" w:hAnsi="Times New Roman" w:cs="Times New Roman"/>
          <w:noProof/>
          <w:sz w:val="24"/>
          <w:szCs w:val="24"/>
        </w:rPr>
      </w:pPr>
      <w:r>
        <w:rPr>
          <w:rFonts w:ascii="Times New Roman" w:hAnsi="Times New Roman"/>
          <w:b/>
          <w:bCs/>
          <w:noProof/>
          <w:sz w:val="24"/>
          <w:szCs w:val="24"/>
        </w:rPr>
        <w:t>4.2 Ενίσχυση της δέσμευσης και του ηγετικού ρόλου της ΕΕ</w:t>
      </w:r>
    </w:p>
    <w:p>
      <w:pPr>
        <w:rPr>
          <w:rFonts w:ascii="Times New Roman" w:hAnsi="Times New Roman" w:cs="Times New Roman"/>
          <w:i/>
          <w:iCs/>
          <w:noProof/>
          <w:sz w:val="24"/>
          <w:szCs w:val="24"/>
        </w:rPr>
      </w:pPr>
      <w:r>
        <w:rPr>
          <w:rFonts w:ascii="Times New Roman" w:hAnsi="Times New Roman"/>
          <w:i/>
          <w:iCs/>
          <w:noProof/>
          <w:sz w:val="24"/>
          <w:szCs w:val="24"/>
        </w:rPr>
        <w:t>Εργασία ως «Ομάδα Ευρώπη»</w:t>
      </w:r>
    </w:p>
    <w:p>
      <w:pPr>
        <w:jc w:val="both"/>
        <w:rPr>
          <w:rFonts w:ascii="Times New Roman" w:hAnsi="Times New Roman" w:cs="Times New Roman"/>
          <w:noProof/>
          <w:sz w:val="24"/>
          <w:szCs w:val="24"/>
        </w:rPr>
      </w:pPr>
      <w:r>
        <w:rPr>
          <w:rFonts w:ascii="Times New Roman" w:hAnsi="Times New Roman"/>
          <w:noProof/>
          <w:sz w:val="24"/>
          <w:szCs w:val="24"/>
        </w:rPr>
        <w:t>Η ανθρωπιστική βοήθεια της ΕΕ τυγχάνει ισχυρής δημόσιας στήριξης</w:t>
      </w:r>
      <w:r>
        <w:rPr>
          <w:rStyle w:val="FootnoteReference"/>
          <w:rFonts w:ascii="Times New Roman" w:hAnsi="Times New Roman" w:cs="Times New Roman"/>
          <w:noProof/>
          <w:sz w:val="24"/>
          <w:szCs w:val="24"/>
          <w:lang w:val="en-IE"/>
        </w:rPr>
        <w:footnoteReference w:id="64"/>
      </w:r>
      <w:r>
        <w:rPr>
          <w:rFonts w:ascii="Times New Roman" w:hAnsi="Times New Roman"/>
          <w:noProof/>
          <w:sz w:val="24"/>
          <w:szCs w:val="24"/>
        </w:rPr>
        <w:t xml:space="preserve"> ως μία από τις πιο ορατές πτυχές της εξωτερικής δράσης της ΕΕ. Σύμφωνα με τις Συνθήκες της ΕΕ, τόσο τα κράτη μέλη όσο και η ΕΕ έχουν σημαντικό και διακριτό ρόλο να διαδραματίσουν στην ανθρωπιστική βοήθεια. Υπάρχει περιθώριο για αξιοποίηση αυτού του συλλογικού αντικτύπου με τον συντονισμό των προσπαθειών και τη διασφάλιση της συμπληρωματικότητας, καθώς και με την προώθηση της προσέγγισης βάσει συσχετισμού ανθρωπιστικής βοήθειας, ανάπτυξης και ειρήνης. </w:t>
      </w:r>
    </w:p>
    <w:p>
      <w:pPr>
        <w:jc w:val="both"/>
        <w:rPr>
          <w:rFonts w:ascii="Times New Roman" w:hAnsi="Times New Roman" w:cs="Times New Roman"/>
          <w:noProof/>
          <w:sz w:val="24"/>
          <w:szCs w:val="24"/>
        </w:rPr>
      </w:pPr>
      <w:r>
        <w:rPr>
          <w:rFonts w:ascii="Times New Roman" w:hAnsi="Times New Roman"/>
          <w:noProof/>
          <w:sz w:val="24"/>
          <w:szCs w:val="24"/>
        </w:rPr>
        <w:t xml:space="preserve">Ειδικότερα, </w:t>
      </w:r>
      <w:r>
        <w:rPr>
          <w:rFonts w:ascii="Times New Roman" w:hAnsi="Times New Roman"/>
          <w:b/>
          <w:bCs/>
          <w:noProof/>
          <w:sz w:val="24"/>
          <w:szCs w:val="24"/>
        </w:rPr>
        <w:t>τα κοινά μηνύματα της ΕΕ σχετικά με βασικές ανθρωπιστικές κρίσεις</w:t>
      </w:r>
      <w:r>
        <w:rPr>
          <w:rFonts w:ascii="Times New Roman" w:hAnsi="Times New Roman"/>
          <w:noProof/>
          <w:sz w:val="24"/>
          <w:szCs w:val="24"/>
        </w:rPr>
        <w:t xml:space="preserve"> μπορούν να στηρίξουν πρωτοβουλίες «ανθρωπιστικής διπλωματίας» σε διμερές, περιφερειακό και διεθνές επίπεδο. Οι </w:t>
      </w:r>
      <w:r>
        <w:rPr>
          <w:rFonts w:ascii="Times New Roman" w:hAnsi="Times New Roman"/>
          <w:b/>
          <w:bCs/>
          <w:noProof/>
          <w:sz w:val="24"/>
          <w:szCs w:val="24"/>
        </w:rPr>
        <w:t xml:space="preserve">ενοποιημένες δεσμεύσεις της ΕΕ </w:t>
      </w:r>
      <w:r>
        <w:rPr>
          <w:rFonts w:ascii="Times New Roman" w:hAnsi="Times New Roman"/>
          <w:noProof/>
          <w:sz w:val="24"/>
          <w:szCs w:val="24"/>
        </w:rPr>
        <w:t>(μαζί με τις δεσμεύσεις των κρατών μελών σε εθνικό επίπεδο) μπορούν να ενισχύσουν την προβολή της δέσμευσης της ΕΕ σε διεθνείς διασκέψεις των χορηγών.</w:t>
      </w:r>
    </w:p>
    <w:p>
      <w:pPr>
        <w:jc w:val="both"/>
        <w:rPr>
          <w:rFonts w:ascii="Times New Roman" w:hAnsi="Times New Roman" w:cs="Times New Roman"/>
          <w:noProof/>
          <w:sz w:val="24"/>
          <w:szCs w:val="24"/>
        </w:rPr>
      </w:pPr>
      <w:r>
        <w:rPr>
          <w:rFonts w:ascii="Times New Roman" w:hAnsi="Times New Roman"/>
          <w:noProof/>
          <w:sz w:val="24"/>
          <w:szCs w:val="24"/>
        </w:rPr>
        <w:t xml:space="preserve">Τα κράτη μέλη και η Επιτροπή στο πλαίσιο της προσέγγισης «Ομάδα Ευρώπη» μπορούν επίσης να επωφεληθούν από μια ακόμη </w:t>
      </w:r>
      <w:r>
        <w:rPr>
          <w:rFonts w:ascii="Times New Roman" w:hAnsi="Times New Roman"/>
          <w:b/>
          <w:bCs/>
          <w:noProof/>
          <w:sz w:val="24"/>
          <w:szCs w:val="24"/>
        </w:rPr>
        <w:t>στενότερη ανταλλαγή και συγκέντρωση αναλύσεων</w:t>
      </w:r>
      <w:r>
        <w:rPr>
          <w:rFonts w:ascii="Times New Roman" w:hAnsi="Times New Roman"/>
          <w:noProof/>
          <w:sz w:val="24"/>
          <w:szCs w:val="24"/>
        </w:rPr>
        <w:t xml:space="preserve"> σε καταστάσεις κρίσης. Ως εκ τούτου, η Επιτροπή θα εξακολουθήσει να διαθέτει την εμπειρογνωσία του ανθρωπιστικού της δικτύου</w:t>
      </w:r>
      <w:r>
        <w:rPr>
          <w:rStyle w:val="FootnoteReference"/>
          <w:rFonts w:ascii="Times New Roman" w:hAnsi="Times New Roman" w:cs="Times New Roman"/>
          <w:noProof/>
          <w:sz w:val="24"/>
          <w:szCs w:val="24"/>
          <w:lang w:val="en-IE"/>
        </w:rPr>
        <w:footnoteReference w:id="65"/>
      </w:r>
      <w:r>
        <w:rPr>
          <w:rFonts w:ascii="Times New Roman" w:hAnsi="Times New Roman"/>
          <w:noProof/>
          <w:sz w:val="24"/>
          <w:szCs w:val="24"/>
        </w:rPr>
        <w:t xml:space="preserve">, παράλληλα με αυτή των αντιπροσωπειών της ΕΕ, προς όφελος των κρατών μελών. Αυτό θα περιλαμβάνει τη συστηματικότερη παροχή δυνατότητας εκτέλεσης μέρους της χρηματοδότησής τους σε συγκεκριμένες κρίσεις με άμεση συνεισφορά στους δημοσιονομικούς μηχανισμούς της ΕΕ ως </w:t>
      </w:r>
      <w:r>
        <w:rPr>
          <w:rFonts w:ascii="Times New Roman" w:hAnsi="Times New Roman"/>
          <w:b/>
          <w:bCs/>
          <w:noProof/>
          <w:sz w:val="24"/>
          <w:szCs w:val="24"/>
        </w:rPr>
        <w:t>εξωτερικά έσοδα για ειδικό προορισμό</w:t>
      </w:r>
      <w:r>
        <w:rPr>
          <w:rFonts w:ascii="Times New Roman" w:hAnsi="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noProof/>
          <w:sz w:val="24"/>
          <w:szCs w:val="24"/>
        </w:rPr>
        <w:t xml:space="preserve">Η </w:t>
      </w:r>
      <w:r>
        <w:rPr>
          <w:rFonts w:ascii="Times New Roman" w:hAnsi="Times New Roman"/>
          <w:b/>
          <w:noProof/>
          <w:sz w:val="24"/>
          <w:szCs w:val="24"/>
        </w:rPr>
        <w:t>συγκέντρωση πόρων</w:t>
      </w:r>
      <w:r>
        <w:rPr>
          <w:rFonts w:ascii="Times New Roman" w:hAnsi="Times New Roman"/>
          <w:noProof/>
          <w:sz w:val="24"/>
          <w:szCs w:val="24"/>
        </w:rPr>
        <w:t xml:space="preserve"> μπορεί επίσης να συμβάλει στη μεγιστοποίηση του αντικτύπου των παρεμβάσεων της ΕΕ και των κρατών μελών, προσφέροντας παράλληλα στα κράτη μέλη τη δυνατότητα να επεκτείνουν την εμβέλεια της ανθρωπιστικής τους βοήθειας. Οι εν λόγω προσπάθειες θα είναι ασφαλώς συμπληρωματικές προς τους καθιερωμένους μηχανισμούς συλλογικής χρηματοδότησης και δεν θα πρέπει να ανταγωνίζονται με αυτούς.</w:t>
      </w:r>
      <w:r>
        <w:rPr>
          <w:rFonts w:ascii="Times New Roman" w:hAnsi="Times New Roman"/>
          <w:noProof/>
          <w:sz w:val="24"/>
          <w:szCs w:val="24"/>
          <w:highlight w:val="yellow"/>
        </w:rPr>
        <w:t xml:space="preserve"> </w:t>
      </w:r>
    </w:p>
    <w:p>
      <w:pPr>
        <w:jc w:val="both"/>
        <w:rPr>
          <w:rFonts w:ascii="Times New Roman" w:hAnsi="Times New Roman" w:cs="Times New Roman"/>
          <w:noProof/>
          <w:sz w:val="24"/>
          <w:szCs w:val="24"/>
        </w:rPr>
      </w:pPr>
      <w:r>
        <w:rPr>
          <w:rFonts w:ascii="Times New Roman" w:hAnsi="Times New Roman"/>
          <w:noProof/>
          <w:sz w:val="24"/>
          <w:szCs w:val="24"/>
        </w:rPr>
        <w:t>Σε επιχειρησιακό επίπεδο, η Επιτροπή θα προσφέρει τη δική της εμπειρογνωσία και τους δικούς της πόρους, τόσο στον τομέα της ανθρωπιστικής βοήθειας όσο και στον τομέα της πολιτικής προστασίας, συμπεριλαμβανομένου του δικτύου εμπειρογνωμόνων του ανθρωπιστικού τομέα και του Δικτύου Γνώσεων για την Πολιτική Προστασία της Ένωσης</w:t>
      </w:r>
      <w:r>
        <w:rPr>
          <w:rStyle w:val="FootnoteReference"/>
          <w:rFonts w:ascii="Times New Roman" w:hAnsi="Times New Roman" w:cs="Times New Roman"/>
          <w:noProof/>
          <w:sz w:val="24"/>
          <w:szCs w:val="24"/>
          <w:lang w:val="en-IE"/>
        </w:rPr>
        <w:footnoteReference w:id="66"/>
      </w:r>
      <w:r>
        <w:rPr>
          <w:rFonts w:ascii="Times New Roman" w:hAnsi="Times New Roman"/>
          <w:noProof/>
          <w:sz w:val="24"/>
          <w:szCs w:val="24"/>
        </w:rPr>
        <w:t>. Παράλληλα, η ΕΕ θα εξακολουθήσει να αναπτύσσει πολιτικές και κατευθυντήριες γραμμές στους σχετικούς τομείς της ανθρωπιστικής βοήθειας, αξιοποιώντας τον αντίκτυπο που είχαν οι θεματικές πολιτικές της σε τομείς όπως η προστασία, το φύλο, η αναπηρία, τα τρόφιμα, η διατροφή, η υγεία —συμπεριλαμβανομένης της ψυχικής υγείας και της ψυχοκοινωνικής στήριξης— η στέγαση, η ύδρευση, η αποχέτευση και η υγιεινή, η εκπαίδευση σε καταστάσεις έκτακτης ανάγκης, το περιβάλλον και οι μέθοδοι παροχής βοήθειας (π.χ. χρηματική βοήθεια).</w:t>
      </w:r>
    </w:p>
    <w:p>
      <w:pPr>
        <w:jc w:val="both"/>
        <w:rPr>
          <w:rFonts w:ascii="Times New Roman" w:hAnsi="Times New Roman" w:cs="Times New Roman"/>
          <w:noProof/>
          <w:sz w:val="24"/>
          <w:szCs w:val="24"/>
        </w:rPr>
      </w:pPr>
      <w:r>
        <w:rPr>
          <w:rFonts w:ascii="Times New Roman" w:hAnsi="Times New Roman"/>
          <w:noProof/>
          <w:sz w:val="24"/>
          <w:szCs w:val="24"/>
        </w:rPr>
        <w:t xml:space="preserve">Η Επιτροπή, συμβάλλοντας ενεργά στον διάλογο για ανθρωπιστικά θέματα σε πολυμερές επίπεδο, θα διοργανώσει το 2021 ένα </w:t>
      </w:r>
      <w:r>
        <w:rPr>
          <w:rFonts w:ascii="Times New Roman" w:hAnsi="Times New Roman"/>
          <w:b/>
          <w:bCs/>
          <w:noProof/>
          <w:sz w:val="24"/>
          <w:szCs w:val="24"/>
        </w:rPr>
        <w:t>ευρωπαϊκό ανθρωπιστικό φόρουμ</w:t>
      </w:r>
      <w:r>
        <w:rPr>
          <w:rFonts w:ascii="Times New Roman" w:hAnsi="Times New Roman"/>
          <w:noProof/>
          <w:sz w:val="24"/>
          <w:szCs w:val="24"/>
        </w:rPr>
        <w:t xml:space="preserve"> για την προώθηση μιας </w:t>
      </w:r>
      <w:r>
        <w:rPr>
          <w:rFonts w:ascii="Times New Roman" w:hAnsi="Times New Roman"/>
          <w:b/>
          <w:bCs/>
          <w:noProof/>
          <w:sz w:val="24"/>
          <w:szCs w:val="24"/>
        </w:rPr>
        <w:t>διαρκέστερης συζήτησης και διαλόγου, μεταξύ άλλων σχετικά με τα θέματα ανθρωπιστικής πολιτικής που θίγονται στην παρούσα ανακοίνωση</w:t>
      </w:r>
      <w:r>
        <w:rPr>
          <w:rFonts w:ascii="Times New Roman" w:hAnsi="Times New Roman"/>
          <w:noProof/>
          <w:sz w:val="24"/>
          <w:szCs w:val="24"/>
        </w:rPr>
        <w:t xml:space="preserve"> στο πνεύμα της «Ομάδας Ευρώπη». Στο πλαίσιο αυτό θα συμμετέχουν βασικοί ενδιαφερόμενοι από τα κράτη μέλη, τα θεσμικά όργανα της ΕΕ, συμπεριλαμβανομένου του Ευρωπαϊκού Κοινοβουλίου, και επιχειρησιακοί φορείς στον τομέα της ανθρωπιστικής βοήθειας. </w:t>
      </w:r>
    </w:p>
    <w:p>
      <w:pPr>
        <w:jc w:val="both"/>
        <w:rPr>
          <w:rFonts w:ascii="Times New Roman" w:hAnsi="Times New Roman" w:cs="Times New Roman"/>
          <w:noProof/>
          <w:sz w:val="24"/>
          <w:szCs w:val="24"/>
        </w:rPr>
      </w:pPr>
      <w:r>
        <w:rPr>
          <w:rFonts w:ascii="Times New Roman" w:hAnsi="Times New Roman"/>
          <w:noProof/>
          <w:sz w:val="24"/>
          <w:szCs w:val="24"/>
        </w:rPr>
        <w:t xml:space="preserve">Επιπλέον, η Επιτροπή θα συνεχίσει τις προσπάθειές της για την προώθηση της </w:t>
      </w:r>
      <w:r>
        <w:rPr>
          <w:rFonts w:ascii="Times New Roman" w:hAnsi="Times New Roman"/>
          <w:b/>
          <w:noProof/>
          <w:sz w:val="24"/>
          <w:szCs w:val="24"/>
        </w:rPr>
        <w:t>προβολής της ανθρωπιστικής βοήθειας της ΕΕ</w:t>
      </w:r>
      <w:r>
        <w:rPr>
          <w:rFonts w:ascii="Times New Roman" w:hAnsi="Times New Roman"/>
          <w:noProof/>
          <w:sz w:val="24"/>
          <w:szCs w:val="24"/>
        </w:rPr>
        <w:t>. Η Επιτροπή θα επικαιροποιήσει την καθοδήγηση και την παρακολούθηση των υποχρεώσεων προβολής, δίνοντας τη δυνατότητα στους εταίρους της στον τομέα της ανθρωπιστικής βοήθειας να επενδύσουν περισσότερο στην ευαισθητοποίηση όσον αφορά την ανθρωπιστική βοήθεια της ΕΕ. Οι δράσεις επικοινωνίας της Επιτροπής θα στηρίξουν τις γενικές αρχές της διαφάνειας, της λογοδοσίας και του διαλόγου με τους πολίτες.</w:t>
      </w:r>
    </w:p>
    <w:p>
      <w:pPr>
        <w:rPr>
          <w:rFonts w:ascii="Times New Roman" w:hAnsi="Times New Roman" w:cs="Times New Roman"/>
          <w:i/>
          <w:iCs/>
          <w:noProof/>
          <w:sz w:val="24"/>
          <w:szCs w:val="24"/>
        </w:rPr>
      </w:pPr>
    </w:p>
    <w:p>
      <w:pPr>
        <w:rPr>
          <w:rFonts w:ascii="Times New Roman" w:hAnsi="Times New Roman" w:cs="Times New Roman"/>
          <w:i/>
          <w:iCs/>
          <w:noProof/>
          <w:sz w:val="24"/>
          <w:szCs w:val="24"/>
        </w:rPr>
      </w:pPr>
      <w:r>
        <w:rPr>
          <w:rFonts w:ascii="Times New Roman" w:hAnsi="Times New Roman"/>
          <w:i/>
          <w:iCs/>
          <w:noProof/>
          <w:sz w:val="24"/>
          <w:szCs w:val="24"/>
        </w:rPr>
        <w:t xml:space="preserve">Ενίσχυση της ανθρωπιστικής δέσμευσης της ΕΕ σε πολυμερές επίπεδο </w:t>
      </w:r>
    </w:p>
    <w:p>
      <w:pPr>
        <w:spacing w:line="276" w:lineRule="auto"/>
        <w:jc w:val="both"/>
        <w:rPr>
          <w:rFonts w:ascii="Times New Roman" w:hAnsi="Times New Roman" w:cs="Times New Roman"/>
          <w:noProof/>
          <w:sz w:val="24"/>
          <w:szCs w:val="24"/>
        </w:rPr>
      </w:pPr>
      <w:r>
        <w:rPr>
          <w:rFonts w:ascii="Times New Roman" w:hAnsi="Times New Roman"/>
          <w:noProof/>
          <w:sz w:val="24"/>
          <w:szCs w:val="24"/>
        </w:rPr>
        <w:t xml:space="preserve">Σε ένα γεωπολιτικό περιβάλλον γεμάτο προκλήσεις, η ΕΕ δεσμεύεται να στηρίξει τον κεντρικό συντονιστικό ρόλο των Ηνωμένων Εθνών για την αντιμετώπιση των ανθρωπιστικών κρίσεων και για τη θέσπιση και την τήρηση διεθνών κανονιστικών και νομικών πλαισίων. Για την αποτελεσματική στήριξη των Ηνωμένων Εθνών, έχει ζωτική σημασία η ΕΕ και τα κράτη μέλη της να καταβάλλουν </w:t>
      </w:r>
      <w:r>
        <w:rPr>
          <w:rFonts w:ascii="Times New Roman" w:hAnsi="Times New Roman"/>
          <w:b/>
          <w:bCs/>
          <w:noProof/>
          <w:sz w:val="24"/>
          <w:szCs w:val="24"/>
        </w:rPr>
        <w:t>συστηματικές προσπάθειες για την εδραίωση των θέσεων</w:t>
      </w:r>
      <w:r>
        <w:rPr>
          <w:rFonts w:ascii="Times New Roman" w:hAnsi="Times New Roman"/>
          <w:noProof/>
          <w:sz w:val="24"/>
          <w:szCs w:val="24"/>
        </w:rPr>
        <w:t xml:space="preserve"> σε διεθνή και πολυμερή φόρουμ, συμπεριλαμβανομένων των κόμβων των Ηνωμένων Εθνών στη Νέα Υόρκη, τη Γενεύη και τη Ρώμη. Η ΕΕ θα εξακολουθήσει να διαδραματίζει ενεργό ρόλο στους διεθνείς διαλόγους για ανθρωπιστικά θέματα, μεταξύ άλλων στη Γενική Συνέλευση των Ηνωμένων Εθνών και στο Οικονομικό και Κοινωνικό Συμβούλιο των Ηνωμένων Εθνών. Η ΕΕ </w:t>
      </w:r>
      <w:r>
        <w:rPr>
          <w:rFonts w:ascii="Times New Roman" w:hAnsi="Times New Roman"/>
          <w:b/>
          <w:bCs/>
          <w:noProof/>
          <w:sz w:val="24"/>
          <w:szCs w:val="24"/>
        </w:rPr>
        <w:t>θα ενισχύσει περαιτέρω τη δέσμευσή της στα διοικητικά όργανα των οργανισμών, των ταμείων και των προγραμμάτων των Ηνωμένων Εθνών</w:t>
      </w:r>
      <w:r>
        <w:rPr>
          <w:rStyle w:val="FootnoteReference"/>
          <w:rFonts w:ascii="Times New Roman" w:hAnsi="Times New Roman" w:cs="Times New Roman"/>
          <w:b/>
          <w:bCs/>
          <w:noProof/>
          <w:sz w:val="24"/>
          <w:szCs w:val="24"/>
        </w:rPr>
        <w:footnoteReference w:id="67"/>
      </w:r>
      <w:r>
        <w:rPr>
          <w:rFonts w:ascii="Times New Roman" w:hAnsi="Times New Roman"/>
          <w:noProof/>
          <w:sz w:val="24"/>
          <w:szCs w:val="24"/>
        </w:rPr>
        <w:t xml:space="preserve">. </w:t>
      </w:r>
    </w:p>
    <w:tbl>
      <w:tblPr>
        <w:tblW w:w="0" w:type="auto"/>
        <w:tblCellMar>
          <w:left w:w="0" w:type="dxa"/>
          <w:right w:w="0" w:type="dxa"/>
        </w:tblCellMar>
        <w:tblLook w:val="04A0" w:firstRow="1" w:lastRow="0" w:firstColumn="1" w:lastColumn="0" w:noHBand="0" w:noVBand="1"/>
      </w:tblPr>
      <w:tblGrid>
        <w:gridCol w:w="9242"/>
      </w:tblGrid>
      <w:tr>
        <w:tc>
          <w:tcPr>
            <w:tcW w:w="92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pPr>
              <w:spacing w:after="0"/>
              <w:jc w:val="both"/>
              <w:rPr>
                <w:rFonts w:ascii="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Ενίσχυση της δέσμευσης και του ηγετικού ρόλου της ΕΕ στον τομέα της ανθρωπιστικής βοήθειας ώστε να μεγιστοποιηθεί ο αντίκτυπός της.</w:t>
            </w:r>
          </w:p>
          <w:p>
            <w:pPr>
              <w:spacing w:after="0"/>
              <w:jc w:val="both"/>
              <w:rPr>
                <w:rFonts w:ascii="Times New Roman" w:hAnsi="Times New Roman" w:cs="Times New Roman"/>
                <w:i/>
                <w:iCs/>
                <w:noProof/>
                <w:sz w:val="24"/>
                <w:szCs w:val="24"/>
              </w:rPr>
            </w:pPr>
          </w:p>
          <w:p>
            <w:pPr>
              <w:spacing w:after="0"/>
              <w:jc w:val="both"/>
              <w:rPr>
                <w:rFonts w:ascii="Times New Roman" w:hAnsi="Times New Roman" w:cs="Times New Roman"/>
                <w:i/>
                <w:iCs/>
                <w:noProof/>
                <w:sz w:val="24"/>
                <w:szCs w:val="24"/>
              </w:rPr>
            </w:pPr>
            <w:r>
              <w:rPr>
                <w:rFonts w:ascii="Times New Roman" w:hAnsi="Times New Roman"/>
                <w:b/>
                <w:i/>
                <w:iCs/>
                <w:noProof/>
                <w:sz w:val="24"/>
                <w:szCs w:val="24"/>
              </w:rPr>
              <w:t>Βασικές δράσεις</w:t>
            </w:r>
            <w:r>
              <w:rPr>
                <w:rFonts w:ascii="Times New Roman" w:hAnsi="Times New Roman"/>
                <w:i/>
                <w:iCs/>
                <w:noProof/>
                <w:sz w:val="24"/>
                <w:szCs w:val="24"/>
              </w:rPr>
              <w:t>:</w:t>
            </w:r>
          </w:p>
          <w:p>
            <w:pPr>
              <w:pStyle w:val="ListParagraph"/>
              <w:numPr>
                <w:ilvl w:val="0"/>
                <w:numId w:val="33"/>
              </w:numPr>
              <w:spacing w:after="0"/>
              <w:jc w:val="both"/>
              <w:rPr>
                <w:i/>
                <w:noProof/>
                <w:sz w:val="24"/>
                <w:szCs w:val="24"/>
              </w:rPr>
            </w:pPr>
            <w:r>
              <w:rPr>
                <w:rFonts w:ascii="Times New Roman" w:hAnsi="Times New Roman"/>
                <w:i/>
                <w:iCs/>
                <w:noProof/>
                <w:sz w:val="24"/>
                <w:szCs w:val="24"/>
              </w:rPr>
              <w:t>Ενθάρρυνση κοινών μηνυμάτων από την ΕΕ και τα κράτη μέλη της σχετικά με βασικές ανθρωπιστικές κρίσεις και ενθάρρυνση των ενοποιημένων δεσμεύσεων της ΕΕ και των κρατών μελών της σε διεθνείς ανθρωπιστικές διασκέψεις των χορηγών (παράλληλα με τις εθνικές) στο πλαίσιο της προσέγγισης «Ομάδα Ευρώπη». Προσπάθειες για την εδραίωση των θέσεων της ΕΕ και των κρατών μελών στα σχετικά διεθνή και πολυμερή φόρουμ</w:t>
            </w:r>
            <w:r>
              <w:rPr>
                <w:rFonts w:ascii="Times New Roman" w:hAnsi="Times New Roman"/>
                <w:i/>
                <w:noProof/>
                <w:sz w:val="24"/>
                <w:szCs w:val="24"/>
              </w:rPr>
              <w:t xml:space="preserve">. </w:t>
            </w:r>
          </w:p>
          <w:p>
            <w:pPr>
              <w:pStyle w:val="ListParagraph"/>
              <w:numPr>
                <w:ilvl w:val="0"/>
                <w:numId w:val="33"/>
              </w:numPr>
              <w:spacing w:after="0"/>
              <w:jc w:val="both"/>
              <w:rPr>
                <w:rFonts w:ascii="Times New Roman" w:hAnsi="Times New Roman" w:cs="Times New Roman"/>
                <w:i/>
                <w:noProof/>
                <w:sz w:val="24"/>
                <w:szCs w:val="24"/>
              </w:rPr>
            </w:pPr>
            <w:r>
              <w:rPr>
                <w:rFonts w:ascii="Times New Roman" w:hAnsi="Times New Roman"/>
                <w:i/>
                <w:iCs/>
                <w:noProof/>
                <w:sz w:val="24"/>
                <w:szCs w:val="24"/>
              </w:rPr>
              <w:t>Ανάπτυξη της δυνατότητας χρήσης εξωτερικών εσόδων για ειδικό προορισμό προκειμένου τα κράτη μέλη της ΕΕ να επωφεληθούν από την παρουσία και την εμπειρογνωσία της ΕΕ στον ανθρωπιστικό τομέα.</w:t>
            </w:r>
          </w:p>
          <w:p>
            <w:pPr>
              <w:pStyle w:val="ListParagraph"/>
              <w:numPr>
                <w:ilvl w:val="0"/>
                <w:numId w:val="33"/>
              </w:numPr>
              <w:spacing w:after="0"/>
              <w:jc w:val="both"/>
              <w:rPr>
                <w:rFonts w:ascii="Times New Roman" w:hAnsi="Times New Roman" w:cs="Times New Roman"/>
                <w:i/>
                <w:iCs/>
                <w:noProof/>
                <w:sz w:val="24"/>
                <w:szCs w:val="24"/>
              </w:rPr>
            </w:pPr>
            <w:r>
              <w:rPr>
                <w:rFonts w:ascii="Times New Roman" w:hAnsi="Times New Roman"/>
                <w:i/>
                <w:iCs/>
                <w:noProof/>
                <w:sz w:val="24"/>
                <w:szCs w:val="24"/>
              </w:rPr>
              <w:t>Διοργάνωση ευρωπαϊκού ανθρωπιστικού φόρουμ το 2021 για την προώθηση του διαλόγου σε θέματα ανθρωπιστικής πολιτικής.</w:t>
            </w:r>
          </w:p>
          <w:p>
            <w:pPr>
              <w:pStyle w:val="ListParagraph"/>
              <w:numPr>
                <w:ilvl w:val="0"/>
                <w:numId w:val="33"/>
              </w:numPr>
              <w:spacing w:after="0"/>
              <w:jc w:val="both"/>
              <w:rPr>
                <w:i/>
                <w:iCs/>
                <w:noProof/>
                <w:sz w:val="24"/>
                <w:szCs w:val="24"/>
              </w:rPr>
            </w:pPr>
            <w:r>
              <w:rPr>
                <w:rFonts w:ascii="Times New Roman" w:hAnsi="Times New Roman"/>
                <w:i/>
                <w:iCs/>
                <w:noProof/>
                <w:sz w:val="24"/>
                <w:szCs w:val="24"/>
              </w:rPr>
              <w:t>Προώθηση και έναρξη περαιτέρω διαλόγου με τους βασικούς ενδιαφερομένους για την προώθηση των προτεινόμενων βασικών δράσεων που διατυπώνονται στην παρούσα ανακοίνωση.</w:t>
            </w:r>
            <w:r>
              <w:rPr>
                <w:i/>
                <w:iCs/>
                <w:noProof/>
                <w:sz w:val="24"/>
                <w:szCs w:val="24"/>
              </w:rPr>
              <w:t xml:space="preserve"> </w:t>
            </w:r>
          </w:p>
        </w:tc>
      </w:tr>
    </w:tbl>
    <w:p>
      <w:pPr>
        <w:rPr>
          <w:rFonts w:ascii="Calibri" w:hAnsi="Calibri" w:cs="Calibri"/>
          <w:noProof/>
        </w:rPr>
      </w:pPr>
    </w:p>
    <w:p>
      <w:pPr>
        <w:pStyle w:val="ListParagraph"/>
        <w:numPr>
          <w:ilvl w:val="0"/>
          <w:numId w:val="8"/>
        </w:numPr>
        <w:jc w:val="both"/>
        <w:rPr>
          <w:rFonts w:ascii="Times New Roman" w:hAnsi="Times New Roman" w:cs="Times New Roman"/>
          <w:b/>
          <w:bCs/>
          <w:noProof/>
          <w:sz w:val="24"/>
          <w:szCs w:val="24"/>
        </w:rPr>
      </w:pPr>
      <w:r>
        <w:rPr>
          <w:rFonts w:ascii="Times New Roman" w:hAnsi="Times New Roman"/>
          <w:b/>
          <w:bCs/>
          <w:noProof/>
          <w:sz w:val="24"/>
          <w:szCs w:val="24"/>
        </w:rPr>
        <w:t xml:space="preserve">Συμπεράσματα </w:t>
      </w:r>
    </w:p>
    <w:p>
      <w:pPr>
        <w:jc w:val="both"/>
        <w:rPr>
          <w:rFonts w:ascii="Times New Roman" w:hAnsi="Times New Roman" w:cs="Times New Roman"/>
          <w:noProof/>
          <w:sz w:val="24"/>
          <w:szCs w:val="24"/>
        </w:rPr>
      </w:pPr>
      <w:r>
        <w:rPr>
          <w:rFonts w:ascii="Times New Roman" w:hAnsi="Times New Roman"/>
          <w:noProof/>
          <w:sz w:val="24"/>
          <w:szCs w:val="24"/>
        </w:rPr>
        <w:t>Η ανθρωπιστική βοήθεια αποτελεί απτή έκφραση της αλληλεγγύης της ΕΕ, η οποία αποτελεί θεμελιώδη και αναγκαία αξία σε αυτούς τους δύσκολους καιρούς. Στο πλαίσιο των αυξανόμενων ανθρωπιστικών αναγκών και των περιορισμένων πόρων και σύμφωνα με τις θεμελιώδεις αρχές και αξίες της, η ΕΕ πρέπει να συνεχίσει να δίνει το παράδειγμα σε αυτόν τον τομέα. Το φιλόδοξο θεματολόγιο που καθορίζεται στην παρούσα ανακοίνωση μπορεί να επιτευχθεί μόνο σε στενό συντονισμό με τα κράτη μέλη της ΕΕ, καθώς και με τους εταίρους της ΕΕ στον τομέα της ανθρωπιστικής βοήθειας. Η Επιτροπή καλεί το Ευρωπαϊκό Κοινοβούλιο και το Συμβούλιο να συμμετάσχουν στην υποστήριξη και την προώθηση των προτεινόμενων δράσεων της παρούσας ανακοίνωσης.</w:t>
      </w: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jc w:val="cente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rPr>
          <w:rFonts w:ascii="Times New Roman" w:hAnsi="Times New Roman" w:cs="Times New Roman"/>
          <w:b/>
          <w:noProof/>
          <w:sz w:val="24"/>
          <w:szCs w:val="24"/>
        </w:rPr>
      </w:pPr>
    </w:p>
    <w:p>
      <w:pPr>
        <w:jc w:val="center"/>
        <w:rPr>
          <w:rFonts w:ascii="Times New Roman" w:hAnsi="Times New Roman" w:cs="Times New Roman"/>
          <w:b/>
          <w:noProof/>
          <w:sz w:val="24"/>
          <w:szCs w:val="24"/>
        </w:rPr>
      </w:pPr>
      <w:r>
        <w:rPr>
          <w:rFonts w:ascii="Times New Roman" w:hAnsi="Times New Roman"/>
          <w:b/>
          <w:noProof/>
          <w:sz w:val="24"/>
          <w:szCs w:val="24"/>
        </w:rPr>
        <w:t>Προσάρτημα: επισκόπηση των βασικών δράσεων</w:t>
      </w:r>
    </w:p>
    <w:p>
      <w:pPr>
        <w:rPr>
          <w:rFonts w:ascii="Times New Roman" w:hAnsi="Times New Roman" w:cs="Times New Roman"/>
          <w:b/>
          <w:noProof/>
          <w:sz w:val="24"/>
          <w:szCs w:val="24"/>
          <w:u w:val="single"/>
        </w:rPr>
      </w:pPr>
      <w:r>
        <w:rPr>
          <w:rFonts w:ascii="Times New Roman" w:hAnsi="Times New Roman"/>
          <w:b/>
          <w:noProof/>
          <w:sz w:val="24"/>
          <w:szCs w:val="24"/>
          <w:u w:val="single"/>
        </w:rPr>
        <w:t>Βασικές δράσεις για την ΕΕ</w:t>
      </w:r>
    </w:p>
    <w:p>
      <w:pPr>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Προώθηση ευέλικτων και αποτελεσματικών μηχανισμών ανθρωπιστικής δράσης και χρηματοδότησης.</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hAnsi="Times New Roman"/>
          <w:iCs/>
          <w:noProof/>
          <w:sz w:val="24"/>
          <w:szCs w:val="24"/>
        </w:rPr>
        <w:t>Επέκταση των πολυετών και ευέλικτων χρηματοδοτικών ρυθμίσεων με τους εταίρους στον τομέα της ανθρωπιστικής βοήθειας</w:t>
      </w:r>
      <w:r>
        <w:rPr>
          <w:noProof/>
        </w:rPr>
        <w:t xml:space="preserve"> </w:t>
      </w:r>
      <w:r>
        <w:rPr>
          <w:rFonts w:ascii="Times New Roman" w:hAnsi="Times New Roman"/>
          <w:iCs/>
          <w:noProof/>
          <w:sz w:val="24"/>
          <w:szCs w:val="24"/>
        </w:rPr>
        <w:t>—σε συνεργασία με μέσα ανάπτυξης όταν μπορεί να προβλεφθεί μια προσέγγιση βάσει συσχετισμού— και απλούστευση/εναρμόνιση των απαιτήσεων υποβολής εκθέσεων σύμφωνα με τη «Μεγάλη Συμφωνία» με παράλληλη διασφάλιση του συντονισμού των εκτιμήσεων αναγκών μεταξύ των οργανισμών και της ενίσχυσης της λογοδοσίας, της αποτελεσματικότητας και της προβολής της στήριξης της ΕΕ.</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hAnsi="Times New Roman"/>
          <w:iCs/>
          <w:noProof/>
          <w:sz w:val="24"/>
          <w:szCs w:val="24"/>
        </w:rPr>
        <w:t>Αύξηση της στήριξης της ΕΕ προς τους τοπικούς παράγοντες που αναλαμβάνουν δράση, μεταξύ άλλων μέσω της εκτεταμένης χρήσης συγκεντρωμένων ανά χώρα κονδυλίων και άλλων χρηματοδοτικών μηχανισμών που δίνουν προτεραιότητα στους τοπικούς φορείς.</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hAnsi="Times New Roman"/>
          <w:iCs/>
          <w:noProof/>
          <w:sz w:val="24"/>
          <w:szCs w:val="24"/>
        </w:rPr>
        <w:t>Ανάπτυξη κατευθυντήριων γραμμών για την προαγωγή ισότιμων εταιρικών σχέσεων με τοπικούς παράγοντες που αναλαμβάνουν δράση.</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hAnsi="Times New Roman"/>
          <w:iCs/>
          <w:noProof/>
          <w:sz w:val="24"/>
          <w:szCs w:val="24"/>
        </w:rPr>
        <w:t>Ενθάρρυνση της περαιτέρω χρήσης ψηφιακών εργαλείων από τους εταίρους στον τομέα της ανθρωπιστικής βοήθειας, μεταξύ άλλων μέσω κοινών εργασιών για τη δημιουργία ευνοϊκού περιβάλλοντος.</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hAnsi="Times New Roman"/>
          <w:iCs/>
          <w:noProof/>
          <w:sz w:val="24"/>
          <w:szCs w:val="24"/>
        </w:rPr>
        <w:t>Κατάρτιση ειδικών κατευθυντήριων γραμμών για την επέκταση της χρήσης ψηφιακού χρήματος και διασφάλιση της πρόσβασης των αποδεκτών της βοήθειας σε ψηφιακές λύσεις στο πλαίσιο της αναθεώρησης της θεματικής πολιτικής της ΕΕ για τις χρηματικές μεταβιβάσεις.</w:t>
      </w:r>
    </w:p>
    <w:p>
      <w:pPr>
        <w:pStyle w:val="ListParagraph"/>
        <w:numPr>
          <w:ilvl w:val="0"/>
          <w:numId w:val="2"/>
        </w:numPr>
        <w:jc w:val="both"/>
        <w:rPr>
          <w:rFonts w:ascii="Times New Roman" w:eastAsiaTheme="minorEastAsia" w:hAnsi="Times New Roman" w:cs="Times New Roman"/>
          <w:iCs/>
          <w:noProof/>
          <w:sz w:val="24"/>
          <w:szCs w:val="24"/>
        </w:rPr>
      </w:pPr>
      <w:r>
        <w:rPr>
          <w:rFonts w:ascii="Times New Roman" w:hAnsi="Times New Roman"/>
          <w:iCs/>
          <w:noProof/>
          <w:sz w:val="24"/>
          <w:szCs w:val="24"/>
        </w:rPr>
        <w:t>Στήριξη, κλιμάκωση και προώθηση επενδύσεων σε</w:t>
      </w:r>
      <w:r>
        <w:rPr>
          <w:rFonts w:ascii="Times New Roman" w:hAnsi="Times New Roman"/>
          <w:noProof/>
          <w:sz w:val="24"/>
          <w:szCs w:val="24"/>
        </w:rPr>
        <w:t xml:space="preserve"> δοκιμασμένες, οικονομικά αποδοτικές, βασισμένες στην τεχνολογία λύσεις για την ανθρωπιστική βοήθεια, με βάση επίσης το παράδειγμα των βραβείων του Ευρωπαϊκού Συμβουλίου Καινοτομίας του 2020.</w:t>
      </w:r>
    </w:p>
    <w:p>
      <w:pPr>
        <w:pStyle w:val="ListParagraph"/>
        <w:jc w:val="both"/>
        <w:rPr>
          <w:rFonts w:ascii="Times New Roman" w:eastAsiaTheme="minorEastAsia" w:hAnsi="Times New Roman" w:cs="Times New Roman"/>
          <w:iCs/>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Διασφάλιση ταχείας και αποτελεσματικής παροχής της ανθρωπιστικής βοήθειας της ΕΕ σε όσους την έχουν ανάγκη.</w:t>
      </w:r>
    </w:p>
    <w:p>
      <w:pPr>
        <w:pStyle w:val="ListParagraph"/>
        <w:numPr>
          <w:ilvl w:val="0"/>
          <w:numId w:val="50"/>
        </w:numPr>
        <w:jc w:val="both"/>
        <w:rPr>
          <w:rFonts w:ascii="Times New Roman" w:eastAsia="Times New Roman" w:hAnsi="Times New Roman" w:cs="Times New Roman"/>
          <w:iCs/>
          <w:noProof/>
          <w:sz w:val="24"/>
          <w:szCs w:val="24"/>
        </w:rPr>
      </w:pPr>
      <w:r>
        <w:rPr>
          <w:rFonts w:ascii="Times New Roman" w:hAnsi="Times New Roman"/>
          <w:iCs/>
          <w:noProof/>
          <w:sz w:val="24"/>
          <w:szCs w:val="24"/>
        </w:rPr>
        <w:t>Ανάπτυξη ικανότητας ευρωπαϊκής ανθρωπιστικής δράσης για την κάλυψη κενών, κατά περίπτωση, η οποία θα διευκολύνει τα κράτη μέλη της ΕΕ και τους εταίρους της στον τομέα της ανθρωπιστικής βοήθειας να παρέχουν ταχέως ανθρωπιστική βοήθεια, σε συντονισμό και συμπληρωματικά με τον μηχανισμό πολιτικής προστασίας της Ένωσης.</w:t>
      </w:r>
    </w:p>
    <w:p>
      <w:pPr>
        <w:pStyle w:val="ListParagraph"/>
        <w:spacing w:line="256" w:lineRule="auto"/>
        <w:rPr>
          <w:rFonts w:ascii="Times New Roman" w:hAnsi="Times New Roman" w:cs="Times New Roman"/>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Περαιτέρω ενσωμάτωση των επιπτώσεων της κλιματικής αλλαγής και των περιβαλλοντικών παραγόντων στην πολιτική και την πρακτική της ανθρωπιστικής βοήθειας και ενίσχυση του συντονισμού με τους φορείς ανάπτυξης, ασφάλειας και κλίματος/περιβάλλοντος για την ανάπτυξη της ανθεκτικότητας των ευάλωτων κοινοτήτων.</w:t>
      </w:r>
    </w:p>
    <w:p>
      <w:pPr>
        <w:pStyle w:val="ListParagraph"/>
        <w:numPr>
          <w:ilvl w:val="0"/>
          <w:numId w:val="44"/>
        </w:numPr>
        <w:spacing w:line="256" w:lineRule="auto"/>
        <w:jc w:val="both"/>
        <w:rPr>
          <w:rFonts w:ascii="Times New Roman" w:hAnsi="Times New Roman" w:cs="Times New Roman"/>
          <w:noProof/>
          <w:sz w:val="24"/>
          <w:szCs w:val="24"/>
        </w:rPr>
      </w:pPr>
      <w:r>
        <w:rPr>
          <w:rFonts w:ascii="Times New Roman" w:hAnsi="Times New Roman"/>
          <w:noProof/>
          <w:sz w:val="24"/>
          <w:szCs w:val="24"/>
        </w:rPr>
        <w:t xml:space="preserve">Προετοιμασία κατευθυντήριων γραμμών και κατάρτισης για τους εταίρους της ΕΕ στον τομέα της ανθρωπιστικής βοήθειας σχετικά με τον οικολογικό προσανατολισμό της ανθρωπιστικής βοήθειας, με στόχο τη μείωση του κλιματικού και περιβαλλοντικού αποτυπώματος της ανθρωπιστικής βοήθειας. </w:t>
      </w:r>
    </w:p>
    <w:p>
      <w:pPr>
        <w:pStyle w:val="ListParagraph"/>
        <w:numPr>
          <w:ilvl w:val="0"/>
          <w:numId w:val="44"/>
        </w:numPr>
        <w:spacing w:line="256" w:lineRule="auto"/>
        <w:jc w:val="both"/>
        <w:rPr>
          <w:rFonts w:ascii="Times New Roman" w:hAnsi="Times New Roman" w:cs="Times New Roman"/>
          <w:noProof/>
          <w:sz w:val="24"/>
          <w:szCs w:val="24"/>
        </w:rPr>
      </w:pPr>
      <w:r>
        <w:rPr>
          <w:rFonts w:ascii="Times New Roman" w:hAnsi="Times New Roman"/>
          <w:noProof/>
          <w:sz w:val="24"/>
          <w:szCs w:val="24"/>
        </w:rPr>
        <w:t>Παρακολούθηση των δαπανών που σχετίζονται με το κλίμα στο πλαίσιο του κανονισμού της ΕΕ για την ανθρωπιστική βοήθεια.</w:t>
      </w:r>
    </w:p>
    <w:p>
      <w:pPr>
        <w:spacing w:after="0" w:line="240" w:lineRule="auto"/>
        <w:jc w:val="both"/>
        <w:rPr>
          <w:rFonts w:ascii="Times New Roman" w:hAnsi="Times New Roman" w:cs="Times New Roman"/>
          <w:i/>
          <w:iCs/>
          <w:noProof/>
          <w:sz w:val="24"/>
          <w:szCs w:val="24"/>
        </w:rPr>
      </w:pPr>
    </w:p>
    <w:p>
      <w:pPr>
        <w:spacing w:after="0" w:line="240" w:lineRule="auto"/>
        <w:jc w:val="both"/>
        <w:rPr>
          <w:rFonts w:ascii="Times New Roman" w:hAnsi="Times New Roman" w:cs="Times New Roman"/>
          <w:i/>
          <w:noProof/>
          <w:sz w:val="24"/>
          <w:szCs w:val="24"/>
          <w:shd w:val="clear" w:color="auto" w:fill="FFFFFF"/>
        </w:rPr>
      </w:pPr>
      <w:r>
        <w:rPr>
          <w:rFonts w:ascii="Times New Roman" w:hAnsi="Times New Roman"/>
          <w:b/>
          <w:i/>
          <w:noProof/>
          <w:sz w:val="24"/>
          <w:szCs w:val="24"/>
          <w:shd w:val="clear" w:color="auto" w:fill="FFFFFF"/>
        </w:rPr>
        <w:t>Στόχος:</w:t>
      </w:r>
      <w:r>
        <w:rPr>
          <w:rFonts w:ascii="Times New Roman" w:hAnsi="Times New Roman"/>
          <w:i/>
          <w:noProof/>
          <w:sz w:val="24"/>
          <w:szCs w:val="24"/>
          <w:shd w:val="clear" w:color="auto" w:fill="FFFFFF"/>
        </w:rPr>
        <w:t xml:space="preserve"> Διασφάλιση της συνέργειας μεταξύ πολιτικών στον ανθρωπιστικό και αναπτυξιακό τομέα, πολιτικών στον τομέα οικοδόμησης της ειρήνης και άλλων πολιτικών για την καλύτερη σύνδεση της επείγουσας αρωγής και των πιο μακροπρόθεσμων λύσεων, με στόχο τη μείωση των αναγκών και την αντιμετώπιση των βαθύτερων αιτίων των συγκρούσεων και των κρίσεων.</w:t>
      </w:r>
    </w:p>
    <w:p>
      <w:pPr>
        <w:spacing w:after="0" w:line="240" w:lineRule="auto"/>
        <w:jc w:val="both"/>
        <w:rPr>
          <w:rFonts w:ascii="Times New Roman" w:hAnsi="Times New Roman" w:cs="Times New Roman"/>
          <w:i/>
          <w:noProof/>
          <w:sz w:val="24"/>
          <w:szCs w:val="24"/>
          <w:shd w:val="clear" w:color="auto" w:fill="FFFFFF"/>
        </w:rPr>
      </w:pP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hAnsi="Times New Roman"/>
          <w:iCs/>
          <w:noProof/>
          <w:sz w:val="24"/>
          <w:szCs w:val="24"/>
        </w:rPr>
        <w:t xml:space="preserve">Διενέργεια συστηματικών κοινών αναλύσεων της ΕΕ σχετικά με τους κινδύνους, τις ανάγκες, τα τρωτά σημεία και τους διαρθρωτικούς παράγοντες της κρίσης, καθώς και, κατά περίπτωση, από κοινού προγραμματισμός και σχεδιασμός των πολιτικών της ΕΕ, σύμφωνα με τον αιτιώδη σύνδεσμο μεταξύ ανθρωπιστικής βοήθειας, ανάπτυξης και ειρήνης. </w:t>
      </w: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hAnsi="Times New Roman"/>
          <w:iCs/>
          <w:noProof/>
          <w:sz w:val="24"/>
          <w:szCs w:val="24"/>
        </w:rPr>
        <w:t>Εφαρμογή αποτελεσματικών συνδέσεων μεταξύ των διαφόρων ανθρωπιστικών, αναπτυξιακών και ειρηνευτικών δράσεων και χρήση των υφιστάμενων εργαλείων, όπως ο διάλογος πολιτικής, για την ενίσχυση των εθνικών και τοπικών ικανοτήτων —συμπεριλαμβανομένης της ικανότητας των μη κρατικών αρχών— ώστε να παρέχουν βασικές υπηρεσίες και να στηρίζουν την ενίσχυση της ανθεκτικότητας.</w:t>
      </w:r>
    </w:p>
    <w:p>
      <w:pPr>
        <w:pStyle w:val="ListParagraph"/>
        <w:numPr>
          <w:ilvl w:val="0"/>
          <w:numId w:val="42"/>
        </w:numPr>
        <w:spacing w:line="256" w:lineRule="auto"/>
        <w:jc w:val="both"/>
        <w:rPr>
          <w:rFonts w:ascii="Times New Roman" w:eastAsiaTheme="minorEastAsia" w:hAnsi="Times New Roman" w:cs="Times New Roman"/>
          <w:iCs/>
          <w:noProof/>
          <w:sz w:val="24"/>
          <w:szCs w:val="24"/>
        </w:rPr>
      </w:pPr>
      <w:r>
        <w:rPr>
          <w:rFonts w:ascii="Times New Roman" w:hAnsi="Times New Roman"/>
          <w:iCs/>
          <w:noProof/>
          <w:sz w:val="24"/>
          <w:szCs w:val="24"/>
        </w:rPr>
        <w:t>Επέκταση της στήριξης για κοινωνικά δίχτυα ασφαλείας που βασίζονται στη χρηματική βοήθεια και ανταποκρίνονται στους κλυδωνισμούς.</w:t>
      </w: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hAnsi="Times New Roman"/>
          <w:iCs/>
          <w:noProof/>
          <w:sz w:val="24"/>
          <w:szCs w:val="24"/>
        </w:rPr>
        <w:t>Προώθηση αποτελεσματικού ανθρωπιστικού συντονισμού του πολιτικού και στρατιωτικού τομέα σε όλα τα συναφή πλαίσια, ως τρόπου προστασίας του ανθρωπιστικού χώρου, αποφυγής των αλληλεπικαλύψεων, ελαχιστοποίησης των ασυνεπειών και μεγιστοποίησης των δυνητικών συνεργειών με φορείς στον τομέα της ασφάλειας και της άμυνας.</w:t>
      </w:r>
    </w:p>
    <w:p>
      <w:pPr>
        <w:pStyle w:val="ListParagraph"/>
        <w:numPr>
          <w:ilvl w:val="0"/>
          <w:numId w:val="42"/>
        </w:numPr>
        <w:jc w:val="both"/>
        <w:rPr>
          <w:rFonts w:ascii="Times New Roman" w:eastAsiaTheme="minorEastAsia" w:hAnsi="Times New Roman" w:cs="Times New Roman"/>
          <w:iCs/>
          <w:noProof/>
          <w:sz w:val="24"/>
          <w:szCs w:val="24"/>
        </w:rPr>
      </w:pPr>
      <w:r>
        <w:rPr>
          <w:rFonts w:ascii="Times New Roman" w:hAnsi="Times New Roman"/>
          <w:iCs/>
          <w:noProof/>
          <w:sz w:val="24"/>
          <w:szCs w:val="24"/>
        </w:rPr>
        <w:t xml:space="preserve">Δημιουργία συνεργειών με τις προσπάθειες της ΕΕ για την ειρηνευτική διαμεσολάβηση και την πρόληψη των συγκρούσεων, με πλήρη σεβασμό των ανθρωπιστικών αρχών, με σκοπό την αύξηση των προσπαθειών για την ανακούφιση των δεινών. </w:t>
      </w:r>
    </w:p>
    <w:p>
      <w:pPr>
        <w:pStyle w:val="ListParagraph"/>
        <w:numPr>
          <w:ilvl w:val="0"/>
          <w:numId w:val="42"/>
        </w:numPr>
        <w:spacing w:line="256" w:lineRule="auto"/>
        <w:jc w:val="both"/>
        <w:rPr>
          <w:rFonts w:ascii="Times New Roman" w:eastAsiaTheme="minorEastAsia" w:hAnsi="Times New Roman" w:cs="Times New Roman"/>
          <w:b/>
          <w:iCs/>
          <w:noProof/>
          <w:sz w:val="24"/>
          <w:szCs w:val="24"/>
        </w:rPr>
      </w:pPr>
      <w:r>
        <w:rPr>
          <w:rFonts w:ascii="Times New Roman" w:hAnsi="Times New Roman"/>
          <w:iCs/>
          <w:noProof/>
          <w:sz w:val="24"/>
          <w:szCs w:val="24"/>
        </w:rPr>
        <w:t>Ενσωμάτωση της εκπαίδευσης στους τομείς προτεραιότητας όσον αφορά τον αιτιώδη σύνδεσμο μεταξύ ανθρωπιστικής βοήθειας, ανάπτυξης και ειρήνης για τη συμβολή στη γεφύρωση του παγκόσμιου χάσματος στην εκπαίδευση, παράλληλα με τομείς όπως η υγεία, η επισιτιστική ασφάλεια, η ετοιμότητα για την αντιμετώπιση καταστροφών και η ανθεκτικότητα στην κλιματική αλλαγή.</w:t>
      </w:r>
    </w:p>
    <w:p>
      <w:pPr>
        <w:pStyle w:val="ListParagraph"/>
        <w:spacing w:line="256" w:lineRule="auto"/>
        <w:jc w:val="both"/>
        <w:rPr>
          <w:rFonts w:ascii="Times New Roman" w:eastAsiaTheme="minorEastAsia" w:hAnsi="Times New Roman" w:cs="Times New Roman"/>
          <w:b/>
          <w:iCs/>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Σημαντική αύξηση της βάσης των πόρων για την ανθρωπιστική δράση.</w:t>
      </w:r>
    </w:p>
    <w:p>
      <w:pPr>
        <w:pStyle w:val="ListParagraph"/>
        <w:numPr>
          <w:ilvl w:val="0"/>
          <w:numId w:val="1"/>
        </w:numPr>
        <w:jc w:val="both"/>
        <w:rPr>
          <w:rFonts w:ascii="Times New Roman" w:eastAsiaTheme="minorEastAsia" w:hAnsi="Times New Roman" w:cs="Times New Roman"/>
          <w:noProof/>
          <w:sz w:val="24"/>
          <w:szCs w:val="24"/>
        </w:rPr>
      </w:pPr>
      <w:r>
        <w:rPr>
          <w:rFonts w:ascii="Times New Roman" w:hAnsi="Times New Roman"/>
          <w:iCs/>
          <w:noProof/>
          <w:sz w:val="24"/>
          <w:szCs w:val="24"/>
        </w:rPr>
        <w:t>Δρομολόγηση πιλοτικής πρωτοβουλίας συνδυασμού μέσων από τον προϋπολογισμό ανθρωπιστικής βοήθειας της ΕΕ για την αξιοποίηση πρόσθετης χρηματοδότησης από τον ιδιωτικό τομέα σε</w:t>
      </w:r>
      <w:r>
        <w:rPr>
          <w:rFonts w:ascii="Times New Roman" w:hAnsi="Times New Roman"/>
          <w:noProof/>
          <w:sz w:val="24"/>
          <w:szCs w:val="24"/>
        </w:rPr>
        <w:t xml:space="preserve"> </w:t>
      </w:r>
      <w:r>
        <w:rPr>
          <w:rFonts w:ascii="Times New Roman" w:hAnsi="Times New Roman"/>
          <w:iCs/>
          <w:noProof/>
          <w:sz w:val="24"/>
          <w:szCs w:val="24"/>
        </w:rPr>
        <w:t>ανθρωπιστικό πλαίσιο το 2021.</w:t>
      </w:r>
    </w:p>
    <w:p>
      <w:pPr>
        <w:pStyle w:val="ListParagraph"/>
        <w:jc w:val="both"/>
        <w:rPr>
          <w:rFonts w:ascii="Times New Roman" w:eastAsiaTheme="minorEastAsia" w:hAnsi="Times New Roman" w:cs="Times New Roman"/>
          <w:noProof/>
          <w:sz w:val="24"/>
          <w:szCs w:val="24"/>
        </w:rPr>
      </w:pPr>
    </w:p>
    <w:p>
      <w:pPr>
        <w:pStyle w:val="paragraph"/>
        <w:spacing w:before="0" w:beforeAutospacing="0" w:after="0" w:afterAutospacing="0"/>
        <w:jc w:val="both"/>
        <w:textAlignment w:val="baseline"/>
        <w:rPr>
          <w:rFonts w:eastAsia="Calibri"/>
          <w:i/>
          <w:iCs/>
          <w:noProof/>
        </w:rPr>
      </w:pPr>
      <w:r>
        <w:rPr>
          <w:b/>
          <w:i/>
          <w:iCs/>
          <w:noProof/>
        </w:rPr>
        <w:t>Στόχος:</w:t>
      </w:r>
      <w:r>
        <w:rPr>
          <w:i/>
          <w:iCs/>
          <w:noProof/>
        </w:rPr>
        <w:t xml:space="preserve"> Τοποθέτηση της συμμόρφωσης με το διεθνές ανθρωπιστικό δίκαιο (ΔΑΔ) στο επίκεντρο της εξωτερικής δράσης της ΕΕ για την προστασία του άμαχου πληθυσμού, υποστήριξη της βασισμένης σε αρχές ανθρωπιστικής δράσης και προστασία των εργαζομένων στον τομέα της ανθρωπιστικής βοήθειας και της υγειονομικής περίθαλψης. </w:t>
      </w:r>
    </w:p>
    <w:p>
      <w:pPr>
        <w:pStyle w:val="paragraph"/>
        <w:spacing w:before="0" w:beforeAutospacing="0" w:after="0" w:afterAutospacing="0"/>
        <w:ind w:left="720"/>
        <w:jc w:val="both"/>
        <w:textAlignment w:val="baseline"/>
        <w:rPr>
          <w:rFonts w:eastAsia="Calibri"/>
          <w:i/>
          <w:noProof/>
          <w:lang w:eastAsia="en-GB"/>
        </w:rPr>
      </w:pPr>
    </w:p>
    <w:p>
      <w:pPr>
        <w:pStyle w:val="paragraph"/>
        <w:numPr>
          <w:ilvl w:val="0"/>
          <w:numId w:val="45"/>
        </w:numPr>
        <w:spacing w:before="0" w:beforeAutospacing="0" w:after="0" w:afterAutospacing="0"/>
        <w:jc w:val="both"/>
        <w:textAlignment w:val="baseline"/>
        <w:rPr>
          <w:rFonts w:eastAsia="Calibri"/>
          <w:noProof/>
        </w:rPr>
      </w:pPr>
      <w:r>
        <w:rPr>
          <w:noProof/>
        </w:rPr>
        <w:t xml:space="preserve">Θέσπιση μηχανισμού συντονισμού σε επίπεδο ΕΕ για το ΔΑΔ, ώστε να διασφαλιστεί η καλύτερη παρακολούθηση των παραβιάσεων του διεθνούς ανθρωπιστικού δικαίου παγκοσμίως, να διευκολυνθεί ο συντονισμός των σχετικών φορέων της ΕΕ και να υποστηριχτεί η ενίσχυση της ανθρωπιστικής διπλωματίας της ΕΕ. </w:t>
      </w:r>
    </w:p>
    <w:p>
      <w:pPr>
        <w:pStyle w:val="paragraph"/>
        <w:numPr>
          <w:ilvl w:val="0"/>
          <w:numId w:val="45"/>
        </w:numPr>
        <w:spacing w:before="0" w:beforeAutospacing="0" w:after="0" w:afterAutospacing="0"/>
        <w:jc w:val="both"/>
        <w:textAlignment w:val="baseline"/>
        <w:rPr>
          <w:rFonts w:eastAsia="Calibri"/>
          <w:iCs/>
          <w:noProof/>
        </w:rPr>
      </w:pPr>
      <w:r>
        <w:rPr>
          <w:noProof/>
        </w:rPr>
        <w:t>Περαιτέρω ενίσχυση του πλαισίου συμμόρφωσης με το ΔΑΔ, ως μέρος των εξωτερικών μέσων της ΕΕ, μεταξύ άλλων μέσω της δέουσας επιμέλειας και μέσω των διαλόγων της για την πολιτική, την ασφάλεια και τα ανθρώπινα δικαιώματα και των εμπορικών συμφωνιών με χώρες εταίρους, κατά περίπτωση.</w:t>
      </w:r>
    </w:p>
    <w:p>
      <w:pPr>
        <w:pStyle w:val="ListParagraph"/>
        <w:numPr>
          <w:ilvl w:val="0"/>
          <w:numId w:val="45"/>
        </w:numPr>
        <w:jc w:val="both"/>
        <w:rPr>
          <w:rFonts w:ascii="Times New Roman" w:eastAsia="Calibri" w:hAnsi="Times New Roman" w:cs="Times New Roman"/>
          <w:iCs/>
          <w:noProof/>
          <w:sz w:val="24"/>
          <w:szCs w:val="24"/>
        </w:rPr>
      </w:pPr>
      <w:r>
        <w:rPr>
          <w:rFonts w:ascii="Times New Roman" w:hAnsi="Times New Roman"/>
          <w:iCs/>
          <w:noProof/>
          <w:sz w:val="24"/>
          <w:szCs w:val="24"/>
        </w:rPr>
        <w:t>Συνέχιση της προώθησης του διαλόγου μεταξύ όλων των μερών που συμμετέχουν στην ανθρωπιστική βοήθεια (χορηγοί, ρυθμιστικές αρχές, ΜΚΟ και τράπεζες) προκειμένου να διευκολυνθεί η παροχή ανθρωπιστικής βοήθειας σε όλους όσοι την έχουν ανάγκη.</w:t>
      </w:r>
    </w:p>
    <w:p>
      <w:pPr>
        <w:pStyle w:val="ListParagraph"/>
        <w:rPr>
          <w:rFonts w:ascii="Times New Roman" w:eastAsia="Calibri" w:hAnsi="Times New Roman" w:cs="Times New Roman"/>
          <w:iCs/>
          <w:noProof/>
          <w:sz w:val="24"/>
          <w:szCs w:val="24"/>
          <w:lang w:eastAsia="en-GB"/>
        </w:rPr>
      </w:pPr>
    </w:p>
    <w:p>
      <w:pPr>
        <w:spacing w:after="0"/>
        <w:jc w:val="both"/>
        <w:rPr>
          <w:rFonts w:ascii="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Ενίσχυση της δέσμευσης και του ηγετικού ρόλου της ΕΕ στον τομέα της ανθρωπιστικής βοήθειας ώστε να μεγιστοποιηθεί ο αντίκτυπός της.</w:t>
      </w:r>
    </w:p>
    <w:p>
      <w:pPr>
        <w:spacing w:after="0"/>
        <w:jc w:val="both"/>
        <w:rPr>
          <w:rFonts w:ascii="Times New Roman" w:hAnsi="Times New Roman" w:cs="Times New Roman"/>
          <w:i/>
          <w:iCs/>
          <w:noProof/>
          <w:sz w:val="24"/>
          <w:szCs w:val="24"/>
        </w:rPr>
      </w:pPr>
    </w:p>
    <w:p>
      <w:pPr>
        <w:pStyle w:val="ListParagraph"/>
        <w:numPr>
          <w:ilvl w:val="0"/>
          <w:numId w:val="33"/>
        </w:numPr>
        <w:spacing w:after="0"/>
        <w:jc w:val="both"/>
        <w:rPr>
          <w:rFonts w:ascii="Times New Roman" w:hAnsi="Times New Roman" w:cs="Times New Roman"/>
          <w:iCs/>
          <w:noProof/>
          <w:sz w:val="24"/>
          <w:szCs w:val="24"/>
        </w:rPr>
      </w:pPr>
      <w:r>
        <w:rPr>
          <w:rFonts w:ascii="Times New Roman" w:hAnsi="Times New Roman"/>
          <w:iCs/>
          <w:noProof/>
          <w:sz w:val="24"/>
          <w:szCs w:val="24"/>
        </w:rPr>
        <w:t>Διοργάνωση ευρωπαϊκού ανθρωπιστικού φόρουμ το 2021 για την προώθηση του διαλόγου σε θέματα ανθρωπιστικής πολιτικής.</w:t>
      </w:r>
    </w:p>
    <w:p>
      <w:pPr>
        <w:pStyle w:val="ListParagraph"/>
        <w:numPr>
          <w:ilvl w:val="0"/>
          <w:numId w:val="33"/>
        </w:numPr>
        <w:spacing w:after="0"/>
        <w:jc w:val="both"/>
        <w:rPr>
          <w:rFonts w:ascii="Times New Roman" w:hAnsi="Times New Roman" w:cs="Times New Roman"/>
          <w:iCs/>
          <w:noProof/>
          <w:sz w:val="24"/>
          <w:szCs w:val="24"/>
        </w:rPr>
      </w:pPr>
      <w:r>
        <w:rPr>
          <w:rFonts w:ascii="Times New Roman" w:hAnsi="Times New Roman"/>
          <w:iCs/>
          <w:noProof/>
          <w:sz w:val="24"/>
          <w:szCs w:val="24"/>
        </w:rPr>
        <w:t>Προώθηση και έναρξη περαιτέρω διαλόγου με τους βασικούς ενδιαφερομένους για την προώθηση των προτεινόμενων βασικών δράσεων που διατυπώνονται στην παρούσα ανακοίνωση.</w:t>
      </w:r>
    </w:p>
    <w:p>
      <w:pPr>
        <w:pStyle w:val="ListParagraph"/>
        <w:spacing w:after="0"/>
        <w:jc w:val="both"/>
        <w:rPr>
          <w:rFonts w:ascii="Times New Roman" w:hAnsi="Times New Roman" w:cs="Times New Roman"/>
          <w:iCs/>
          <w:noProof/>
          <w:sz w:val="24"/>
          <w:szCs w:val="24"/>
        </w:rPr>
      </w:pPr>
    </w:p>
    <w:p>
      <w:pPr>
        <w:spacing w:after="0" w:line="240" w:lineRule="auto"/>
        <w:jc w:val="both"/>
        <w:rPr>
          <w:rFonts w:ascii="Times New Roman" w:hAnsi="Times New Roman" w:cs="Times New Roman"/>
          <w:b/>
          <w:iCs/>
          <w:noProof/>
          <w:sz w:val="24"/>
          <w:szCs w:val="24"/>
          <w:u w:val="single"/>
        </w:rPr>
      </w:pPr>
    </w:p>
    <w:p>
      <w:pPr>
        <w:spacing w:after="0" w:line="240" w:lineRule="auto"/>
        <w:jc w:val="both"/>
        <w:rPr>
          <w:rFonts w:ascii="Times New Roman" w:hAnsi="Times New Roman" w:cs="Times New Roman"/>
          <w:b/>
          <w:iCs/>
          <w:noProof/>
          <w:sz w:val="24"/>
          <w:szCs w:val="24"/>
          <w:u w:val="single"/>
        </w:rPr>
      </w:pPr>
    </w:p>
    <w:p>
      <w:pPr>
        <w:spacing w:after="0" w:line="240" w:lineRule="auto"/>
        <w:jc w:val="both"/>
        <w:rPr>
          <w:rFonts w:ascii="Times New Roman" w:hAnsi="Times New Roman" w:cs="Times New Roman"/>
          <w:b/>
          <w:iCs/>
          <w:noProof/>
          <w:sz w:val="24"/>
          <w:szCs w:val="24"/>
          <w:u w:val="single"/>
        </w:rPr>
      </w:pPr>
    </w:p>
    <w:p>
      <w:pPr>
        <w:spacing w:after="0" w:line="240" w:lineRule="auto"/>
        <w:jc w:val="both"/>
        <w:rPr>
          <w:rFonts w:ascii="Times New Roman" w:hAnsi="Times New Roman" w:cs="Times New Roman"/>
          <w:b/>
          <w:iCs/>
          <w:noProof/>
          <w:sz w:val="24"/>
          <w:szCs w:val="24"/>
          <w:u w:val="single"/>
        </w:rPr>
      </w:pPr>
      <w:r>
        <w:rPr>
          <w:rFonts w:ascii="Times New Roman" w:hAnsi="Times New Roman"/>
          <w:b/>
          <w:iCs/>
          <w:noProof/>
          <w:sz w:val="24"/>
          <w:szCs w:val="24"/>
          <w:u w:val="single"/>
        </w:rPr>
        <w:t>Βασικές δράσεις για την ΕΕ και τα κράτη μέλη</w:t>
      </w:r>
    </w:p>
    <w:p>
      <w:pPr>
        <w:jc w:val="both"/>
        <w:rPr>
          <w:noProof/>
        </w:rPr>
      </w:pPr>
    </w:p>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Περαιτέρω ενσωμάτωση των επιπτώσεων της κλιματικής αλλαγής και των περιβαλλοντικών παραγόντων στην πολιτική και την πρακτική της ανθρωπιστικής βοήθειας και ενίσχυση του συντονισμού με τους φορείς ανάπτυξης, ασφάλειας και κλίματος/περιβάλλοντος για την οικοδόμηση ανθεκτικότητας των ευάλωτων κοινοτήτων.</w:t>
      </w:r>
    </w:p>
    <w:p>
      <w:pPr>
        <w:pStyle w:val="ListParagraph"/>
        <w:numPr>
          <w:ilvl w:val="0"/>
          <w:numId w:val="3"/>
        </w:numPr>
        <w:jc w:val="both"/>
        <w:rPr>
          <w:rFonts w:ascii="Times New Roman" w:hAnsi="Times New Roman" w:cs="Times New Roman"/>
          <w:noProof/>
          <w:sz w:val="24"/>
          <w:szCs w:val="24"/>
        </w:rPr>
      </w:pPr>
      <w:r>
        <w:rPr>
          <w:rFonts w:ascii="Times New Roman" w:hAnsi="Times New Roman"/>
          <w:iCs/>
          <w:noProof/>
          <w:sz w:val="24"/>
          <w:szCs w:val="24"/>
          <w:shd w:val="clear" w:color="auto" w:fill="FFFFFF"/>
        </w:rPr>
        <w:t xml:space="preserve">Σημαντική αύξηση του μεριδίου των κονδυλίων για το κλίμα που προορίζονται για την ενίσχυση της ανθεκτικότητας και της προσαρμογής στις πλέον επιρρεπείς σε καταστροφές χώρες και περιοχές, σύμφωνα με τη νέα στρατηγική της ΕΕ για την προσαρμογή στην κλιματική αλλαγή και στο πλαίσιο της προσέγγισης βάσει συσχετισμού ανθρωπιστικής βοήθειας, ανάπτυξης και ειρήνης. </w:t>
      </w:r>
    </w:p>
    <w:p>
      <w:pPr>
        <w:pStyle w:val="ListParagraph"/>
        <w:numPr>
          <w:ilvl w:val="0"/>
          <w:numId w:val="3"/>
        </w:numPr>
        <w:jc w:val="both"/>
        <w:rPr>
          <w:rFonts w:ascii="Times New Roman" w:hAnsi="Times New Roman" w:cs="Times New Roman"/>
          <w:iCs/>
          <w:noProof/>
          <w:sz w:val="24"/>
          <w:szCs w:val="24"/>
        </w:rPr>
      </w:pPr>
      <w:r>
        <w:rPr>
          <w:rFonts w:ascii="Times New Roman" w:hAnsi="Times New Roman"/>
          <w:iCs/>
          <w:noProof/>
          <w:sz w:val="24"/>
          <w:szCs w:val="24"/>
        </w:rPr>
        <w:t>Ενίσχυση της κλιματικής και περιβαλλοντικής ανθεκτικότητας</w:t>
      </w:r>
      <w:r>
        <w:rPr>
          <w:rFonts w:ascii="Times New Roman" w:hAnsi="Times New Roman"/>
          <w:iCs/>
          <w:noProof/>
          <w:sz w:val="24"/>
          <w:szCs w:val="24"/>
          <w:shd w:val="clear" w:color="auto" w:fill="FFFFFF"/>
        </w:rPr>
        <w:t xml:space="preserve"> των ευάλωτων πληθυσμών</w:t>
      </w:r>
      <w:r>
        <w:rPr>
          <w:rFonts w:ascii="Times New Roman" w:hAnsi="Times New Roman"/>
          <w:iCs/>
          <w:noProof/>
          <w:sz w:val="24"/>
          <w:szCs w:val="24"/>
        </w:rPr>
        <w:t xml:space="preserve">, μέσω </w:t>
      </w:r>
      <w:r>
        <w:rPr>
          <w:rFonts w:ascii="Times New Roman" w:hAnsi="Times New Roman"/>
          <w:iCs/>
          <w:noProof/>
          <w:sz w:val="24"/>
          <w:szCs w:val="24"/>
          <w:shd w:val="clear" w:color="auto" w:fill="FFFFFF"/>
        </w:rPr>
        <w:t>της προσέγγισης βάσει συσχετισμού ανθρωπιστικής βοήθειας, ανάπτυξης και ειρήνης</w:t>
      </w:r>
      <w:r>
        <w:rPr>
          <w:rFonts w:ascii="Times New Roman" w:hAnsi="Times New Roman"/>
          <w:iCs/>
          <w:noProof/>
          <w:sz w:val="24"/>
          <w:szCs w:val="24"/>
        </w:rPr>
        <w:t xml:space="preserve"> και διασφάλιση της διάδοσης και της εφαρμογής νέων κατευθυντήριων γραμμών σχετικά με την ετοιμότητα για την αντιμετώπιση καταστροφών μεταξύ των ανθρωπιστικών εταίρων της ΕΕ, σε στενό συντονισμό με τους αναπτυξιακούς φορείς και τους φορείς για κλίμα. </w:t>
      </w:r>
    </w:p>
    <w:p>
      <w:pPr>
        <w:pStyle w:val="ListParagraph"/>
        <w:numPr>
          <w:ilvl w:val="0"/>
          <w:numId w:val="3"/>
        </w:numPr>
        <w:jc w:val="both"/>
        <w:rPr>
          <w:rFonts w:ascii="Times New Roman" w:hAnsi="Times New Roman" w:cs="Times New Roman"/>
          <w:noProof/>
          <w:sz w:val="24"/>
          <w:szCs w:val="24"/>
        </w:rPr>
      </w:pPr>
      <w:r>
        <w:rPr>
          <w:rFonts w:ascii="Times New Roman" w:hAnsi="Times New Roman"/>
          <w:iCs/>
          <w:noProof/>
          <w:sz w:val="24"/>
          <w:szCs w:val="24"/>
        </w:rPr>
        <w:t xml:space="preserve">Περαιτέρω ανάπτυξη και εφαρμογή προσεγγίσεων που λαμβάνουν υπόψη τον κίνδυνο, συμπεριλαμβανομένης της χρηματοδότησης κινδύνων και της κλιμάκωσης της προληπτικής δράσης σε διάφορα ανθρωπιστικά πλαίσια και περιοχές . </w:t>
      </w:r>
    </w:p>
    <w:p>
      <w:pPr>
        <w:spacing w:line="256" w:lineRule="auto"/>
        <w:jc w:val="both"/>
        <w:rPr>
          <w:rFonts w:ascii="Times New Roman" w:hAnsi="Times New Roman" w:cs="Times New Roman"/>
          <w:i/>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b/>
          <w:i/>
          <w:noProof/>
          <w:sz w:val="24"/>
          <w:szCs w:val="24"/>
          <w:shd w:val="clear" w:color="auto" w:fill="FFFFFF"/>
        </w:rPr>
        <w:t>Στόχος:</w:t>
      </w:r>
      <w:r>
        <w:rPr>
          <w:rFonts w:ascii="Times New Roman" w:hAnsi="Times New Roman"/>
          <w:i/>
          <w:noProof/>
          <w:sz w:val="24"/>
          <w:szCs w:val="24"/>
          <w:shd w:val="clear" w:color="auto" w:fill="FFFFFF"/>
        </w:rPr>
        <w:t xml:space="preserve"> Διασφάλιση της συνέργειας μεταξύ πολιτικών στον ανθρωπιστικό και αναπτυξιακό τομέα, στον τομέα οικοδόμησης της ειρήνης και άλλων πολιτικών για την καλύτερη σύνδεση της επείγουσας αρωγής και των πιο μακροπρόθεσμων λύσεων, με στόχο τη μείωση των αναγκών και την αντιμετώπιση των βαθύτερων αιτίων των συγκρούσεων και των κρίσεων.  </w:t>
      </w:r>
    </w:p>
    <w:p>
      <w:pPr>
        <w:pStyle w:val="ListParagraph"/>
        <w:numPr>
          <w:ilvl w:val="0"/>
          <w:numId w:val="47"/>
        </w:numPr>
        <w:jc w:val="both"/>
        <w:rPr>
          <w:rFonts w:ascii="Times New Roman" w:eastAsiaTheme="minorEastAsia" w:hAnsi="Times New Roman" w:cs="Times New Roman"/>
          <w:iCs/>
          <w:noProof/>
          <w:sz w:val="24"/>
          <w:szCs w:val="24"/>
        </w:rPr>
      </w:pPr>
      <w:r>
        <w:rPr>
          <w:rFonts w:ascii="Times New Roman" w:hAnsi="Times New Roman"/>
          <w:iCs/>
          <w:noProof/>
          <w:sz w:val="24"/>
          <w:szCs w:val="24"/>
        </w:rPr>
        <w:t>Ενίσχυση των μηχανισμών συντονισμού σε τοπικό επίπεδο σε όλες τις ανθρωπιστικές, αναπτυξιακές και ειρηνευτικές δράσεις της ΕΕ, ώστε να διασφαλιστούν κοινά και συνεκτικά αποτελέσματα, με την υποστήριξη των αντιπροσωπειών της ΕΕ και των τοπικών υπηρεσιών της ΓΔ ECHO. Στενή συνεργασία με τα κράτη μέλη της ΕΕ σε αυτό το πλαίσιο βάσει της προσέγγισης «Ομάδα Ευρώπη».</w:t>
      </w:r>
    </w:p>
    <w:p>
      <w:pPr>
        <w:pStyle w:val="ListParagraph"/>
        <w:numPr>
          <w:ilvl w:val="0"/>
          <w:numId w:val="47"/>
        </w:numPr>
        <w:spacing w:after="0" w:line="240" w:lineRule="auto"/>
        <w:jc w:val="both"/>
        <w:rPr>
          <w:rFonts w:ascii="Times New Roman" w:eastAsiaTheme="minorEastAsia" w:hAnsi="Times New Roman" w:cs="Times New Roman"/>
          <w:iCs/>
          <w:noProof/>
          <w:sz w:val="24"/>
          <w:szCs w:val="24"/>
        </w:rPr>
      </w:pPr>
      <w:r>
        <w:rPr>
          <w:rFonts w:ascii="Times New Roman" w:hAnsi="Times New Roman"/>
          <w:iCs/>
          <w:noProof/>
          <w:sz w:val="24"/>
          <w:szCs w:val="24"/>
        </w:rPr>
        <w:t>Χρήση της πολιτικής και διπλωματικής δέσμευσης της ΕΕ και όλων των διαθέσιμων μέσων για την πρόληψη κρίσεων, την επίλυση συγκρούσεων και την οικοδόμηση της ειρήνης, με παράλληλη ενίσχυση της υποστήριξης των ανθρωπιστικών επιχειρήσεων, ώστε να διευκολυνθούν η πρόσβαση και ο σεβασμός των ανθρωπιστικών αρχών, η προστασία των αμάχων και το διεθνές ανθρωπιστικό δίκαιο.</w:t>
      </w:r>
    </w:p>
    <w:p>
      <w:pPr>
        <w:pStyle w:val="ListParagraph"/>
        <w:jc w:val="both"/>
        <w:rPr>
          <w:rFonts w:ascii="Times New Roman" w:eastAsiaTheme="minorEastAsia" w:hAnsi="Times New Roman" w:cs="Times New Roman"/>
          <w:iCs/>
          <w:noProof/>
          <w:sz w:val="24"/>
          <w:szCs w:val="24"/>
        </w:rPr>
      </w:pPr>
    </w:p>
    <w:p>
      <w:pPr>
        <w:pStyle w:val="ListParagraph"/>
        <w:jc w:val="both"/>
        <w:rPr>
          <w:rFonts w:ascii="Times New Roman" w:eastAsiaTheme="minorEastAsia" w:hAnsi="Times New Roman" w:cs="Times New Roman"/>
          <w:iCs/>
          <w:noProof/>
          <w:sz w:val="24"/>
          <w:szCs w:val="24"/>
        </w:rPr>
      </w:pPr>
    </w:p>
    <w:p>
      <w:pPr>
        <w:jc w:val="both"/>
        <w:rPr>
          <w:rFonts w:ascii="Times New Roman" w:eastAsia="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Σημαντική αύξηση της βάσης των πόρων για την ανθρωπιστική δράση.</w:t>
      </w:r>
    </w:p>
    <w:p>
      <w:pPr>
        <w:pStyle w:val="ListParagraph"/>
        <w:numPr>
          <w:ilvl w:val="0"/>
          <w:numId w:val="1"/>
        </w:numPr>
        <w:jc w:val="both"/>
        <w:rPr>
          <w:rFonts w:ascii="Times New Roman" w:eastAsiaTheme="minorEastAsia" w:hAnsi="Times New Roman" w:cs="Times New Roman"/>
          <w:iCs/>
          <w:noProof/>
          <w:sz w:val="24"/>
          <w:szCs w:val="24"/>
        </w:rPr>
      </w:pPr>
      <w:r>
        <w:rPr>
          <w:rFonts w:ascii="Times New Roman" w:hAnsi="Times New Roman"/>
          <w:iCs/>
          <w:noProof/>
          <w:sz w:val="24"/>
          <w:szCs w:val="24"/>
        </w:rPr>
        <w:t xml:space="preserve">Υπενθύμιση της δέσμευσης της ΕΕ να παράσχει το 0,7 % του ακαθάριστου εθνικού εισοδήματος ως επίσημη αναπτυξιακή βοήθεια, συνεργασία με τα κράτη μέλη για την ενίσχυση των δεσμεύσεων ανθρωπιστικής χρηματοδότησης κατ’ αναλογία με την απότομη αύξηση των ανθρωπιστικών αναγκών και απαιτήσεων τα τελευταία χρόνια. </w:t>
      </w:r>
    </w:p>
    <w:p>
      <w:pPr>
        <w:pStyle w:val="ListParagraph"/>
        <w:numPr>
          <w:ilvl w:val="0"/>
          <w:numId w:val="1"/>
        </w:numPr>
        <w:jc w:val="both"/>
        <w:rPr>
          <w:rFonts w:ascii="Times New Roman" w:eastAsiaTheme="minorEastAsia" w:hAnsi="Times New Roman" w:cs="Times New Roman"/>
          <w:noProof/>
          <w:sz w:val="24"/>
          <w:szCs w:val="24"/>
        </w:rPr>
      </w:pPr>
      <w:r>
        <w:rPr>
          <w:rFonts w:ascii="Times New Roman" w:hAnsi="Times New Roman"/>
          <w:iCs/>
          <w:noProof/>
          <w:sz w:val="24"/>
          <w:szCs w:val="24"/>
        </w:rPr>
        <w:t>Ενίσχυση της συνεργασίας της ΕΕ με παραδοσιακές και αναδυόμενες χώρες-χορηγούς με στόχο την υπενθύμιση της κοινής ευθύνης για τη στήριξη της ανθρωπιστικής δράσης και την πιο συστηματική ενσωμάτωσή της στον πολιτικό διάλογο της ΕΕ με τις σχετικές τρίτες χώρες. Ενίσχυση ή σφυρηλάτηση συμμαχιών σε παγκόσμιο επίπεδο με χώρες που συμμερίζονται τις ίδιες απόψεις για την προώθηση του παγκόσμιου ανθρωπιστικού θεματολογίου.</w:t>
      </w:r>
    </w:p>
    <w:p>
      <w:pPr>
        <w:pStyle w:val="ListParagraph"/>
        <w:jc w:val="both"/>
        <w:rPr>
          <w:rFonts w:ascii="Times New Roman" w:eastAsiaTheme="minorEastAsia" w:hAnsi="Times New Roman" w:cs="Times New Roman"/>
          <w:iCs/>
          <w:noProof/>
          <w:sz w:val="24"/>
          <w:szCs w:val="24"/>
        </w:rPr>
      </w:pPr>
    </w:p>
    <w:p>
      <w:pPr>
        <w:pStyle w:val="ListParagraph"/>
        <w:jc w:val="both"/>
        <w:rPr>
          <w:rFonts w:ascii="Times New Roman" w:eastAsiaTheme="minorEastAsia" w:hAnsi="Times New Roman" w:cs="Times New Roman"/>
          <w:noProof/>
          <w:sz w:val="24"/>
          <w:szCs w:val="24"/>
        </w:rPr>
      </w:pPr>
    </w:p>
    <w:p>
      <w:pPr>
        <w:pStyle w:val="paragraph"/>
        <w:spacing w:before="0" w:beforeAutospacing="0" w:after="0" w:afterAutospacing="0"/>
        <w:jc w:val="both"/>
        <w:textAlignment w:val="baseline"/>
        <w:rPr>
          <w:rFonts w:eastAsia="Calibri"/>
          <w:i/>
          <w:iCs/>
          <w:noProof/>
        </w:rPr>
      </w:pPr>
      <w:r>
        <w:rPr>
          <w:b/>
          <w:i/>
          <w:iCs/>
          <w:noProof/>
        </w:rPr>
        <w:t>Στόχος:</w:t>
      </w:r>
      <w:r>
        <w:rPr>
          <w:i/>
          <w:iCs/>
          <w:noProof/>
        </w:rPr>
        <w:t xml:space="preserve"> Τοποθέτηση της συμμόρφωσης με το διεθνές ανθρωπιστικό δίκαιο (ΔΑΔ) στο επίκεντρο της εξωτερικής δράσης της ΕΕ για την προστασία του άμαχου πληθυσμού, υποστήριξη της βασισμένης σε αρχές ανθρωπιστικής δράσης και προστασία των εργαζομένων στον τομέα της ανθρωπιστικής βοήθειας και της υγειονομικής περίθαλψης.</w:t>
      </w:r>
    </w:p>
    <w:p>
      <w:pPr>
        <w:jc w:val="both"/>
        <w:rPr>
          <w:rFonts w:ascii="Times New Roman" w:eastAsia="Times New Roman" w:hAnsi="Times New Roman" w:cs="Times New Roman"/>
          <w:noProof/>
          <w:sz w:val="24"/>
          <w:szCs w:val="24"/>
        </w:rPr>
      </w:pPr>
    </w:p>
    <w:p>
      <w:pPr>
        <w:pStyle w:val="paragraph"/>
        <w:numPr>
          <w:ilvl w:val="0"/>
          <w:numId w:val="15"/>
        </w:numPr>
        <w:spacing w:before="0" w:beforeAutospacing="0" w:after="0" w:afterAutospacing="0"/>
        <w:jc w:val="both"/>
        <w:textAlignment w:val="baseline"/>
        <w:rPr>
          <w:rStyle w:val="normaltextrun"/>
          <w:iCs/>
          <w:noProof/>
        </w:rPr>
      </w:pPr>
      <w:r>
        <w:rPr>
          <w:rStyle w:val="normaltextrun"/>
          <w:noProof/>
        </w:rPr>
        <w:t xml:space="preserve">Εξέταση του ενδεχομένου να συμπεριληφθούν οι σοβαρές παραβιάσεις του διεθνούς ανθρωπιστικού δικαίου ως λόγοι καταχώρισης στα καθεστώτα κυρώσεων της ΕΕ, όποτε αυτό κρίνεται σκόπιμο, με παράλληλη διασφάλιση ότι αποτρέπεται κάθε πιθανός αρνητικός αντίκτυπος στις ανθρωπιστικές δραστηριότητες. </w:t>
      </w:r>
    </w:p>
    <w:p>
      <w:pPr>
        <w:pStyle w:val="paragraph"/>
        <w:numPr>
          <w:ilvl w:val="0"/>
          <w:numId w:val="15"/>
        </w:numPr>
        <w:spacing w:before="0" w:beforeAutospacing="0" w:after="0" w:afterAutospacing="0"/>
        <w:jc w:val="both"/>
        <w:textAlignment w:val="baseline"/>
        <w:rPr>
          <w:rStyle w:val="normaltextrun"/>
          <w:noProof/>
        </w:rPr>
      </w:pPr>
      <w:r>
        <w:rPr>
          <w:rStyle w:val="normaltextrun"/>
          <w:iCs/>
          <w:noProof/>
        </w:rPr>
        <w:t xml:space="preserve">Συνέχιση της διασφάλισης ότι το ΔΑΔ αντικατοπτρίζεται πλήρως στην πολιτική κυρώσεων της ΕΕ, </w:t>
      </w:r>
      <w:r>
        <w:rPr>
          <w:rStyle w:val="normaltextrun"/>
          <w:noProof/>
        </w:rPr>
        <w:t>μεταξύ άλλων μέσω της συνεπούς ενσωμάτωσης των ανθρωπιστικών εξαιρέσεων στα καθεστώτα κυρώσεων της ΕΕ</w:t>
      </w:r>
      <w:r>
        <w:rPr>
          <w:rStyle w:val="normaltextrun"/>
          <w:iCs/>
          <w:noProof/>
        </w:rPr>
        <w:t xml:space="preserve">. Συνεργασία προς την κατεύθυνση </w:t>
      </w:r>
      <w:r>
        <w:rPr>
          <w:noProof/>
        </w:rPr>
        <w:t xml:space="preserve">ενός </w:t>
      </w:r>
      <w:r>
        <w:rPr>
          <w:rStyle w:val="normaltextrun"/>
          <w:noProof/>
        </w:rPr>
        <w:t>αποτελεσματικού πλαισίου για τη χρήση των εν λόγω εξαιρέσεων από ανθρωπιστικές οργανώσεις που λαμβάνουν χρηματοδότηση από την ΕΕ.</w:t>
      </w:r>
      <w:r>
        <w:rPr>
          <w:rStyle w:val="normaltextrun"/>
          <w:iCs/>
          <w:noProof/>
        </w:rPr>
        <w:t xml:space="preserve"> Παροχή περαιτέρω πρακτικής στήριξης σε ανθρωπιστικές οργανώσεις όσον αφορά τα δικαιώματα και τις υποχρεώσεις τους στα διάφορα καθεστώτα κυρώσεων της ΕΕ. </w:t>
      </w:r>
    </w:p>
    <w:p>
      <w:pPr>
        <w:jc w:val="both"/>
        <w:rPr>
          <w:rFonts w:ascii="Times New Roman" w:eastAsia="Times New Roman" w:hAnsi="Times New Roman" w:cs="Times New Roman"/>
          <w:noProof/>
          <w:sz w:val="24"/>
          <w:szCs w:val="24"/>
        </w:rPr>
      </w:pPr>
    </w:p>
    <w:p>
      <w:pPr>
        <w:spacing w:after="0"/>
        <w:jc w:val="both"/>
        <w:rPr>
          <w:rFonts w:ascii="Times New Roman" w:hAnsi="Times New Roman" w:cs="Times New Roman"/>
          <w:i/>
          <w:iCs/>
          <w:noProof/>
          <w:sz w:val="24"/>
          <w:szCs w:val="24"/>
        </w:rPr>
      </w:pPr>
      <w:r>
        <w:rPr>
          <w:rFonts w:ascii="Times New Roman" w:hAnsi="Times New Roman"/>
          <w:b/>
          <w:i/>
          <w:iCs/>
          <w:noProof/>
          <w:sz w:val="24"/>
          <w:szCs w:val="24"/>
        </w:rPr>
        <w:t>Στόχος:</w:t>
      </w:r>
      <w:r>
        <w:rPr>
          <w:rFonts w:ascii="Times New Roman" w:hAnsi="Times New Roman"/>
          <w:i/>
          <w:iCs/>
          <w:noProof/>
          <w:sz w:val="24"/>
          <w:szCs w:val="24"/>
        </w:rPr>
        <w:t xml:space="preserve"> Ενίσχυση της δέσμευσης και του ηγετικού ρόλου της ΕΕ στον τομέα της ανθρωπιστικής βοήθειας ώστε να μεγιστοποιηθεί ο αντίκτυπός της.</w:t>
      </w:r>
    </w:p>
    <w:p>
      <w:pPr>
        <w:pStyle w:val="ListParagraph"/>
        <w:spacing w:after="0"/>
        <w:jc w:val="both"/>
        <w:rPr>
          <w:rFonts w:ascii="Times New Roman" w:hAnsi="Times New Roman" w:cs="Times New Roman"/>
          <w:noProof/>
          <w:sz w:val="24"/>
          <w:szCs w:val="24"/>
        </w:rPr>
      </w:pPr>
    </w:p>
    <w:p>
      <w:pPr>
        <w:pStyle w:val="ListParagraph"/>
        <w:numPr>
          <w:ilvl w:val="0"/>
          <w:numId w:val="46"/>
        </w:numPr>
        <w:spacing w:after="0"/>
        <w:jc w:val="both"/>
        <w:rPr>
          <w:noProof/>
          <w:sz w:val="24"/>
          <w:szCs w:val="24"/>
        </w:rPr>
      </w:pPr>
      <w:r>
        <w:rPr>
          <w:rFonts w:ascii="Times New Roman" w:hAnsi="Times New Roman"/>
          <w:iCs/>
          <w:noProof/>
          <w:sz w:val="24"/>
          <w:szCs w:val="24"/>
        </w:rPr>
        <w:t>Ενθάρρυνση κοινών μηνυμάτων από την ΕΕ και τα κράτη μέλη της σχετικά με βασικές ανθρωπιστικές κρίσεις και ενθάρρυνση των ενοποιημένων δεσμεύσεων της ΕΕ και των κρατών μελών της σε διεθνείς ανθρωπιστικές διασκέψεις των χορηγών (παράλληλα με τις εθνικές) στο πλαίσιο της προσέγγισης «Ομάδα Ευρώπη». Προσπάθειες για την εδραίωση των θέσεων της ΕΕ και των κρατών μελών στα σχετικά διεθνή και πολυμερή φόρουμ</w:t>
      </w:r>
      <w:r>
        <w:rPr>
          <w:rFonts w:ascii="Times New Roman" w:hAnsi="Times New Roman"/>
          <w:noProof/>
          <w:sz w:val="24"/>
          <w:szCs w:val="24"/>
        </w:rPr>
        <w:t xml:space="preserve">. </w:t>
      </w:r>
    </w:p>
    <w:p>
      <w:pPr>
        <w:pStyle w:val="ListParagraph"/>
        <w:numPr>
          <w:ilvl w:val="0"/>
          <w:numId w:val="46"/>
        </w:numPr>
        <w:spacing w:after="0"/>
        <w:jc w:val="both"/>
        <w:rPr>
          <w:rFonts w:ascii="Times New Roman" w:hAnsi="Times New Roman" w:cs="Times New Roman"/>
          <w:noProof/>
          <w:sz w:val="24"/>
          <w:szCs w:val="24"/>
        </w:rPr>
      </w:pPr>
      <w:r>
        <w:rPr>
          <w:rFonts w:ascii="Times New Roman" w:hAnsi="Times New Roman"/>
          <w:iCs/>
          <w:noProof/>
          <w:sz w:val="24"/>
          <w:szCs w:val="24"/>
        </w:rPr>
        <w:t>Ανάπτυξη της δυνατότητας χρήσης εξωτερικών εσόδων για ειδικό προορισμό προκειμένου τα κράτη μέλη της ΕΕ να επωφεληθούν από την παρουσία και την εμπειρογνωσία της ΕΕ στον ανθρωπιστικό τομέα.</w:t>
      </w:r>
    </w:p>
    <w:p>
      <w:pPr>
        <w:pStyle w:val="ListParagraph"/>
        <w:spacing w:after="0" w:line="256" w:lineRule="auto"/>
        <w:jc w:val="both"/>
        <w:rPr>
          <w:rFonts w:ascii="Times New Roman" w:hAnsi="Times New Roman" w:cs="Times New Roman"/>
          <w:noProof/>
          <w:sz w:val="24"/>
          <w:szCs w:val="24"/>
        </w:rPr>
      </w:pP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Times New Roman"/>
    <w:panose1 w:val="020703090202050204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577115"/>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rPr>
        <w:t xml:space="preserve"> Το 2020 η συνολική χορηγηθείσα χρηματοδότηση της ΕΕ και των κρατών μελών ανήλθε στα 7,577 δισ. </w:t>
      </w:r>
      <w:r>
        <w:rPr>
          <w:rFonts w:ascii="Times New Roman" w:hAnsi="Times New Roman"/>
          <w:sz w:val="18"/>
          <w:szCs w:val="18"/>
          <w:lang w:val="en-US"/>
        </w:rPr>
        <w:t>EUR (</w:t>
      </w:r>
      <w:hyperlink r:id="rId1">
        <w:r>
          <w:rPr>
            <w:rStyle w:val="Hyperlink"/>
            <w:rFonts w:ascii="Times New Roman" w:hAnsi="Times New Roman"/>
            <w:sz w:val="18"/>
            <w:szCs w:val="18"/>
            <w:lang w:val="en-US"/>
          </w:rPr>
          <w:t>https://fts.unocha.org/</w:t>
        </w:r>
      </w:hyperlink>
      <w:r>
        <w:rPr>
          <w:rStyle w:val="Hyperlink"/>
          <w:rFonts w:ascii="Times New Roman" w:hAnsi="Times New Roman"/>
          <w:sz w:val="18"/>
          <w:szCs w:val="18"/>
          <w:lang w:val="en-US"/>
        </w:rPr>
        <w:t>)</w:t>
      </w:r>
      <w:r>
        <w:rPr>
          <w:lang w:val="en-US"/>
        </w:rPr>
        <w:t>.</w:t>
      </w:r>
      <w:r>
        <w:rPr>
          <w:rStyle w:val="Hyperlink"/>
          <w:rFonts w:ascii="Times New Roman" w:hAnsi="Times New Roman"/>
          <w:sz w:val="18"/>
          <w:szCs w:val="18"/>
          <w:lang w:val="en-US"/>
        </w:rPr>
        <w:t xml:space="preserve">  </w:t>
      </w:r>
    </w:p>
  </w:footnote>
  <w:footnote w:id="3">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Peace Research Institute Oslo, </w:t>
      </w:r>
      <w:r>
        <w:rPr>
          <w:rFonts w:ascii="Times New Roman" w:hAnsi="Times New Roman"/>
          <w:i/>
          <w:sz w:val="18"/>
          <w:szCs w:val="18"/>
          <w:lang w:val="en-US"/>
        </w:rPr>
        <w:t>Conflict Trends: A Global Overview, 1946-2019.</w:t>
      </w:r>
    </w:p>
  </w:footnote>
  <w:footnote w:id="4">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r>
        <w:rPr>
          <w:rFonts w:ascii="Times New Roman" w:hAnsi="Times New Roman"/>
          <w:sz w:val="18"/>
          <w:szCs w:val="18"/>
        </w:rPr>
        <w:t>Παγκόσμια</w:t>
      </w:r>
      <w:r>
        <w:rPr>
          <w:rFonts w:ascii="Times New Roman" w:hAnsi="Times New Roman"/>
          <w:sz w:val="18"/>
          <w:szCs w:val="18"/>
          <w:lang w:val="en-US"/>
        </w:rPr>
        <w:t xml:space="preserve"> </w:t>
      </w:r>
      <w:r>
        <w:rPr>
          <w:rFonts w:ascii="Times New Roman" w:hAnsi="Times New Roman"/>
          <w:sz w:val="18"/>
          <w:szCs w:val="18"/>
        </w:rPr>
        <w:t>Τράπεζα</w:t>
      </w:r>
      <w:r>
        <w:rPr>
          <w:rFonts w:ascii="Times New Roman" w:hAnsi="Times New Roman"/>
          <w:sz w:val="18"/>
          <w:szCs w:val="18"/>
          <w:lang w:val="en-US"/>
        </w:rPr>
        <w:t xml:space="preserve">, </w:t>
      </w:r>
      <w:r>
        <w:rPr>
          <w:rFonts w:ascii="Times New Roman" w:hAnsi="Times New Roman"/>
          <w:i/>
          <w:sz w:val="18"/>
          <w:szCs w:val="18"/>
          <w:lang w:val="en-US"/>
        </w:rPr>
        <w:t>Global Economic Prospects</w:t>
      </w:r>
      <w:r>
        <w:rPr>
          <w:rFonts w:ascii="Times New Roman" w:hAnsi="Times New Roman"/>
          <w:sz w:val="18"/>
          <w:szCs w:val="18"/>
          <w:lang w:val="en-US"/>
        </w:rPr>
        <w:t xml:space="preserve">, </w:t>
      </w:r>
      <w:r>
        <w:rPr>
          <w:rFonts w:ascii="Times New Roman" w:hAnsi="Times New Roman"/>
          <w:sz w:val="18"/>
          <w:szCs w:val="18"/>
        </w:rPr>
        <w:t>Ιανουάριος</w:t>
      </w:r>
      <w:r>
        <w:rPr>
          <w:rFonts w:ascii="Times New Roman" w:hAnsi="Times New Roman"/>
          <w:sz w:val="18"/>
          <w:szCs w:val="18"/>
          <w:lang w:val="en-US"/>
        </w:rPr>
        <w:t xml:space="preserve"> 2021.</w:t>
      </w:r>
    </w:p>
  </w:footnote>
  <w:footnote w:id="5">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UNHCR, </w:t>
      </w:r>
      <w:r>
        <w:rPr>
          <w:rFonts w:ascii="Times New Roman" w:hAnsi="Times New Roman"/>
          <w:i/>
          <w:sz w:val="18"/>
          <w:szCs w:val="18"/>
          <w:lang w:val="en-US"/>
        </w:rPr>
        <w:t>Global Trends, Forced Displacement in 2019</w:t>
      </w:r>
      <w:r>
        <w:rPr>
          <w:rFonts w:ascii="Times New Roman" w:hAnsi="Times New Roman"/>
          <w:sz w:val="18"/>
          <w:szCs w:val="18"/>
          <w:lang w:val="en-US"/>
        </w:rPr>
        <w:t xml:space="preserve">, </w:t>
      </w:r>
      <w:hyperlink r:id="rId2">
        <w:r>
          <w:rPr>
            <w:rStyle w:val="Hyperlink"/>
            <w:rFonts w:ascii="Times New Roman" w:hAnsi="Times New Roman"/>
            <w:color w:val="auto"/>
            <w:sz w:val="18"/>
            <w:szCs w:val="18"/>
            <w:u w:val="none"/>
            <w:lang w:val="en-US"/>
          </w:rPr>
          <w:t>https://www.unhcr.org/globaltrends2019</w:t>
        </w:r>
      </w:hyperlink>
    </w:p>
  </w:footnote>
  <w:footnote w:id="6">
    <w:p>
      <w:pPr>
        <w:pStyle w:val="FootnoteText"/>
        <w:jc w:val="both"/>
      </w:pPr>
      <w:r>
        <w:rPr>
          <w:rStyle w:val="FootnoteReference"/>
        </w:rPr>
        <w:footnoteRef/>
      </w:r>
      <w:r>
        <w:t xml:space="preserve"> </w:t>
      </w:r>
      <w:r>
        <w:rPr>
          <w:rFonts w:ascii="Times New Roman" w:hAnsi="Times New Roman"/>
          <w:sz w:val="18"/>
          <w:szCs w:val="18"/>
          <w:shd w:val="clear" w:color="auto" w:fill="FFFFFF"/>
        </w:rPr>
        <w:t>Ανθρωπιστικές κρίσεις που χαρακτηρίζονται από περιορισμένη ανταπόκριση χορηγών, γενική έλλειψη χρηματοδότησης και χαμηλό επίπεδο προσοχής των μέσων ενημέρωσης.</w:t>
      </w:r>
    </w:p>
  </w:footnote>
  <w:footnote w:id="7">
    <w:p>
      <w:pPr>
        <w:pStyle w:val="FootnoteText"/>
        <w:jc w:val="both"/>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sz w:val="18"/>
        </w:rPr>
        <w:t xml:space="preserve"> Η «Ομάδα Ευρώπη» αποτελείται από την ΕΕ, τα κράτη μέλη της και το διπλωματικό τους δίκτυο, τα χρηματοπιστωτικά ιδρύματα, συμπεριλαμβανομένων των εθνικών αναπτυξιακών τραπεζών και των εκτελεστικών οργανισμών, καθώς και από την Ευρωπαϊκή Τράπεζα Επενδύσεων (ΕΤΕπ) και την Ευρωπαϊκή Τράπεζα Ανασυγκρότησης και Ανάπτυξης (ΕΤΑΑ). Περισσότερες πληροφορίες: </w:t>
      </w:r>
      <w:hyperlink r:id="rId3" w:anchor="header-2844" w:history="1">
        <w:r>
          <w:rPr>
            <w:rStyle w:val="Hyperlink"/>
            <w:rFonts w:ascii="Times New Roman" w:hAnsi="Times New Roman"/>
            <w:sz w:val="18"/>
          </w:rPr>
          <w:t>https://ec.europa.eu/international-partnerships/topics/eu-global-response-covid-19_en#header-2844</w:t>
        </w:r>
      </w:hyperlink>
    </w:p>
  </w:footnote>
  <w:footnote w:id="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Παγκόσμιος Μετεωρολογικός Οργανισμός,</w:t>
      </w:r>
      <w:r>
        <w:rPr>
          <w:rFonts w:ascii="Times New Roman" w:hAnsi="Times New Roman"/>
          <w:i/>
          <w:sz w:val="18"/>
          <w:szCs w:val="18"/>
        </w:rPr>
        <w:t xml:space="preserve"> State of Climate Services 2020 Report. </w:t>
      </w:r>
    </w:p>
  </w:footnote>
  <w:footnote w:id="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Διεθνής Ομοσπονδία των Εταιρειών του Ερυθρού Σταυρού και της Ερυθράς Ημισελήνου, </w:t>
      </w:r>
      <w:r>
        <w:rPr>
          <w:rFonts w:ascii="Times New Roman" w:hAnsi="Times New Roman"/>
          <w:i/>
          <w:sz w:val="18"/>
          <w:szCs w:val="18"/>
        </w:rPr>
        <w:t>The Cost of Doing Nothing,</w:t>
      </w:r>
      <w:r>
        <w:rPr>
          <w:rFonts w:ascii="Times New Roman" w:hAnsi="Times New Roman"/>
          <w:sz w:val="18"/>
          <w:szCs w:val="18"/>
        </w:rPr>
        <w:t xml:space="preserve"> Σεπτέμβριος 2019.</w:t>
      </w:r>
    </w:p>
  </w:footnote>
  <w:footnote w:id="1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Ηνωμένα Έθνη, </w:t>
      </w:r>
      <w:r>
        <w:rPr>
          <w:rFonts w:ascii="Times New Roman" w:hAnsi="Times New Roman"/>
          <w:i/>
          <w:sz w:val="18"/>
          <w:szCs w:val="18"/>
        </w:rPr>
        <w:t>Global Humanitarian Overview 2021 (Διεθνής έκθεση επισκόπησης του ΟΗΕ στον ανθρωπιστικό τομέα 2021).</w:t>
      </w:r>
    </w:p>
  </w:footnote>
  <w:footnote w:id="11">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Γραφείο Συντονισμού Ανθρωπιστικών Υποθέσεων του ΟΗΕ (OCHA), Υπηρεσία Χρηματοδοτικής Παρακολούθησης, </w:t>
      </w:r>
      <w:hyperlink r:id="rId4">
        <w:r>
          <w:rPr>
            <w:rStyle w:val="Hyperlink"/>
            <w:rFonts w:ascii="Times New Roman" w:hAnsi="Times New Roman"/>
            <w:sz w:val="18"/>
            <w:szCs w:val="18"/>
          </w:rPr>
          <w:t>https://fts.unocha.org/</w:t>
        </w:r>
      </w:hyperlink>
      <w:r>
        <w:t>.</w:t>
      </w:r>
    </w:p>
  </w:footnote>
  <w:footnote w:id="12">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hyperlink r:id="rId5">
        <w:r>
          <w:rPr>
            <w:rStyle w:val="Hyperlink"/>
            <w:rFonts w:ascii="Times New Roman" w:hAnsi="Times New Roman"/>
            <w:sz w:val="18"/>
            <w:szCs w:val="18"/>
            <w:lang w:val="en-US"/>
          </w:rPr>
          <w:t>https://fts.unocha.org/</w:t>
        </w:r>
      </w:hyperlink>
    </w:p>
  </w:footnote>
  <w:footnote w:id="13">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Humanitarian Outcomes, </w:t>
      </w:r>
      <w:r>
        <w:rPr>
          <w:rFonts w:ascii="Times New Roman" w:hAnsi="Times New Roman"/>
          <w:i/>
          <w:sz w:val="18"/>
          <w:szCs w:val="18"/>
          <w:lang w:val="en-US"/>
        </w:rPr>
        <w:t>Aid Workers Security Database</w:t>
      </w:r>
      <w:r>
        <w:rPr>
          <w:rFonts w:ascii="Times New Roman" w:hAnsi="Times New Roman"/>
          <w:sz w:val="18"/>
          <w:szCs w:val="18"/>
          <w:lang w:val="en-US"/>
        </w:rPr>
        <w:t xml:space="preserve">, </w:t>
      </w:r>
      <w:hyperlink r:id="rId6" w:history="1">
        <w:r>
          <w:rPr>
            <w:rStyle w:val="Hyperlink"/>
            <w:rFonts w:ascii="Times New Roman" w:hAnsi="Times New Roman"/>
            <w:sz w:val="18"/>
            <w:szCs w:val="18"/>
            <w:lang w:val="en-US"/>
          </w:rPr>
          <w:t>https://aidworkersecurity.org/incidents/report</w:t>
        </w:r>
      </w:hyperlink>
    </w:p>
  </w:footnote>
  <w:footnote w:id="14">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hyperlink r:id="rId7">
        <w:r>
          <w:rPr>
            <w:rStyle w:val="Hyperlink"/>
            <w:rFonts w:ascii="Times New Roman" w:hAnsi="Times New Roman"/>
            <w:sz w:val="18"/>
            <w:szCs w:val="18"/>
            <w:lang w:val="en-US"/>
          </w:rPr>
          <w:t>http://eur-lex.europa.eu/legal-content/EL/TXT/?qid=1431445468547&amp;uri=CELEX:42008X0130(01)</w:t>
        </w:r>
      </w:hyperlink>
      <w:r>
        <w:rPr>
          <w:rFonts w:ascii="Times New Roman" w:hAnsi="Times New Roman"/>
          <w:sz w:val="18"/>
          <w:szCs w:val="18"/>
          <w:lang w:val="en-US"/>
        </w:rPr>
        <w:t>.</w:t>
      </w:r>
    </w:p>
  </w:footnote>
  <w:footnote w:id="1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Ο κανονισμός (ΕΚ) αριθ. 1257/96 του Συμβουλίου ορίζει τον τρόπο με τον οποίο παρέχεται η ανθρωπιστική βοήθεια της ΕΕ· ορίζει ότι η ανθρωπιστική βοήθεια της ΕΕ θα πρέπει να απευθύνεται σε άτομα που πλήττονται από καταστροφές ή συγκρούσεις, ανεξάρτητα από τη φυλή, την εθνοτική ομάδα, τη θρησκεία, το φύλο, την ηλικία, την ιθαγένεια ή τις πολιτικές πεποιθήσεις τους, και δεν πρέπει να καθοδηγείται ούτε να υπόκειται σε πολιτικές σκοπιμότητες.</w:t>
      </w:r>
    </w:p>
  </w:footnote>
  <w:footnote w:id="1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8" w:history="1">
        <w:r>
          <w:rPr>
            <w:rStyle w:val="Hyperlink"/>
            <w:rFonts w:ascii="Times New Roman" w:hAnsi="Times New Roman"/>
            <w:sz w:val="18"/>
            <w:szCs w:val="18"/>
          </w:rPr>
          <w:t>https://www.ghdinitiative.org/ghd/gns/principles-good-practice-of-ghd/principles-good-practice-ghd.html</w:t>
        </w:r>
      </w:hyperlink>
    </w:p>
  </w:footnote>
  <w:footnote w:id="17">
    <w:p>
      <w:pPr>
        <w:pStyle w:val="FootnoteText"/>
      </w:pPr>
      <w:r>
        <w:rPr>
          <w:rStyle w:val="FootnoteReference"/>
        </w:rPr>
        <w:footnoteRef/>
      </w:r>
      <w:r>
        <w:t xml:space="preserve"> </w:t>
      </w:r>
      <w:hyperlink r:id="rId9">
        <w:r>
          <w:rPr>
            <w:rStyle w:val="Hyperlink"/>
            <w:rFonts w:ascii="Times New Roman" w:hAnsi="Times New Roman"/>
            <w:sz w:val="18"/>
            <w:szCs w:val="18"/>
          </w:rPr>
          <w:t>https://data.consilium.europa.eu/doc/document/ST-5413-2018-INIT/el/pdf</w:t>
        </w:r>
      </w:hyperlink>
      <w:r>
        <w:t>.</w:t>
      </w:r>
    </w:p>
  </w:footnote>
  <w:footnote w:id="18">
    <w:p>
      <w:pPr>
        <w:pStyle w:val="FootnoteText"/>
        <w:jc w:val="both"/>
      </w:pPr>
      <w:r>
        <w:rPr>
          <w:rStyle w:val="FootnoteReference"/>
        </w:rPr>
        <w:footnoteRef/>
      </w:r>
      <w:r>
        <w:t xml:space="preserve"> </w:t>
      </w:r>
      <w:r>
        <w:rPr>
          <w:rFonts w:ascii="Times New Roman" w:hAnsi="Times New Roman"/>
          <w:sz w:val="18"/>
          <w:szCs w:val="18"/>
        </w:rPr>
        <w:t>Η ευρωπαϊκή κοινή αντίληψη για την ανθρωπιστική βοήθεια ζητά την ενσωμάτωση των περιβαλλοντικών παραμέτρων στις τομεακές πολιτικές και παρεμβάσεις της ανθρωπιστικής βοήθειας.</w:t>
      </w:r>
      <w:r>
        <w:rPr>
          <w:rStyle w:val="Hyperlink"/>
          <w:rFonts w:ascii="Times New Roman" w:hAnsi="Times New Roman"/>
          <w:sz w:val="18"/>
          <w:szCs w:val="18"/>
        </w:rPr>
        <w:t xml:space="preserve"> </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0" w:history="1">
        <w:r>
          <w:rPr>
            <w:rStyle w:val="Hyperlink"/>
            <w:rFonts w:ascii="Times New Roman" w:hAnsi="Times New Roman"/>
            <w:sz w:val="18"/>
            <w:szCs w:val="18"/>
          </w:rPr>
          <w:t>https://ec.europa.eu/international-partnerships/news/gender-action-plan-putting-women-and-girls-rights-heart-global-recovery-gender-equal-world_en</w:t>
        </w:r>
      </w:hyperlink>
    </w:p>
  </w:footnote>
  <w:footnote w:id="2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Η ΕΕ ηγήθηκε της έκκλησης για ανάληψη δράσης (</w:t>
      </w:r>
      <w:hyperlink r:id="rId11">
        <w:r>
          <w:rPr>
            <w:rStyle w:val="Hyperlink"/>
            <w:rFonts w:ascii="Times New Roman" w:hAnsi="Times New Roman"/>
            <w:sz w:val="18"/>
            <w:szCs w:val="18"/>
          </w:rPr>
          <w:t>https://www.calltoactiongbv.com/</w:t>
        </w:r>
      </w:hyperlink>
      <w:r>
        <w:rPr>
          <w:rFonts w:ascii="Times New Roman" w:hAnsi="Times New Roman"/>
          <w:sz w:val="18"/>
          <w:szCs w:val="18"/>
        </w:rPr>
        <w:t xml:space="preserve">) μεταξύ Ιουνίου 2017 και Δεκεμβρίου 2018 και εξέδωσε επιχειρησιακή καθοδήγηση σχετικά με την ένταξη των ατόμων με αναπηρία στις χρηματοδοτούμενες από την ΕΕ ανθρωπιστικές δράσεις: </w:t>
      </w:r>
      <w:hyperlink r:id="rId12" w:history="1">
        <w:r>
          <w:rPr>
            <w:rStyle w:val="Hyperlink"/>
            <w:rFonts w:ascii="Times New Roman" w:hAnsi="Times New Roman"/>
            <w:sz w:val="18"/>
            <w:szCs w:val="18"/>
          </w:rPr>
          <w:t>https://ec.europa.eu/echo/sites/echo-site/files/2019-01_disability_inclusion_guidance_note.pdf</w:t>
        </w:r>
      </w:hyperlink>
    </w:p>
  </w:footnote>
  <w:footnote w:id="21">
    <w:p>
      <w:pPr>
        <w:autoSpaceDE w:val="0"/>
        <w:autoSpaceDN w:val="0"/>
        <w:spacing w:after="0" w:line="240" w:lineRule="auto"/>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Η ΕΕ έχει εγκρίνει τις «δεσμεύσεις που ανέλαβαν οι χορηγοί για την αντιμετώπιση της σεξουαλικής εκμετάλλευσης και κακοποίησης και της σεξουαλικής παρενόχλησης στον τομέα της διεθνούς βοήθειας» και τη «σύσταση επιτροπής αναπτυξιακής βοήθειας για τον τερματισμό της σεξουαλικής εκμετάλλευσης, κακοποίησης και παρενόχλησης στο πλαίσιο της αναπτυξιακής συνεργασίας και της ανθρωπιστικής βοήθειας» του 2019.</w:t>
      </w:r>
    </w:p>
  </w:footnote>
  <w:footnote w:id="22">
    <w:p>
      <w:pPr>
        <w:spacing w:line="240" w:lineRule="auto"/>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Η «ισότητα για όλους και η ισότητα σε όλες τις μορφές της» αποτελεί βασική πολιτική προτεραιότητα της Ευρωπαϊκής Επιτροπής. Για να υλοποιηθεί αυτός ο στόχος, από την 1η Μαρτίου 2020 η Επιτροπή έχει προτείνει σειρά ειδικών πρωτοβουλιών και στρατηγικών για την ισότητα, ιδίως όσον αφορά την ισότητα των φύλων, την αναπηρία και την καταπολέμηση των διαφόρων μορφών διακρίσεων. Σε αυτές περιλαμβάνεται ιδίως το σχέδιο δράσης της ΕΕ για την ισότητα των φύλων ΙΙΙ στις εξωτερικές σχέσεις· η στρατηγική της ΕΕ για την ισότητα των φύλων 2020-2025· η στρατηγική της ΕΕ για τα δικαιώματα των ατόμων με αναπηρία· η στρατηγική της ΕΕ για την ισότητα των ΛΟΑΤΚΙ 2020-2025· το σχέδιο δράσης της ΕΕ κατά του ρατσισμού 2020-2025· το στρατηγικό πλαίσιο της ΕΕ σχετικά με την ισότητα, την ένταξη και τη συμμετοχή των Ρομά 2020-2030. (</w:t>
      </w:r>
      <w:hyperlink r:id="rId13" w:history="1">
        <w:r>
          <w:rPr>
            <w:rStyle w:val="Hyperlink"/>
            <w:rFonts w:ascii="Times New Roman" w:hAnsi="Times New Roman"/>
            <w:sz w:val="18"/>
            <w:szCs w:val="18"/>
          </w:rPr>
          <w:t>https://ec.europa.eu/commission/commissioners/2019-2024/dalli/announcements/union-equality-first-year-actions-and-achievements_en</w:t>
        </w:r>
      </w:hyperlink>
      <w:r>
        <w:rPr>
          <w:rFonts w:ascii="Times New Roman" w:hAnsi="Times New Roman"/>
          <w:sz w:val="18"/>
          <w:szCs w:val="18"/>
        </w:rPr>
        <w:t>). Βλ. επίσης το σχέδιο δράσης της ΕΕ για τα ανθρώπινα δικαιώματα και τη δημοκρατία 2020-2024 (</w:t>
      </w:r>
      <w:hyperlink r:id="rId14" w:history="1">
        <w:r>
          <w:rPr>
            <w:rStyle w:val="Hyperlink"/>
            <w:rFonts w:ascii="Times New Roman" w:hAnsi="Times New Roman"/>
            <w:sz w:val="18"/>
            <w:szCs w:val="18"/>
          </w:rPr>
          <w:t>https://ec.europa.eu/transparency/regdoc/rep/10101/2020/EL/JOIN-2020-5-F1-EL-ANNEX-1-PART-1.PDF</w:t>
        </w:r>
      </w:hyperlink>
      <w:r>
        <w:rPr>
          <w:rFonts w:ascii="Times New Roman" w:hAnsi="Times New Roman"/>
          <w:sz w:val="18"/>
          <w:szCs w:val="18"/>
        </w:rPr>
        <w:t>)</w:t>
      </w:r>
    </w:p>
  </w:footnote>
  <w:footnote w:id="2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Ηνωμένα Έθνη, </w:t>
      </w:r>
      <w:r>
        <w:rPr>
          <w:rFonts w:ascii="Times New Roman" w:hAnsi="Times New Roman"/>
          <w:i/>
          <w:sz w:val="18"/>
          <w:szCs w:val="18"/>
        </w:rPr>
        <w:t>Global Humanitarian Overview 2021 (Διεθνής έκθεση επισκόπησης του ΟΗΕ στον ανθρωπιστικό τομέα 2021).</w:t>
      </w:r>
    </w:p>
  </w:footnote>
  <w:footnote w:id="24">
    <w:p>
      <w:pPr>
        <w:pStyle w:val="FootnoteText"/>
        <w:jc w:val="both"/>
      </w:pPr>
      <w:r>
        <w:rPr>
          <w:rStyle w:val="FootnoteReference"/>
        </w:rPr>
        <w:footnoteRef/>
      </w:r>
      <w:r>
        <w:t xml:space="preserve"> </w:t>
      </w:r>
      <w:r>
        <w:rPr>
          <w:rFonts w:ascii="Times New Roman" w:hAnsi="Times New Roman"/>
          <w:sz w:val="18"/>
          <w:szCs w:val="18"/>
        </w:rPr>
        <w:t xml:space="preserve">Βλ. το σημείωμα πολιτικής του γενικού γραμματέα των Ηνωμένων Εθνών με τίτλο «The impact of COVID-19 on women» και αφορά τον αντίκτυπο της νόσου COVID-19 στις γυναίκες: </w:t>
      </w:r>
      <w:hyperlink r:id="rId15" w:history="1">
        <w:r>
          <w:rPr>
            <w:rStyle w:val="Hyperlink"/>
            <w:rFonts w:ascii="Times New Roman" w:hAnsi="Times New Roman"/>
            <w:sz w:val="18"/>
            <w:szCs w:val="18"/>
          </w:rPr>
          <w:t>https://www.unwomen.org/en/digital-library/publications/2020/04/policy-brief-the-impact-of-covid-19-on-women</w:t>
        </w:r>
      </w:hyperlink>
      <w:r>
        <w:rPr>
          <w:rFonts w:ascii="Times New Roman" w:hAnsi="Times New Roman"/>
          <w:sz w:val="18"/>
          <w:szCs w:val="18"/>
        </w:rPr>
        <w:t xml:space="preserve">; Βλ. επίσης τον ιστότοπο του Ευρωπαϊκού Ινστιτούτου για την Ισότητα των Φύλων σχετικά με τις επιπτώσεις της νόσου COVID-19 σε συνάρτηση με το φύλο: </w:t>
      </w:r>
      <w:hyperlink r:id="rId16" w:history="1">
        <w:r>
          <w:rPr>
            <w:rStyle w:val="Hyperlink"/>
            <w:rFonts w:ascii="Times New Roman" w:hAnsi="Times New Roman"/>
            <w:sz w:val="18"/>
            <w:szCs w:val="18"/>
          </w:rPr>
          <w:t>https://eige.europa.eu/topics/health/covid-19-and-gender-equality</w:t>
        </w:r>
      </w:hyperlink>
    </w:p>
  </w:footnote>
  <w:footnote w:id="2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Η διακήρυξη για ασφαλή σχολεία (2015) είναι μια διακυβερνητική πρωτοβουλία υπό την αιγίδα της Νορβηγίας και της Αργεντινής, η οποία επιδιώκει να ενισχύσει την προστασία της εκπαίδευσης από επιθέσεις και να διασφαλίσει τη συνέχεια της ασφαλούς εκπαίδευσης κατά τη διάρκεια ένοπλων συγκρούσεων. </w:t>
      </w:r>
    </w:p>
  </w:footnote>
  <w:footnote w:id="26">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Κοινή ανακοίνωση για την ενίσχυση της συμβολής της ΕΕ στην πολυμερή προσέγγιση βάσει κανόνων </w:t>
      </w:r>
      <w:hyperlink r:id="rId17" w:history="1">
        <w:r>
          <w:rPr>
            <w:rStyle w:val="Hyperlink"/>
            <w:rFonts w:ascii="Times New Roman" w:hAnsi="Times New Roman"/>
            <w:sz w:val="18"/>
            <w:szCs w:val="18"/>
          </w:rPr>
          <w:t>https://eur-lex.europa.eu/legal-content/EL/TXT/PDF/?uri=CELEX:52021JC0003(01)&amp;qid=1614850215202&amp;from=EL</w:t>
        </w:r>
      </w:hyperlink>
      <w:r>
        <w:t>.</w:t>
      </w:r>
    </w:p>
    <w:p>
      <w:pPr>
        <w:pStyle w:val="FootnoteText"/>
      </w:pPr>
    </w:p>
  </w:footnote>
  <w:footnote w:id="27">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r>
        <w:rPr>
          <w:rFonts w:ascii="Times New Roman" w:hAnsi="Times New Roman"/>
          <w:sz w:val="18"/>
          <w:szCs w:val="18"/>
        </w:rPr>
        <w:t>Βλ</w:t>
      </w:r>
      <w:r>
        <w:rPr>
          <w:rFonts w:ascii="Times New Roman" w:hAnsi="Times New Roman"/>
          <w:sz w:val="18"/>
          <w:szCs w:val="18"/>
          <w:lang w:val="en-US"/>
        </w:rPr>
        <w:t xml:space="preserve">. High-Level Panel on Humanitarian Financing: </w:t>
      </w:r>
      <w:r>
        <w:rPr>
          <w:rFonts w:ascii="Times New Roman" w:hAnsi="Times New Roman"/>
          <w:i/>
          <w:sz w:val="18"/>
          <w:szCs w:val="18"/>
          <w:lang w:val="en-US"/>
        </w:rPr>
        <w:t>Too important to fail - addressing the humanitarian financing gap</w:t>
      </w:r>
      <w:r>
        <w:rPr>
          <w:rFonts w:ascii="Times New Roman" w:hAnsi="Times New Roman"/>
          <w:sz w:val="18"/>
          <w:szCs w:val="18"/>
          <w:lang w:val="en-US"/>
        </w:rPr>
        <w:t xml:space="preserve"> </w:t>
      </w:r>
      <w:r>
        <w:rPr>
          <w:rFonts w:ascii="Times New Roman" w:hAnsi="Times New Roman"/>
          <w:sz w:val="18"/>
          <w:szCs w:val="18"/>
        </w:rPr>
        <w:t>και</w:t>
      </w:r>
      <w:r>
        <w:rPr>
          <w:rFonts w:ascii="Times New Roman" w:hAnsi="Times New Roman"/>
          <w:sz w:val="18"/>
          <w:szCs w:val="18"/>
          <w:lang w:val="en-US"/>
        </w:rPr>
        <w:t xml:space="preserve"> </w:t>
      </w:r>
      <w:hyperlink r:id="rId18" w:history="1">
        <w:r>
          <w:rPr>
            <w:rStyle w:val="Hyperlink"/>
            <w:rFonts w:ascii="Times New Roman" w:hAnsi="Times New Roman"/>
            <w:sz w:val="18"/>
            <w:szCs w:val="18"/>
            <w:lang w:val="en-US"/>
          </w:rPr>
          <w:t>https://agendaforhumanity.org/initiatives/3861</w:t>
        </w:r>
      </w:hyperlink>
      <w:r>
        <w:rPr>
          <w:lang w:val="en-US"/>
        </w:rPr>
        <w:t>.</w:t>
      </w:r>
    </w:p>
  </w:footnote>
  <w:footnote w:id="28">
    <w:p>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sz w:val="18"/>
          <w:szCs w:val="18"/>
          <w:lang w:val="en-US"/>
        </w:rPr>
        <w:t xml:space="preserve"> </w:t>
      </w:r>
      <w:r>
        <w:rPr>
          <w:rFonts w:ascii="Times New Roman" w:hAnsi="Times New Roman"/>
          <w:sz w:val="18"/>
          <w:szCs w:val="18"/>
        </w:rPr>
        <w:t>Στις</w:t>
      </w:r>
      <w:r>
        <w:rPr>
          <w:rFonts w:ascii="Times New Roman" w:hAnsi="Times New Roman"/>
          <w:sz w:val="18"/>
          <w:szCs w:val="18"/>
          <w:lang w:val="en-US"/>
        </w:rPr>
        <w:t xml:space="preserve"> </w:t>
      </w:r>
      <w:r>
        <w:rPr>
          <w:rFonts w:ascii="Times New Roman" w:hAnsi="Times New Roman"/>
          <w:sz w:val="18"/>
          <w:szCs w:val="18"/>
        </w:rPr>
        <w:t>υπόλοιπες</w:t>
      </w:r>
      <w:r>
        <w:rPr>
          <w:rFonts w:ascii="Times New Roman" w:hAnsi="Times New Roman"/>
          <w:sz w:val="18"/>
          <w:szCs w:val="18"/>
          <w:lang w:val="en-US"/>
        </w:rPr>
        <w:t xml:space="preserve"> </w:t>
      </w:r>
      <w:r>
        <w:rPr>
          <w:rFonts w:ascii="Times New Roman" w:hAnsi="Times New Roman"/>
          <w:sz w:val="18"/>
          <w:szCs w:val="18"/>
        </w:rPr>
        <w:t>περιλαμβάνονται</w:t>
      </w:r>
      <w:r>
        <w:rPr>
          <w:rFonts w:ascii="Times New Roman" w:hAnsi="Times New Roman"/>
          <w:sz w:val="18"/>
          <w:szCs w:val="18"/>
          <w:lang w:val="en-US"/>
        </w:rPr>
        <w:t xml:space="preserve"> </w:t>
      </w:r>
      <w:r>
        <w:rPr>
          <w:rFonts w:ascii="Times New Roman" w:hAnsi="Times New Roman"/>
          <w:sz w:val="18"/>
          <w:szCs w:val="18"/>
        </w:rPr>
        <w:t>οι</w:t>
      </w:r>
      <w:r>
        <w:rPr>
          <w:rFonts w:ascii="Times New Roman" w:hAnsi="Times New Roman"/>
          <w:sz w:val="18"/>
          <w:szCs w:val="18"/>
          <w:lang w:val="en-US"/>
        </w:rPr>
        <w:t xml:space="preserve"> ACTED-FR, Save The Children-DK, Concern-IRL </w:t>
      </w:r>
      <w:r>
        <w:rPr>
          <w:rFonts w:ascii="Times New Roman" w:hAnsi="Times New Roman"/>
          <w:sz w:val="18"/>
          <w:szCs w:val="18"/>
        </w:rPr>
        <w:t>και</w:t>
      </w:r>
      <w:r>
        <w:rPr>
          <w:rFonts w:ascii="Times New Roman" w:hAnsi="Times New Roman"/>
          <w:sz w:val="18"/>
          <w:szCs w:val="18"/>
          <w:lang w:val="en-US"/>
        </w:rPr>
        <w:t xml:space="preserve"> International Rescue Committee-DE. </w:t>
      </w:r>
    </w:p>
  </w:footnote>
  <w:footnote w:id="2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Για παράδειγμα, μέσω του βραβείου του Ευρωπαϊκού Συμβουλίου Καινοτομίας για οικονομικά προσιτή τεχνολογία αιχμής για ανθρωπιστική βοήθεια, το οποίο στήριξε έργα που παρέχουν, μεταξύ άλλων, έξυπνες λύσεις σε κοινότητες και πρόσφυγες για οικονομικά προσιτή ενέργεια, υγεία και ιατρική περίθαλψη. Αναλυτικότερα:</w:t>
      </w:r>
      <w:r>
        <w:t xml:space="preserve"> </w:t>
      </w:r>
      <w:hyperlink r:id="rId19" w:history="1">
        <w:r>
          <w:rPr>
            <w:rStyle w:val="Hyperlink"/>
            <w:rFonts w:ascii="Times New Roman" w:hAnsi="Times New Roman"/>
            <w:sz w:val="18"/>
            <w:szCs w:val="18"/>
          </w:rPr>
          <w:t>https://ec.europa.eu/research/eic/index.cfm?pg=prizes_aid</w:t>
        </w:r>
      </w:hyperlink>
    </w:p>
  </w:footnote>
  <w:footnote w:id="3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Συμπεράσματα του Συμβουλίου σχετικά με τις χρηματικές μεταβιβάσεις: </w:t>
      </w:r>
      <w:hyperlink r:id="rId20">
        <w:r>
          <w:rPr>
            <w:rStyle w:val="Hyperlink"/>
            <w:rFonts w:ascii="Times New Roman" w:hAnsi="Times New Roman"/>
            <w:sz w:val="18"/>
            <w:szCs w:val="18"/>
          </w:rPr>
          <w:t>http://data.consilium.europa.eu/doc/document/ST-10184-2015-INIT/el/pdf</w:t>
        </w:r>
      </w:hyperlink>
      <w:r>
        <w:rPr>
          <w:rStyle w:val="Hyperlink"/>
          <w:rFonts w:ascii="Times New Roman" w:hAnsi="Times New Roman"/>
          <w:sz w:val="18"/>
          <w:szCs w:val="18"/>
        </w:rPr>
        <w:t>.</w:t>
      </w:r>
    </w:p>
  </w:footnote>
  <w:footnote w:id="31">
    <w:p>
      <w:pPr>
        <w:pStyle w:val="FootnoteText"/>
        <w:rPr>
          <w:rFonts w:ascii="Times New Roman" w:hAnsi="Times New Roman" w:cs="Times New Roman"/>
        </w:rPr>
      </w:pPr>
      <w:r>
        <w:rPr>
          <w:rStyle w:val="FootnoteReference"/>
          <w:rFonts w:ascii="Times New Roman" w:hAnsi="Times New Roman" w:cs="Times New Roman"/>
          <w:sz w:val="18"/>
        </w:rPr>
        <w:footnoteRef/>
      </w:r>
      <w:r>
        <w:rPr>
          <w:rFonts w:ascii="Times New Roman" w:hAnsi="Times New Roman"/>
          <w:sz w:val="18"/>
        </w:rPr>
        <w:t xml:space="preserve"> </w:t>
      </w:r>
      <w:hyperlink r:id="rId21" w:history="1">
        <w:r>
          <w:rPr>
            <w:rStyle w:val="Hyperlink"/>
            <w:rFonts w:ascii="Times New Roman" w:hAnsi="Times New Roman"/>
            <w:sz w:val="18"/>
          </w:rPr>
          <w:t>https://ec.europa.eu/education/sites/default/files/document-library-docs/deap-communication-sept2020_en.pdf</w:t>
        </w:r>
      </w:hyperlink>
    </w:p>
  </w:footnote>
  <w:footnote w:id="32">
    <w:p>
      <w:pPr>
        <w:pStyle w:val="FootnoteText"/>
        <w:tabs>
          <w:tab w:val="left" w:pos="6781"/>
        </w:tabs>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2" w:history="1">
        <w:r>
          <w:rPr>
            <w:rStyle w:val="Hyperlink"/>
            <w:rFonts w:ascii="Times New Roman" w:hAnsi="Times New Roman"/>
            <w:sz w:val="18"/>
            <w:szCs w:val="18"/>
          </w:rPr>
          <w:t>https://ec.europa.eu/echo/essn_en</w:t>
        </w:r>
      </w:hyperlink>
      <w:r>
        <w:tab/>
      </w:r>
    </w:p>
  </w:footnote>
  <w:footnote w:id="3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3" w:history="1">
        <w:r>
          <w:rPr>
            <w:rStyle w:val="Hyperlink"/>
            <w:rFonts w:ascii="Times New Roman" w:hAnsi="Times New Roman"/>
            <w:sz w:val="18"/>
            <w:szCs w:val="18"/>
          </w:rPr>
          <w:t>https://eur-lex.europa.eu/legal-content/EL/TXT/?uri=CELEX%3A32016R0679</w:t>
        </w:r>
      </w:hyperlink>
      <w:r>
        <w:rPr>
          <w:rFonts w:ascii="Times New Roman" w:hAnsi="Times New Roman"/>
          <w:sz w:val="18"/>
          <w:szCs w:val="18"/>
        </w:rPr>
        <w:t xml:space="preserve">. </w:t>
      </w:r>
    </w:p>
  </w:footnote>
  <w:footnote w:id="34">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4" w:history="1">
        <w:r>
          <w:rPr>
            <w:rStyle w:val="Hyperlink"/>
            <w:rFonts w:ascii="Times New Roman" w:hAnsi="Times New Roman"/>
            <w:sz w:val="18"/>
            <w:szCs w:val="18"/>
          </w:rPr>
          <w:t>https://www.unocha.org/our-work/humanitarian-financing/country-based-pooled-funds-cbpf</w:t>
        </w:r>
      </w:hyperlink>
      <w:r>
        <w:t>.</w:t>
      </w:r>
    </w:p>
  </w:footnote>
  <w:footnote w:id="3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5" w:history="1">
        <w:r>
          <w:rPr>
            <w:rStyle w:val="Hyperlink"/>
            <w:rFonts w:ascii="Times New Roman" w:hAnsi="Times New Roman"/>
            <w:sz w:val="18"/>
            <w:szCs w:val="18"/>
          </w:rPr>
          <w:t>https://ec.europa.eu/research/eic/index.cfm?pg=prizes_aid</w:t>
        </w:r>
      </w:hyperlink>
    </w:p>
  </w:footnote>
  <w:footnote w:id="3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Η ανθρωπιστική δράση επηρεάστηκε σημαντικά από τις διαταραχές των μεταφορών και των αλυσίδων εφοδιασμού, καθώς και από τους ταξιδιωτικούς περιορισμούς και την απαγόρευση της κυκλοφορίας που επιβλήθηκαν σε ολόκληρο τον κόσμο στα αρχικά στάδια της πανδημίας COVID-19. </w:t>
      </w:r>
    </w:p>
  </w:footnote>
  <w:footnote w:id="3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6" w:history="1">
        <w:r>
          <w:rPr>
            <w:rStyle w:val="Hyperlink"/>
            <w:rFonts w:ascii="Times New Roman" w:hAnsi="Times New Roman"/>
            <w:sz w:val="18"/>
            <w:szCs w:val="18"/>
          </w:rPr>
          <w:t>https://ec.europa.eu/echo/what/humanitarian-aid/humanitarian-air-bridge_en</w:t>
        </w:r>
      </w:hyperlink>
    </w:p>
  </w:footnote>
  <w:footnote w:id="3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7" w:history="1">
        <w:r>
          <w:rPr>
            <w:rStyle w:val="Hyperlink"/>
            <w:rFonts w:ascii="Times New Roman" w:hAnsi="Times New Roman"/>
            <w:sz w:val="18"/>
            <w:szCs w:val="18"/>
          </w:rPr>
          <w:t>https://ec.europa.eu/echo/what/civil-protection/emergency-response-coordination-centre-ercc_en</w:t>
        </w:r>
      </w:hyperlink>
    </w:p>
  </w:footnote>
  <w:footnote w:id="3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8" w:history="1">
        <w:r>
          <w:rPr>
            <w:rStyle w:val="Hyperlink"/>
            <w:rFonts w:ascii="Times New Roman" w:hAnsi="Times New Roman"/>
            <w:sz w:val="18"/>
            <w:szCs w:val="18"/>
          </w:rPr>
          <w:t>https://eur-lex.europa.eu/legal-content/EL/TXT/PDF/?uri=CELEX:52021DC0035&amp;qid=1614498201357&amp;from=EL</w:t>
        </w:r>
      </w:hyperlink>
      <w:r>
        <w:t>.</w:t>
      </w:r>
    </w:p>
  </w:footnote>
  <w:footnote w:id="40">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29" w:history="1">
        <w:r>
          <w:rPr>
            <w:rStyle w:val="Hyperlink"/>
            <w:rFonts w:ascii="Times New Roman" w:hAnsi="Times New Roman"/>
            <w:sz w:val="18"/>
            <w:szCs w:val="18"/>
          </w:rPr>
          <w:t>https://eur-lex.europa.eu/legal-content/EL/TXT/PDF/?uri=CELEX:52020PC0726&amp;qid=1614498395887&amp;from=EL</w:t>
        </w:r>
      </w:hyperlink>
      <w:r>
        <w:t>.</w:t>
      </w:r>
    </w:p>
  </w:footnote>
  <w:footnote w:id="41">
    <w:p>
      <w:pPr>
        <w:pStyle w:val="FootnoteText"/>
      </w:pPr>
      <w:r>
        <w:rPr>
          <w:rStyle w:val="FootnoteReference"/>
        </w:rPr>
        <w:footnoteRef/>
      </w:r>
      <w:r>
        <w:t xml:space="preserve"> </w:t>
      </w:r>
      <w:hyperlink r:id="rId30" w:history="1">
        <w:r>
          <w:rPr>
            <w:rStyle w:val="Hyperlink"/>
            <w:rFonts w:ascii="Times New Roman" w:hAnsi="Times New Roman"/>
            <w:sz w:val="18"/>
            <w:szCs w:val="18"/>
          </w:rPr>
          <w:t>https://europa.eu/youth/solidarity_el</w:t>
        </w:r>
      </w:hyperlink>
    </w:p>
  </w:footnote>
  <w:footnote w:id="4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Κατά το πρώτο εξάμηνο του 2020, περίπου 10 εκατομμύρια άνθρωποι εκτοπίστηκαν κυρίως λόγω καιρικών κινδύνων και καταστροφών, κυρίως στη Νότια και Νοτιοανατολική Ασία και στο Κέρας της Αφρικής – Παγκόσμιος Μετεωρολογικός Οργανισμός, 2020. </w:t>
      </w:r>
    </w:p>
  </w:footnote>
  <w:footnote w:id="4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Συμπεράσματα του Συμβουλίου για την κλιματική και ενεργειακή διπλωματία - </w:t>
      </w:r>
      <w:hyperlink r:id="rId31" w:history="1">
        <w:r>
          <w:rPr>
            <w:rStyle w:val="Hyperlink"/>
            <w:rFonts w:ascii="Times New Roman" w:hAnsi="Times New Roman"/>
            <w:sz w:val="18"/>
            <w:szCs w:val="18"/>
          </w:rPr>
          <w:t>https://www.consilium.europa.eu/media/48057/st05263-en21.pdf</w:t>
        </w:r>
      </w:hyperlink>
      <w:r>
        <w:rPr>
          <w:rFonts w:ascii="Times New Roman" w:hAnsi="Times New Roman"/>
          <w:sz w:val="18"/>
          <w:szCs w:val="18"/>
        </w:rPr>
        <w:t xml:space="preserve">, Χάρτης πορείας για την κλιματική αλλαγή και την άμυνα - </w:t>
      </w:r>
      <w:hyperlink r:id="rId32" w:history="1">
        <w:r>
          <w:rPr>
            <w:rStyle w:val="Hyperlink"/>
            <w:rFonts w:ascii="Times New Roman" w:hAnsi="Times New Roman"/>
            <w:sz w:val="18"/>
            <w:szCs w:val="18"/>
          </w:rPr>
          <w:t>https://data.consilium.europa.eu/doc/document/ST-12741-2020-INIT/en/pdf</w:t>
        </w:r>
      </w:hyperlink>
      <w:r>
        <w:rPr>
          <w:rFonts w:ascii="Times New Roman" w:hAnsi="Times New Roman"/>
          <w:sz w:val="18"/>
          <w:szCs w:val="18"/>
        </w:rPr>
        <w:t xml:space="preserve"> </w:t>
      </w:r>
    </w:p>
  </w:footnote>
  <w:footnote w:id="4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Η προληπτική δράση περιλαμβάνει εκ των προτέρων σχεδιασμό έγκαιρων δράσεων βάσει των οποίων η χρηματοδότηση μπορεί να εκταμιευθεί γρήγορα πριν από την επέλευση φυσικής ή ανθρωπογενούς καταστροφής ή πριν προκύψει οποιοδήποτε άλλο κίνητρο για δράση.</w:t>
      </w:r>
      <w:r>
        <w:rPr>
          <w:rFonts w:ascii="Times New Roman" w:hAnsi="Times New Roman"/>
          <w:color w:val="2E3436"/>
          <w:sz w:val="18"/>
          <w:szCs w:val="18"/>
          <w:shd w:val="clear" w:color="auto" w:fill="FFFFFF"/>
        </w:rPr>
        <w:t xml:space="preserve"> </w:t>
      </w:r>
      <w:r>
        <w:rPr>
          <w:rFonts w:ascii="Times New Roman" w:hAnsi="Times New Roman"/>
          <w:sz w:val="18"/>
          <w:szCs w:val="18"/>
          <w:shd w:val="clear" w:color="auto" w:fill="FFFFFF"/>
        </w:rPr>
        <w:t>Έχει επίσης σημασία για άλλους τύπους αναμενόμενων καταστάσεων έκτακτης ανάγκης, και όχι μόνο για εκείνες που συνδέονται με την κλιματική αλλαγή.</w:t>
      </w:r>
    </w:p>
  </w:footnote>
  <w:footnote w:id="45">
    <w:p>
      <w:pPr>
        <w:pStyle w:val="FootnoteText"/>
        <w:jc w:val="both"/>
        <w:rPr>
          <w:rFonts w:ascii="Times New Roman" w:eastAsia="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33" w:history="1">
        <w:r>
          <w:rPr>
            <w:rStyle w:val="Hyperlink"/>
            <w:rFonts w:ascii="Times New Roman" w:hAnsi="Times New Roman"/>
            <w:sz w:val="18"/>
            <w:szCs w:val="18"/>
          </w:rPr>
          <w:t>https://www.undrr.org/terminology/early-warning-system</w:t>
        </w:r>
      </w:hyperlink>
      <w:r>
        <w:t>.</w:t>
      </w:r>
      <w:r>
        <w:rPr>
          <w:rFonts w:ascii="Times New Roman" w:hAnsi="Times New Roman"/>
          <w:sz w:val="18"/>
          <w:szCs w:val="18"/>
        </w:rPr>
        <w:t xml:space="preserve">  </w:t>
      </w:r>
    </w:p>
  </w:footnote>
  <w:footnote w:id="46">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Δράσεις που υλοποιήθηκαν από τη Διεθνή Ομοσπονδία των Εταιρειών του Ερυθρού Σταυρού και της Ερυθράς Ημισελήνου, την Ερυθρά Ημισέληνο του Μπανγκλαντές, το Παγκόσμιο Πρόγραμμα Σίτισης.</w:t>
      </w:r>
    </w:p>
  </w:footnote>
  <w:footnote w:id="4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Καμία από τις 20 χώρες που είναι οι πιο ευάλωτες στην κλιματική αλλαγή και στις καταστροφές λόγω κλίματος δεν περιλαμβανόταν μεταξύ των 20 πρώτων κατά κεφαλήν δικαιούχων της χρηματοδότησης για την προσαρμογή στην κλιματική αλλαγή, σύμφωνα με την παγκόσμια έκθεση της ΔΟΕΣΣ για τις καταστροφές του 2020 (World Disasters Report 2020).</w:t>
      </w:r>
    </w:p>
  </w:footnote>
  <w:footnote w:id="48">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Για παράδειγμα, στο πλαίσιο της συνεργασίας της ΕΕ με τον Παγκόσμιο Μετεωρολογικό Οργανισμό.</w:t>
      </w:r>
    </w:p>
  </w:footnote>
  <w:footnote w:id="49">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Μέρος των δεσμεύσεων της Επιτροπής για κλιματική ουδετερότητα.</w:t>
      </w:r>
    </w:p>
  </w:footnote>
  <w:footnote w:id="50">
    <w:p>
      <w:pPr>
        <w:pStyle w:val="FootnoteText"/>
        <w:jc w:val="both"/>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34" w:history="1">
        <w:r>
          <w:rPr>
            <w:rStyle w:val="Hyperlink"/>
            <w:rFonts w:ascii="Times New Roman" w:hAnsi="Times New Roman"/>
            <w:sz w:val="18"/>
            <w:szCs w:val="18"/>
          </w:rPr>
          <w:t>https://ec.europa.eu/info/strategy/priorities-2019-2024/european-green-deal_el</w:t>
        </w:r>
      </w:hyperlink>
    </w:p>
  </w:footnote>
  <w:footnote w:id="51">
    <w:p>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«Ζώντας με αξιοπρέπεια» </w:t>
      </w:r>
      <w:hyperlink r:id="rId35" w:history="1">
        <w:r>
          <w:rPr>
            <w:rStyle w:val="Hyperlink"/>
            <w:rFonts w:ascii="Times New Roman" w:hAnsi="Times New Roman"/>
            <w:sz w:val="18"/>
            <w:szCs w:val="18"/>
          </w:rPr>
          <w:t>https://eur-lex.europa.eu/legal-content/EL/TXT/?uri=CELEX%3A52016DC0234&amp;qid=1615279590609</w:t>
        </w:r>
      </w:hyperlink>
    </w:p>
  </w:footnote>
  <w:footnote w:id="52">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36" w:history="1">
        <w:r>
          <w:rPr>
            <w:rStyle w:val="Hyperlink"/>
            <w:rFonts w:ascii="Times New Roman" w:hAnsi="Times New Roman"/>
            <w:sz w:val="18"/>
            <w:szCs w:val="18"/>
          </w:rPr>
          <w:t>https://www.unhcr.org/the-global-compact-on-refugees.html</w:t>
        </w:r>
      </w:hyperlink>
      <w:r>
        <w:t>.</w:t>
      </w:r>
    </w:p>
  </w:footnote>
  <w:footnote w:id="53">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37" w:history="1">
        <w:r>
          <w:rPr>
            <w:rStyle w:val="Hyperlink"/>
            <w:rFonts w:ascii="Times New Roman" w:hAnsi="Times New Roman"/>
            <w:sz w:val="18"/>
            <w:szCs w:val="18"/>
          </w:rPr>
          <w:t>https://eur-lex.europa.eu/legal-content/EL/TXT/PDF/?uri=CELEX:52020JC0011&amp;qid=1614509045443</w:t>
        </w:r>
      </w:hyperlink>
      <w:r>
        <w:t>.</w:t>
      </w:r>
    </w:p>
  </w:footnote>
  <w:footnote w:id="5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38" w:history="1">
        <w:r>
          <w:rPr>
            <w:rStyle w:val="Hyperlink"/>
            <w:rFonts w:ascii="Times New Roman" w:hAnsi="Times New Roman"/>
            <w:sz w:val="18"/>
            <w:szCs w:val="18"/>
          </w:rPr>
          <w:t>https://reliefweb.int/report/world/high-level-panel-humanitarian-financing-report-secretary-general-too-important-fail</w:t>
        </w:r>
      </w:hyperlink>
    </w:p>
  </w:footnote>
  <w:footnote w:id="55">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39">
        <w:r>
          <w:rPr>
            <w:rStyle w:val="Hyperlink"/>
            <w:rFonts w:ascii="Times New Roman" w:hAnsi="Times New Roman"/>
            <w:sz w:val="18"/>
            <w:szCs w:val="18"/>
          </w:rPr>
          <w:t>https://fts.unocha.org/global-funding/overview/2020</w:t>
        </w:r>
      </w:hyperlink>
      <w:r>
        <w:t>.</w:t>
      </w:r>
    </w:p>
  </w:footnote>
  <w:footnote w:id="56">
    <w:p>
      <w:pPr>
        <w:pStyle w:val="FootnoteText"/>
        <w:rPr>
          <w:sz w:val="18"/>
          <w:szCs w:val="18"/>
        </w:rPr>
      </w:pPr>
      <w:r>
        <w:rPr>
          <w:rStyle w:val="FootnoteReference"/>
        </w:rPr>
        <w:footnoteRef/>
      </w:r>
      <w:r>
        <w:t xml:space="preserve"> </w:t>
      </w:r>
      <w:hyperlink r:id="rId40" w:history="1">
        <w:r>
          <w:rPr>
            <w:rStyle w:val="Hyperlink"/>
            <w:rFonts w:ascii="Times New Roman" w:hAnsi="Times New Roman"/>
            <w:sz w:val="18"/>
            <w:szCs w:val="18"/>
          </w:rPr>
          <w:t>https://ec.europa.eu/international-partnerships/system/files/european-consensus-on-development-final-20170626_en.pdf</w:t>
        </w:r>
      </w:hyperlink>
      <w:r>
        <w:t>.</w:t>
      </w:r>
    </w:p>
  </w:footnote>
  <w:footnote w:id="5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41" w:history="1">
        <w:r>
          <w:rPr>
            <w:rStyle w:val="Hyperlink"/>
            <w:rFonts w:ascii="Times New Roman" w:hAnsi="Times New Roman"/>
            <w:sz w:val="18"/>
            <w:szCs w:val="18"/>
          </w:rPr>
          <w:t>https://eur-lex.europa.eu/legal-content/EL/TXT/PDF/?uri=CELEX:52020JC0022&amp;qid=1614526439797</w:t>
        </w:r>
      </w:hyperlink>
      <w:r>
        <w:t>.</w:t>
      </w:r>
    </w:p>
  </w:footnote>
  <w:footnote w:id="58">
    <w:p>
      <w:pPr>
        <w:pStyle w:val="FootnoteText"/>
        <w:jc w:val="both"/>
      </w:pPr>
      <w:r>
        <w:rPr>
          <w:rStyle w:val="FootnoteReference"/>
        </w:rPr>
        <w:footnoteRef/>
      </w:r>
      <w:r>
        <w:t xml:space="preserve"> </w:t>
      </w:r>
      <w:r>
        <w:rPr>
          <w:rFonts w:ascii="Times New Roman" w:hAnsi="Times New Roman"/>
          <w:sz w:val="18"/>
          <w:szCs w:val="18"/>
        </w:rPr>
        <w:t>Για παράδειγμα, στο πλαίσιο της συμπροεδρίας της Επιτροπής στην πρωτοβουλία Χρηστής Ανθρωπιστικής Χορηγίας (2018-2021) ή της συμμετοχής της ως μέλους στην Πρωτοβουλία Επενδύσεων Ανθρωπιστικής Βοήθειας και Ανθεκτικότητας (</w:t>
      </w:r>
      <w:hyperlink r:id="rId42" w:history="1">
        <w:r>
          <w:rPr>
            <w:rFonts w:ascii="Times New Roman" w:hAnsi="Times New Roman"/>
            <w:sz w:val="18"/>
            <w:szCs w:val="18"/>
          </w:rPr>
          <w:t>https://www.weforum.org/projects/humanitarian-investing-initiative?emailType=Newsletter</w:t>
        </w:r>
      </w:hyperlink>
      <w:r>
        <w:t>).</w:t>
      </w:r>
    </w:p>
  </w:footnote>
  <w:footnote w:id="59">
    <w:p>
      <w:pPr>
        <w:pStyle w:val="FootnoteText"/>
        <w:jc w:val="both"/>
      </w:pPr>
      <w:r>
        <w:rPr>
          <w:rStyle w:val="FootnoteReference"/>
        </w:rPr>
        <w:footnoteRef/>
      </w:r>
      <w:r>
        <w:t xml:space="preserve"> </w:t>
      </w:r>
      <w:hyperlink r:id="rId43" w:history="1">
        <w:r>
          <w:rPr>
            <w:rStyle w:val="Hyperlink"/>
            <w:rFonts w:ascii="Times New Roman" w:hAnsi="Times New Roman"/>
            <w:sz w:val="18"/>
            <w:szCs w:val="18"/>
          </w:rPr>
          <w:t>https://eur-lex.europa.eu/legal-content/EL/TXT/?uri=LEGISSUM:ah0004</w:t>
        </w:r>
      </w:hyperlink>
      <w:r>
        <w:t>.</w:t>
      </w:r>
    </w:p>
  </w:footnote>
  <w:footnote w:id="60">
    <w:p>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sz w:val="18"/>
          <w:szCs w:val="18"/>
        </w:rPr>
        <w:t xml:space="preserve">Καθοδηγητικό σημείωμα της Επιτροπής σχετικά με τη χορήγηση ανθρωπιστικής βοήθειας για την καταπολέμηση της πανδημίας COVID-19 σε ορισμένα περιβάλλοντα που υπόκεινται σε περιοριστικά μέτρα της ΕΕ: </w:t>
      </w:r>
    </w:p>
    <w:p>
      <w:pPr>
        <w:pStyle w:val="FootnoteText"/>
        <w:jc w:val="both"/>
      </w:pPr>
      <w:hyperlink r:id="rId44" w:history="1">
        <w:r>
          <w:rPr>
            <w:rStyle w:val="Hyperlink"/>
            <w:rFonts w:ascii="Times New Roman" w:hAnsi="Times New Roman"/>
            <w:sz w:val="18"/>
            <w:szCs w:val="18"/>
          </w:rPr>
          <w:t>https://ec.europa.eu/info/sites/info/files/business_economy_euro/banking_and_finance/documents/201116-humanitarian-aid-guidance-note_el.pdf</w:t>
        </w:r>
      </w:hyperlink>
    </w:p>
  </w:footnote>
  <w:footnote w:id="61">
    <w:p>
      <w:pPr>
        <w:pStyle w:val="FootnoteText"/>
        <w:jc w:val="both"/>
      </w:pPr>
      <w:r>
        <w:rPr>
          <w:rStyle w:val="FootnoteReference"/>
        </w:rPr>
        <w:footnoteRef/>
      </w:r>
      <w:r>
        <w:t xml:space="preserve"> </w:t>
      </w:r>
      <w:r>
        <w:rPr>
          <w:rFonts w:ascii="Times New Roman" w:hAnsi="Times New Roman"/>
          <w:sz w:val="18"/>
          <w:szCs w:val="18"/>
        </w:rPr>
        <w:t xml:space="preserve">Για παράδειγμα, η ανακοίνωση </w:t>
      </w:r>
      <w:r>
        <w:rPr>
          <w:rFonts w:ascii="Times New Roman" w:hAnsi="Times New Roman"/>
          <w:sz w:val="18"/>
          <w:szCs w:val="18"/>
          <w:shd w:val="clear" w:color="auto" w:fill="FFFFFF"/>
        </w:rPr>
        <w:t>«Το ευρωπαϊκό οικονομικό και χρηματοπιστωτικό σύστημα: προώθηση του ανοικτού χαρακτήρα, της ισχύος και της ανθεκτικότητας» προβλέπει</w:t>
      </w:r>
      <w:r>
        <w:rPr>
          <w:rFonts w:ascii="Times New Roman" w:hAnsi="Times New Roman"/>
          <w:color w:val="444444"/>
          <w:sz w:val="18"/>
          <w:szCs w:val="18"/>
          <w:shd w:val="clear" w:color="auto" w:fill="FFFFFF"/>
        </w:rPr>
        <w:t xml:space="preserve"> </w:t>
      </w:r>
      <w:r>
        <w:rPr>
          <w:rFonts w:ascii="Times New Roman" w:hAnsi="Times New Roman"/>
          <w:sz w:val="18"/>
          <w:szCs w:val="18"/>
          <w:shd w:val="clear" w:color="auto" w:fill="FFFFFF"/>
        </w:rPr>
        <w:t>επανεξέταση των υφιστάμενων καθεστώτων προκειμένου, μεταξύ άλλων, να αξιολογηθεί ο αντίκτυπός τους στην παροχή ανθρωπιστικής βοήθειας</w:t>
      </w:r>
      <w:r>
        <w:rPr>
          <w:rFonts w:ascii="Times New Roman" w:hAnsi="Times New Roman"/>
          <w:color w:val="444444"/>
          <w:sz w:val="18"/>
          <w:szCs w:val="18"/>
          <w:shd w:val="clear" w:color="auto" w:fill="FFFFFF"/>
        </w:rPr>
        <w:t xml:space="preserve"> </w:t>
      </w:r>
      <w:hyperlink r:id="rId45" w:history="1">
        <w:r>
          <w:rPr>
            <w:rStyle w:val="Hyperlink"/>
            <w:rFonts w:ascii="Times New Roman" w:hAnsi="Times New Roman"/>
            <w:sz w:val="18"/>
            <w:szCs w:val="18"/>
          </w:rPr>
          <w:t>https://eur-lex.europa.eu/legal-content/EN/TXT/?uri=CELEX%3A52021DC0032&amp;qid=1611728656387</w:t>
        </w:r>
      </w:hyperlink>
    </w:p>
  </w:footnote>
  <w:footnote w:id="62">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Από τα 42 καθεστώτα κυρώσεων της ΕΕ που ισχύουν επί του παρόντος, τα 7 περιλαμβάνουν ορισμένες ανθρωπιστικές εξαιρέσεις. </w:t>
      </w:r>
    </w:p>
  </w:footnote>
  <w:footnote w:id="63">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Δρομολογήθηκε από τους υπουργούς Εξωτερικών της Γαλλίας και της Γερμανίας στη Νέα Υόρκη στις 26 Σεπτεμβρίου 2019. Η ΕΕ την ενέκρινε τον Δεκέμβριο του 2020. (</w:t>
      </w:r>
      <w:hyperlink r:id="rId46" w:history="1">
        <w:r>
          <w:rPr>
            <w:rStyle w:val="Hyperlink"/>
            <w:rFonts w:ascii="Times New Roman" w:hAnsi="Times New Roman"/>
            <w:sz w:val="18"/>
            <w:szCs w:val="18"/>
          </w:rPr>
          <w:t>https://onu.delegfrance.org/Strengthening-respect-for-international-humanitarian-law</w:t>
        </w:r>
      </w:hyperlink>
      <w:r>
        <w:rPr>
          <w:rFonts w:ascii="Times New Roman" w:hAnsi="Times New Roman"/>
          <w:sz w:val="18"/>
          <w:szCs w:val="18"/>
        </w:rPr>
        <w:t>)</w:t>
      </w:r>
      <w:r>
        <w:t>.</w:t>
      </w:r>
    </w:p>
  </w:footnote>
  <w:footnote w:id="64">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Σύμφωνα με τα στοιχεία του Ευρωβαρόμετρου του Δεκεμβρίου 2020, το 91 % των ερωτηθέντων πολιτών της ΕΕ δηλώνει ότι είναι σημαντικό ή πολύ σημαντικό η ΕΕ να χρηματοδοτεί δραστηριότητες ανθρωπιστικής βοήθειας </w:t>
      </w:r>
    </w:p>
    <w:p>
      <w:pPr>
        <w:pStyle w:val="FootnoteText"/>
        <w:jc w:val="both"/>
        <w:rPr>
          <w:rFonts w:ascii="Times New Roman" w:hAnsi="Times New Roman" w:cs="Times New Roman"/>
          <w:sz w:val="18"/>
          <w:szCs w:val="18"/>
          <w:highlight w:val="yellow"/>
        </w:rPr>
      </w:pPr>
      <w:hyperlink r:id="rId47" w:history="1">
        <w:r>
          <w:rPr>
            <w:rStyle w:val="Hyperlink"/>
            <w:rFonts w:ascii="Times New Roman" w:hAnsi="Times New Roman"/>
            <w:sz w:val="18"/>
            <w:szCs w:val="18"/>
          </w:rPr>
          <w:t>https://ec.europa.eu/commfrontoffice/publicopinion/index.cfm/survey/getsurveydetail/instruments/special/surveyky/2265</w:t>
        </w:r>
      </w:hyperlink>
    </w:p>
  </w:footnote>
  <w:footnote w:id="65">
    <w:p>
      <w:pPr>
        <w:pStyle w:val="FootnoteText"/>
        <w:jc w:val="both"/>
      </w:pPr>
      <w:r>
        <w:rPr>
          <w:rStyle w:val="FootnoteReference"/>
        </w:rPr>
        <w:footnoteRef/>
      </w:r>
      <w:r>
        <w:t xml:space="preserve"> </w:t>
      </w:r>
      <w:r>
        <w:rPr>
          <w:rFonts w:ascii="Times New Roman" w:hAnsi="Times New Roman"/>
          <w:sz w:val="18"/>
          <w:szCs w:val="18"/>
        </w:rPr>
        <w:t>Το δίκτυο της Επιτροπής στον ανθρωπιστικό τομέα (ECHOfield) αποτελείται από 49 γραφεία σε 41 χώρες, με περίπου 450 εμπειρογνώμονες που παρέχουν τεχνική βοήθεια και παρακολουθούν την ανθρωπιστική βοήθεια της ΕΕ.</w:t>
      </w:r>
    </w:p>
  </w:footnote>
  <w:footnote w:id="66">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 xml:space="preserve"> </w:t>
      </w:r>
      <w:hyperlink r:id="rId48" w:history="1">
        <w:r>
          <w:rPr>
            <w:rStyle w:val="Hyperlink"/>
            <w:rFonts w:ascii="Times New Roman" w:hAnsi="Times New Roman"/>
            <w:sz w:val="18"/>
            <w:szCs w:val="18"/>
          </w:rPr>
          <w:t>https://ec.europa.eu/echo/what/civil-protection/knowledge-network_en</w:t>
        </w:r>
      </w:hyperlink>
      <w:r>
        <w:t>.</w:t>
      </w:r>
    </w:p>
  </w:footnote>
  <w:footnote w:id="67">
    <w:p>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t xml:space="preserve"> </w:t>
      </w:r>
      <w:r>
        <w:rPr>
          <w:rFonts w:ascii="Times New Roman" w:hAnsi="Times New Roman"/>
          <w:sz w:val="18"/>
          <w:szCs w:val="18"/>
        </w:rPr>
        <w:t xml:space="preserve">Κοινή ανακοίνωση για την ενίσχυση της συμβολής της ΕΕ στην πολυμερή προσέγγιση βάσει κανόνων </w:t>
      </w:r>
      <w:hyperlink r:id="rId49" w:history="1">
        <w:r>
          <w:rPr>
            <w:rStyle w:val="Hyperlink"/>
            <w:rFonts w:ascii="Times New Roman" w:hAnsi="Times New Roman"/>
            <w:sz w:val="18"/>
            <w:szCs w:val="18"/>
          </w:rPr>
          <w:t>https://eur-lex.europa.eu/legal-content/EL/TXT/PDF/?uri=CELEX:52021JC0003(01)&amp;qid=1614850215202&amp;from=EL</w:t>
        </w:r>
      </w:hyperlink>
      <w:r>
        <w:t>.</w:t>
      </w:r>
    </w:p>
    <w:p>
      <w:pPr>
        <w:pStyle w:val="FootnoteText"/>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73F1"/>
    <w:multiLevelType w:val="hybridMultilevel"/>
    <w:tmpl w:val="498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80672"/>
    <w:multiLevelType w:val="hybridMultilevel"/>
    <w:tmpl w:val="EEB2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91461B"/>
    <w:multiLevelType w:val="hybridMultilevel"/>
    <w:tmpl w:val="61184146"/>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0345D"/>
    <w:multiLevelType w:val="hybridMultilevel"/>
    <w:tmpl w:val="05F4B464"/>
    <w:lvl w:ilvl="0" w:tplc="08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7A3BDE"/>
    <w:multiLevelType w:val="hybridMultilevel"/>
    <w:tmpl w:val="EBF230E6"/>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5561AC"/>
    <w:multiLevelType w:val="hybridMultilevel"/>
    <w:tmpl w:val="ECC60ADC"/>
    <w:lvl w:ilvl="0" w:tplc="FAF662E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nsid w:val="1F565889"/>
    <w:multiLevelType w:val="hybridMultilevel"/>
    <w:tmpl w:val="AB741A3C"/>
    <w:lvl w:ilvl="0" w:tplc="BC860584">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A12658"/>
    <w:multiLevelType w:val="hybridMultilevel"/>
    <w:tmpl w:val="2A30DC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2857ED3"/>
    <w:multiLevelType w:val="multilevel"/>
    <w:tmpl w:val="5E02D1B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580613C"/>
    <w:multiLevelType w:val="multilevel"/>
    <w:tmpl w:val="F1280FC8"/>
    <w:lvl w:ilvl="0">
      <w:start w:val="3"/>
      <w:numFmt w:val="decimal"/>
      <w:lvlText w:val="%1"/>
      <w:lvlJc w:val="left"/>
      <w:pPr>
        <w:ind w:left="360" w:hanging="360"/>
      </w:pPr>
      <w:rPr>
        <w:rFonts w:ascii="Times New Roman" w:eastAsia="Times New Roman" w:hAnsi="Times New Roman" w:cs="Times New Roman" w:hint="default"/>
      </w:rPr>
    </w:lvl>
    <w:lvl w:ilvl="1">
      <w:start w:val="2"/>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10">
    <w:nsid w:val="275A7233"/>
    <w:multiLevelType w:val="hybridMultilevel"/>
    <w:tmpl w:val="97E21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EE677BC"/>
    <w:multiLevelType w:val="hybridMultilevel"/>
    <w:tmpl w:val="6BD2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765535"/>
    <w:multiLevelType w:val="hybridMultilevel"/>
    <w:tmpl w:val="29D2EBD0"/>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3">
    <w:nsid w:val="32250547"/>
    <w:multiLevelType w:val="hybridMultilevel"/>
    <w:tmpl w:val="279E1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A04E26"/>
    <w:multiLevelType w:val="hybridMultilevel"/>
    <w:tmpl w:val="7B748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91D5322"/>
    <w:multiLevelType w:val="hybridMultilevel"/>
    <w:tmpl w:val="006ECE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9286C60"/>
    <w:multiLevelType w:val="multilevel"/>
    <w:tmpl w:val="BC382E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42015F04"/>
    <w:multiLevelType w:val="hybridMultilevel"/>
    <w:tmpl w:val="D80E1FAC"/>
    <w:lvl w:ilvl="0" w:tplc="70A04104">
      <w:start w:val="1"/>
      <w:numFmt w:val="bullet"/>
      <w:lvlText w:val="o"/>
      <w:lvlJc w:val="left"/>
      <w:pPr>
        <w:ind w:left="7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AEC07656">
      <w:start w:val="1"/>
      <w:numFmt w:val="bullet"/>
      <w:lvlText w:val="o"/>
      <w:lvlJc w:val="left"/>
      <w:pPr>
        <w:ind w:left="15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14A237A">
      <w:start w:val="1"/>
      <w:numFmt w:val="bullet"/>
      <w:lvlText w:val="▪"/>
      <w:lvlJc w:val="left"/>
      <w:pPr>
        <w:ind w:left="22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0C842B6">
      <w:start w:val="1"/>
      <w:numFmt w:val="bullet"/>
      <w:lvlText w:val="•"/>
      <w:lvlJc w:val="left"/>
      <w:pPr>
        <w:ind w:left="29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3144F78">
      <w:start w:val="1"/>
      <w:numFmt w:val="bullet"/>
      <w:lvlText w:val="o"/>
      <w:lvlJc w:val="left"/>
      <w:pPr>
        <w:ind w:left="36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57641B4">
      <w:start w:val="1"/>
      <w:numFmt w:val="bullet"/>
      <w:lvlText w:val="▪"/>
      <w:lvlJc w:val="left"/>
      <w:pPr>
        <w:ind w:left="43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7C2EFFC">
      <w:start w:val="1"/>
      <w:numFmt w:val="bullet"/>
      <w:lvlText w:val="•"/>
      <w:lvlJc w:val="left"/>
      <w:pPr>
        <w:ind w:left="51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B9E7A86">
      <w:start w:val="1"/>
      <w:numFmt w:val="bullet"/>
      <w:lvlText w:val="o"/>
      <w:lvlJc w:val="left"/>
      <w:pPr>
        <w:ind w:left="58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3AE7C42">
      <w:start w:val="1"/>
      <w:numFmt w:val="bullet"/>
      <w:lvlText w:val="▪"/>
      <w:lvlJc w:val="left"/>
      <w:pPr>
        <w:ind w:left="6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424E7366"/>
    <w:multiLevelType w:val="hybridMultilevel"/>
    <w:tmpl w:val="B52837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396098D"/>
    <w:multiLevelType w:val="multilevel"/>
    <w:tmpl w:val="3606F1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6B66782"/>
    <w:multiLevelType w:val="hybridMultilevel"/>
    <w:tmpl w:val="4E266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C31E64"/>
    <w:multiLevelType w:val="hybridMultilevel"/>
    <w:tmpl w:val="53321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7623A2"/>
    <w:multiLevelType w:val="hybridMultilevel"/>
    <w:tmpl w:val="50A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89482D"/>
    <w:multiLevelType w:val="hybridMultilevel"/>
    <w:tmpl w:val="67023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4FAA67CD"/>
    <w:multiLevelType w:val="hybridMultilevel"/>
    <w:tmpl w:val="64A483BA"/>
    <w:lvl w:ilvl="0" w:tplc="FFFFFFFF">
      <w:start w:val="1"/>
      <w:numFmt w:val="bullet"/>
      <w:lvlText w:val="·"/>
      <w:lvlJc w:val="left"/>
      <w:pPr>
        <w:ind w:left="720" w:hanging="360"/>
      </w:pPr>
      <w:rPr>
        <w:rFonts w:ascii="Symbol" w:hAnsi="Symbol" w:hint="default"/>
      </w:rPr>
    </w:lvl>
    <w:lvl w:ilvl="1" w:tplc="A86A73CE">
      <w:start w:val="1"/>
      <w:numFmt w:val="bullet"/>
      <w:lvlText w:val="o"/>
      <w:lvlJc w:val="left"/>
      <w:pPr>
        <w:ind w:left="1440" w:hanging="360"/>
      </w:pPr>
      <w:rPr>
        <w:rFonts w:ascii="Courier New" w:hAnsi="Courier New" w:hint="default"/>
      </w:rPr>
    </w:lvl>
    <w:lvl w:ilvl="2" w:tplc="079A057E">
      <w:start w:val="1"/>
      <w:numFmt w:val="bullet"/>
      <w:lvlText w:val=""/>
      <w:lvlJc w:val="left"/>
      <w:pPr>
        <w:ind w:left="2160" w:hanging="360"/>
      </w:pPr>
      <w:rPr>
        <w:rFonts w:ascii="Wingdings" w:hAnsi="Wingdings" w:hint="default"/>
      </w:rPr>
    </w:lvl>
    <w:lvl w:ilvl="3" w:tplc="F71451E6">
      <w:start w:val="1"/>
      <w:numFmt w:val="bullet"/>
      <w:lvlText w:val=""/>
      <w:lvlJc w:val="left"/>
      <w:pPr>
        <w:ind w:left="2880" w:hanging="360"/>
      </w:pPr>
      <w:rPr>
        <w:rFonts w:ascii="Symbol" w:hAnsi="Symbol" w:hint="default"/>
      </w:rPr>
    </w:lvl>
    <w:lvl w:ilvl="4" w:tplc="45902AFC">
      <w:start w:val="1"/>
      <w:numFmt w:val="bullet"/>
      <w:lvlText w:val="o"/>
      <w:lvlJc w:val="left"/>
      <w:pPr>
        <w:ind w:left="3600" w:hanging="360"/>
      </w:pPr>
      <w:rPr>
        <w:rFonts w:ascii="Courier New" w:hAnsi="Courier New" w:hint="default"/>
      </w:rPr>
    </w:lvl>
    <w:lvl w:ilvl="5" w:tplc="8132C3F8">
      <w:start w:val="1"/>
      <w:numFmt w:val="bullet"/>
      <w:lvlText w:val=""/>
      <w:lvlJc w:val="left"/>
      <w:pPr>
        <w:ind w:left="4320" w:hanging="360"/>
      </w:pPr>
      <w:rPr>
        <w:rFonts w:ascii="Wingdings" w:hAnsi="Wingdings" w:hint="default"/>
      </w:rPr>
    </w:lvl>
    <w:lvl w:ilvl="6" w:tplc="B6AEE6AE">
      <w:start w:val="1"/>
      <w:numFmt w:val="bullet"/>
      <w:lvlText w:val=""/>
      <w:lvlJc w:val="left"/>
      <w:pPr>
        <w:ind w:left="5040" w:hanging="360"/>
      </w:pPr>
      <w:rPr>
        <w:rFonts w:ascii="Symbol" w:hAnsi="Symbol" w:hint="default"/>
      </w:rPr>
    </w:lvl>
    <w:lvl w:ilvl="7" w:tplc="5A307126">
      <w:start w:val="1"/>
      <w:numFmt w:val="bullet"/>
      <w:lvlText w:val="o"/>
      <w:lvlJc w:val="left"/>
      <w:pPr>
        <w:ind w:left="5760" w:hanging="360"/>
      </w:pPr>
      <w:rPr>
        <w:rFonts w:ascii="Courier New" w:hAnsi="Courier New" w:hint="default"/>
      </w:rPr>
    </w:lvl>
    <w:lvl w:ilvl="8" w:tplc="563CC732">
      <w:start w:val="1"/>
      <w:numFmt w:val="bullet"/>
      <w:lvlText w:val=""/>
      <w:lvlJc w:val="left"/>
      <w:pPr>
        <w:ind w:left="6480" w:hanging="360"/>
      </w:pPr>
      <w:rPr>
        <w:rFonts w:ascii="Wingdings" w:hAnsi="Wingdings" w:hint="default"/>
      </w:rPr>
    </w:lvl>
  </w:abstractNum>
  <w:abstractNum w:abstractNumId="25">
    <w:nsid w:val="515F6016"/>
    <w:multiLevelType w:val="hybridMultilevel"/>
    <w:tmpl w:val="DE98EF6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5B4449"/>
    <w:multiLevelType w:val="hybridMultilevel"/>
    <w:tmpl w:val="B72C84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36B051D"/>
    <w:multiLevelType w:val="hybridMultilevel"/>
    <w:tmpl w:val="9AEE4A52"/>
    <w:lvl w:ilvl="0" w:tplc="FFFFFFFF">
      <w:start w:val="1"/>
      <w:numFmt w:val="bullet"/>
      <w:lvlText w:val="-"/>
      <w:lvlJc w:val="left"/>
      <w:pPr>
        <w:ind w:left="720" w:hanging="360"/>
      </w:pPr>
      <w:rPr>
        <w:rFonts w:ascii="Simplified Arabic Fixed" w:hAnsi="Simplified Arabic Fixe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7E37BE"/>
    <w:multiLevelType w:val="hybridMultilevel"/>
    <w:tmpl w:val="88BAC9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1F6574"/>
    <w:multiLevelType w:val="hybridMultilevel"/>
    <w:tmpl w:val="5B067B00"/>
    <w:lvl w:ilvl="0" w:tplc="78E6A25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AD2658F"/>
    <w:multiLevelType w:val="hybridMultilevel"/>
    <w:tmpl w:val="D62CED82"/>
    <w:lvl w:ilvl="0" w:tplc="425296DA">
      <w:start w:val="1"/>
      <w:numFmt w:val="bullet"/>
      <w:lvlText w:val="·"/>
      <w:lvlJc w:val="left"/>
      <w:pPr>
        <w:ind w:left="720" w:hanging="360"/>
      </w:pPr>
      <w:rPr>
        <w:rFonts w:ascii="Symbol" w:hAnsi="Symbol" w:hint="default"/>
      </w:rPr>
    </w:lvl>
    <w:lvl w:ilvl="1" w:tplc="A44EB77C">
      <w:start w:val="1"/>
      <w:numFmt w:val="bullet"/>
      <w:lvlText w:val="o"/>
      <w:lvlJc w:val="left"/>
      <w:pPr>
        <w:ind w:left="1440" w:hanging="360"/>
      </w:pPr>
      <w:rPr>
        <w:rFonts w:ascii="Courier New" w:hAnsi="Courier New" w:hint="default"/>
      </w:rPr>
    </w:lvl>
    <w:lvl w:ilvl="2" w:tplc="9E34D692">
      <w:start w:val="1"/>
      <w:numFmt w:val="bullet"/>
      <w:lvlText w:val=""/>
      <w:lvlJc w:val="left"/>
      <w:pPr>
        <w:ind w:left="2160" w:hanging="360"/>
      </w:pPr>
      <w:rPr>
        <w:rFonts w:ascii="Wingdings" w:hAnsi="Wingdings" w:hint="default"/>
      </w:rPr>
    </w:lvl>
    <w:lvl w:ilvl="3" w:tplc="5E0C44B0">
      <w:start w:val="1"/>
      <w:numFmt w:val="bullet"/>
      <w:lvlText w:val=""/>
      <w:lvlJc w:val="left"/>
      <w:pPr>
        <w:ind w:left="2880" w:hanging="360"/>
      </w:pPr>
      <w:rPr>
        <w:rFonts w:ascii="Symbol" w:hAnsi="Symbol" w:hint="default"/>
      </w:rPr>
    </w:lvl>
    <w:lvl w:ilvl="4" w:tplc="8474EE40">
      <w:start w:val="1"/>
      <w:numFmt w:val="bullet"/>
      <w:lvlText w:val="o"/>
      <w:lvlJc w:val="left"/>
      <w:pPr>
        <w:ind w:left="3600" w:hanging="360"/>
      </w:pPr>
      <w:rPr>
        <w:rFonts w:ascii="Courier New" w:hAnsi="Courier New" w:hint="default"/>
      </w:rPr>
    </w:lvl>
    <w:lvl w:ilvl="5" w:tplc="CAD4DFD4">
      <w:start w:val="1"/>
      <w:numFmt w:val="bullet"/>
      <w:lvlText w:val=""/>
      <w:lvlJc w:val="left"/>
      <w:pPr>
        <w:ind w:left="4320" w:hanging="360"/>
      </w:pPr>
      <w:rPr>
        <w:rFonts w:ascii="Wingdings" w:hAnsi="Wingdings" w:hint="default"/>
      </w:rPr>
    </w:lvl>
    <w:lvl w:ilvl="6" w:tplc="75FE03DE">
      <w:start w:val="1"/>
      <w:numFmt w:val="bullet"/>
      <w:lvlText w:val=""/>
      <w:lvlJc w:val="left"/>
      <w:pPr>
        <w:ind w:left="5040" w:hanging="360"/>
      </w:pPr>
      <w:rPr>
        <w:rFonts w:ascii="Symbol" w:hAnsi="Symbol" w:hint="default"/>
      </w:rPr>
    </w:lvl>
    <w:lvl w:ilvl="7" w:tplc="C7DE1384">
      <w:start w:val="1"/>
      <w:numFmt w:val="bullet"/>
      <w:lvlText w:val="o"/>
      <w:lvlJc w:val="left"/>
      <w:pPr>
        <w:ind w:left="5760" w:hanging="360"/>
      </w:pPr>
      <w:rPr>
        <w:rFonts w:ascii="Courier New" w:hAnsi="Courier New" w:hint="default"/>
      </w:rPr>
    </w:lvl>
    <w:lvl w:ilvl="8" w:tplc="0CDCD6BA">
      <w:start w:val="1"/>
      <w:numFmt w:val="bullet"/>
      <w:lvlText w:val=""/>
      <w:lvlJc w:val="left"/>
      <w:pPr>
        <w:ind w:left="6480" w:hanging="360"/>
      </w:pPr>
      <w:rPr>
        <w:rFonts w:ascii="Wingdings" w:hAnsi="Wingdings" w:hint="default"/>
      </w:rPr>
    </w:lvl>
  </w:abstractNum>
  <w:abstractNum w:abstractNumId="31">
    <w:nsid w:val="5DBE7EFB"/>
    <w:multiLevelType w:val="hybridMultilevel"/>
    <w:tmpl w:val="7C8C9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2B62AE4"/>
    <w:multiLevelType w:val="hybridMultilevel"/>
    <w:tmpl w:val="6552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BE69ED"/>
    <w:multiLevelType w:val="hybridMultilevel"/>
    <w:tmpl w:val="F2CC32E0"/>
    <w:lvl w:ilvl="0" w:tplc="43F8E47E">
      <w:start w:val="1"/>
      <w:numFmt w:val="bullet"/>
      <w:lvlText w:val="·"/>
      <w:lvlJc w:val="left"/>
      <w:pPr>
        <w:ind w:left="720" w:hanging="360"/>
      </w:pPr>
      <w:rPr>
        <w:rFonts w:ascii="Symbol" w:hAnsi="Symbol" w:hint="default"/>
      </w:rPr>
    </w:lvl>
    <w:lvl w:ilvl="1" w:tplc="637E59C2">
      <w:start w:val="1"/>
      <w:numFmt w:val="bullet"/>
      <w:lvlText w:val="o"/>
      <w:lvlJc w:val="left"/>
      <w:pPr>
        <w:ind w:left="1440" w:hanging="360"/>
      </w:pPr>
      <w:rPr>
        <w:rFonts w:ascii="Courier New" w:hAnsi="Courier New" w:hint="default"/>
      </w:rPr>
    </w:lvl>
    <w:lvl w:ilvl="2" w:tplc="D45ED3D4">
      <w:start w:val="1"/>
      <w:numFmt w:val="bullet"/>
      <w:lvlText w:val=""/>
      <w:lvlJc w:val="left"/>
      <w:pPr>
        <w:ind w:left="2160" w:hanging="360"/>
      </w:pPr>
      <w:rPr>
        <w:rFonts w:ascii="Wingdings" w:hAnsi="Wingdings" w:hint="default"/>
      </w:rPr>
    </w:lvl>
    <w:lvl w:ilvl="3" w:tplc="E5104B02">
      <w:start w:val="1"/>
      <w:numFmt w:val="bullet"/>
      <w:lvlText w:val=""/>
      <w:lvlJc w:val="left"/>
      <w:pPr>
        <w:ind w:left="2880" w:hanging="360"/>
      </w:pPr>
      <w:rPr>
        <w:rFonts w:ascii="Symbol" w:hAnsi="Symbol" w:hint="default"/>
      </w:rPr>
    </w:lvl>
    <w:lvl w:ilvl="4" w:tplc="1604FFCA">
      <w:start w:val="1"/>
      <w:numFmt w:val="bullet"/>
      <w:lvlText w:val="o"/>
      <w:lvlJc w:val="left"/>
      <w:pPr>
        <w:ind w:left="3600" w:hanging="360"/>
      </w:pPr>
      <w:rPr>
        <w:rFonts w:ascii="Courier New" w:hAnsi="Courier New" w:hint="default"/>
      </w:rPr>
    </w:lvl>
    <w:lvl w:ilvl="5" w:tplc="7742A8C4">
      <w:start w:val="1"/>
      <w:numFmt w:val="bullet"/>
      <w:lvlText w:val=""/>
      <w:lvlJc w:val="left"/>
      <w:pPr>
        <w:ind w:left="4320" w:hanging="360"/>
      </w:pPr>
      <w:rPr>
        <w:rFonts w:ascii="Wingdings" w:hAnsi="Wingdings" w:hint="default"/>
      </w:rPr>
    </w:lvl>
    <w:lvl w:ilvl="6" w:tplc="E9B09D70">
      <w:start w:val="1"/>
      <w:numFmt w:val="bullet"/>
      <w:lvlText w:val=""/>
      <w:lvlJc w:val="left"/>
      <w:pPr>
        <w:ind w:left="5040" w:hanging="360"/>
      </w:pPr>
      <w:rPr>
        <w:rFonts w:ascii="Symbol" w:hAnsi="Symbol" w:hint="default"/>
      </w:rPr>
    </w:lvl>
    <w:lvl w:ilvl="7" w:tplc="653C12EE">
      <w:start w:val="1"/>
      <w:numFmt w:val="bullet"/>
      <w:lvlText w:val="o"/>
      <w:lvlJc w:val="left"/>
      <w:pPr>
        <w:ind w:left="5760" w:hanging="360"/>
      </w:pPr>
      <w:rPr>
        <w:rFonts w:ascii="Courier New" w:hAnsi="Courier New" w:hint="default"/>
      </w:rPr>
    </w:lvl>
    <w:lvl w:ilvl="8" w:tplc="8CE00EFE">
      <w:start w:val="1"/>
      <w:numFmt w:val="bullet"/>
      <w:lvlText w:val=""/>
      <w:lvlJc w:val="left"/>
      <w:pPr>
        <w:ind w:left="6480" w:hanging="360"/>
      </w:pPr>
      <w:rPr>
        <w:rFonts w:ascii="Wingdings" w:hAnsi="Wingdings" w:hint="default"/>
      </w:rPr>
    </w:lvl>
  </w:abstractNum>
  <w:abstractNum w:abstractNumId="34">
    <w:nsid w:val="6B97552F"/>
    <w:multiLevelType w:val="hybridMultilevel"/>
    <w:tmpl w:val="70E6A2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CA245AF"/>
    <w:multiLevelType w:val="hybridMultilevel"/>
    <w:tmpl w:val="AEF2F638"/>
    <w:lvl w:ilvl="0" w:tplc="33A0D80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D0B02F8"/>
    <w:multiLevelType w:val="hybridMultilevel"/>
    <w:tmpl w:val="8230D1B8"/>
    <w:lvl w:ilvl="0" w:tplc="1BECA0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794494F"/>
    <w:multiLevelType w:val="multilevel"/>
    <w:tmpl w:val="52504AF2"/>
    <w:lvl w:ilvl="0">
      <w:start w:val="3"/>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8">
    <w:nsid w:val="7B507EF1"/>
    <w:multiLevelType w:val="hybridMultilevel"/>
    <w:tmpl w:val="533A5BB2"/>
    <w:lvl w:ilvl="0" w:tplc="FFFFFFFF">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3"/>
  </w:num>
  <w:num w:numId="2">
    <w:abstractNumId w:val="24"/>
  </w:num>
  <w:num w:numId="3">
    <w:abstractNumId w:val="19"/>
  </w:num>
  <w:num w:numId="4">
    <w:abstractNumId w:val="8"/>
  </w:num>
  <w:num w:numId="5">
    <w:abstractNumId w:val="30"/>
  </w:num>
  <w:num w:numId="6">
    <w:abstractNumId w:val="29"/>
  </w:num>
  <w:num w:numId="7">
    <w:abstractNumId w:val="9"/>
  </w:num>
  <w:num w:numId="8">
    <w:abstractNumId w:val="25"/>
  </w:num>
  <w:num w:numId="9">
    <w:abstractNumId w:val="36"/>
  </w:num>
  <w:num w:numId="10">
    <w:abstractNumId w:val="4"/>
  </w:num>
  <w:num w:numId="11">
    <w:abstractNumId w:val="6"/>
  </w:num>
  <w:num w:numId="12">
    <w:abstractNumId w:val="2"/>
  </w:num>
  <w:num w:numId="13">
    <w:abstractNumId w:val="27"/>
  </w:num>
  <w:num w:numId="14">
    <w:abstractNumId w:val="10"/>
  </w:num>
  <w:num w:numId="15">
    <w:abstractNumId w:val="34"/>
  </w:num>
  <w:num w:numId="16">
    <w:abstractNumId w:val="26"/>
  </w:num>
  <w:num w:numId="17">
    <w:abstractNumId w:val="38"/>
  </w:num>
  <w:num w:numId="18">
    <w:abstractNumId w:val="15"/>
  </w:num>
  <w:num w:numId="19">
    <w:abstractNumId w:val="28"/>
  </w:num>
  <w:num w:numId="20">
    <w:abstractNumId w:val="24"/>
  </w:num>
  <w:num w:numId="21">
    <w:abstractNumId w:val="3"/>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31"/>
  </w:num>
  <w:num w:numId="27">
    <w:abstractNumId w:val="7"/>
  </w:num>
  <w:num w:numId="28">
    <w:abstractNumId w:val="20"/>
  </w:num>
  <w:num w:numId="29">
    <w:abstractNumId w:val="0"/>
  </w:num>
  <w:num w:numId="30">
    <w:abstractNumId w:val="21"/>
  </w:num>
  <w:num w:numId="31">
    <w:abstractNumId w:val="22"/>
  </w:num>
  <w:num w:numId="32">
    <w:abstractNumId w:val="32"/>
  </w:num>
  <w:num w:numId="33">
    <w:abstractNumId w:val="38"/>
  </w:num>
  <w:num w:numId="34">
    <w:abstractNumId w:val="17"/>
  </w:num>
  <w:num w:numId="35">
    <w:abstractNumId w:val="34"/>
  </w:num>
  <w:num w:numId="36">
    <w:abstractNumId w:val="12"/>
  </w:num>
  <w:num w:numId="37">
    <w:abstractNumId w:val="13"/>
  </w:num>
  <w:num w:numId="38">
    <w:abstractNumId w:val="23"/>
  </w:num>
  <w:num w:numId="39">
    <w:abstractNumId w:val="37"/>
  </w:num>
  <w:num w:numId="40">
    <w:abstractNumId w:val="13"/>
  </w:num>
  <w:num w:numId="41">
    <w:abstractNumId w:val="24"/>
  </w:num>
  <w:num w:numId="42">
    <w:abstractNumId w:val="24"/>
  </w:num>
  <w:num w:numId="43">
    <w:abstractNumId w:val="14"/>
  </w:num>
  <w:num w:numId="44">
    <w:abstractNumId w:val="19"/>
  </w:num>
  <w:num w:numId="45">
    <w:abstractNumId w:val="34"/>
  </w:num>
  <w:num w:numId="46">
    <w:abstractNumId w:val="38"/>
  </w:num>
  <w:num w:numId="47">
    <w:abstractNumId w:val="11"/>
  </w:num>
  <w:num w:numId="48">
    <w:abstractNumId w:val="35"/>
  </w:num>
  <w:num w:numId="49">
    <w:abstractNumId w:val="5"/>
  </w:num>
  <w:num w:numId="5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6"/>
  <w:removePersonalInformation/>
  <w:removeDateAndTime/>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revisionView w:markup="0"/>
  <w:defaultTabStop w:val="720"/>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E81DE78-F9B8-4CD2-9E84-553A32822106"/>
    <w:docVar w:name="LW_COVERPAGE_TYPE" w:val="1"/>
    <w:docVar w:name="LW_CROSSREFERENCE" w:val="&lt;UNUSED&gt;"/>
    <w:docVar w:name="LW_DocType" w:val="NORMAL"/>
    <w:docVar w:name="LW_EMISSION" w:val="10.3.2021"/>
    <w:docVar w:name="LW_EMISSION_ISODATE" w:val="2021-03-10"/>
    <w:docVar w:name="LW_EMISSION_LOCATION" w:val="BRX"/>
    <w:docVar w:name="LW_EMISSION_PREFIX" w:val="Βρυξέλλες, "/>
    <w:docVar w:name="LW_EMISSION_SUFFIX" w:val=" "/>
    <w:docVar w:name="LW_ID_DOCTYPE_NONLW" w:val="CP-012"/>
    <w:docVar w:name="LW_LANGUE" w:val="EL"/>
    <w:docVar w:name="LW_LEVEL_OF_SENSITIVITY" w:val="Standard treatment"/>
    <w:docVar w:name="LW_NOM.INST" w:val="\u917?\u933?\u929?\u937?\u928?\u913?\u938?\u922?\u919? \u917?\u928?\u921?\u932?\u929?\u927?\u928?\u919?"/>
    <w:docVar w:name="LW_NOM.INST_JOINTDOC" w:val="&lt;EMPTY&gt;"/>
    <w:docVar w:name="LW_PART_NBR" w:val="1"/>
    <w:docVar w:name="LW_PART_NBR_TOTAL" w:val="1"/>
    <w:docVar w:name="LW_REF.INST.NEW" w:val="COM"/>
    <w:docVar w:name="LW_REF.INST.NEW_ADOPTED" w:val="final"/>
    <w:docVar w:name="LW_REF.INST.NEW_TEXT" w:val="(2021) 11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963?\u967?\u949?\u964?\u953?\u954?\u940? \u956?\u949? \u964?\u951?\u957? \u945?\u957?\u952?\u961?\u969?\u960?\u953?\u963?\u964?\u953?\u954?\u942? \u948?\u961?\u940?\u963?\u951? \u964?\u951?\u962? \u917?\u917?: \u957?\u941?\u949?\u962? \u960?\u961?\u959?\u954?\u955?\u942?\u963?\u949?\u953?\u962?, \u943?\u948?\u953?\u949?\u962? \u945?\u961?\u967?\u941?\u962?"/>
    <w:docVar w:name="LW_TYPE.DOC.CP" w:val="\u913?\u925?\u913?\u922?\u927?\u921?\u925?\u937?\u931?\u919? \u932?\u919?\u931? \u917?\u928?\u921?\u932?\u929?\u927?\u928?\u919?\u931? \u928?\u929?\u927?\u931? \u932?\u927? \u917?\u933?\u929?\u937?\u928?\u913?\u938?\u922?\u927? \u922?\u927?\u921?\u925?\u927?\u914?\u927?\u933?\u923?\u921?\u927? \u922?\u913?\u921? \u932?\u927? \u931?\u933?\u924?\u914?\u927?\u933?\u923?\u921?\u927?"/>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L,Recommendatio"/>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lock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DefaultParagraphFont"/>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pPr>
      <w:spacing w:after="0" w:line="240" w:lineRule="auto"/>
    </w:pPr>
    <w:rPr>
      <w:rFonts w:ascii="Calibri" w:hAnsi="Calibri" w:cs="Calibri"/>
    </w:rPr>
  </w:style>
  <w:style w:type="character" w:customStyle="1" w:styleId="PlainTextChar">
    <w:name w:val="Plain Text Char"/>
    <w:basedOn w:val="DefaultParagraphFont"/>
    <w:link w:val="PlainText"/>
    <w:uiPriority w:val="99"/>
    <w:rPr>
      <w:rFonts w:ascii="Calibri" w:hAnsi="Calibri" w:cs="Calibri"/>
      <w:lang w:val="el-GR"/>
    </w:rPr>
  </w:style>
  <w:style w:type="character" w:customStyle="1" w:styleId="None">
    <w:name w:val="None"/>
  </w:style>
  <w:style w:type="paragraph" w:customStyle="1" w:styleId="Commissionwill">
    <w:name w:val="Commission will"/>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i/>
      <w:iCs/>
      <w:color w:val="000000"/>
      <w:sz w:val="24"/>
      <w:szCs w:val="24"/>
      <w:u w:color="000000"/>
      <w:bdr w:val="nil"/>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L,Recommendatio"/>
    <w:basedOn w:val="Normal"/>
    <w:link w:val="ListParagraphChar"/>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rPr>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lock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DefaultParagraphFont"/>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normaltextrun">
    <w:name w:val="normaltextrun"/>
    <w:basedOn w:val="DefaultParagraphFont"/>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pPr>
      <w:spacing w:after="0" w:line="240" w:lineRule="auto"/>
    </w:pPr>
    <w:rPr>
      <w:rFonts w:ascii="Calibri" w:hAnsi="Calibri" w:cs="Calibri"/>
    </w:rPr>
  </w:style>
  <w:style w:type="character" w:customStyle="1" w:styleId="PlainTextChar">
    <w:name w:val="Plain Text Char"/>
    <w:basedOn w:val="DefaultParagraphFont"/>
    <w:link w:val="PlainText"/>
    <w:uiPriority w:val="99"/>
    <w:rPr>
      <w:rFonts w:ascii="Calibri" w:hAnsi="Calibri" w:cs="Calibri"/>
      <w:lang w:val="el-GR"/>
    </w:rPr>
  </w:style>
  <w:style w:type="character" w:customStyle="1" w:styleId="None">
    <w:name w:val="None"/>
  </w:style>
  <w:style w:type="paragraph" w:customStyle="1" w:styleId="Commissionwill">
    <w:name w:val="Commission will"/>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i/>
      <w:iCs/>
      <w:color w:val="000000"/>
      <w:sz w:val="24"/>
      <w:szCs w:val="24"/>
      <w:u w:color="000000"/>
      <w:bdr w:val="nil"/>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3150">
      <w:bodyDiv w:val="1"/>
      <w:marLeft w:val="0"/>
      <w:marRight w:val="0"/>
      <w:marTop w:val="0"/>
      <w:marBottom w:val="0"/>
      <w:divBdr>
        <w:top w:val="none" w:sz="0" w:space="0" w:color="auto"/>
        <w:left w:val="none" w:sz="0" w:space="0" w:color="auto"/>
        <w:bottom w:val="none" w:sz="0" w:space="0" w:color="auto"/>
        <w:right w:val="none" w:sz="0" w:space="0" w:color="auto"/>
      </w:divBdr>
    </w:div>
    <w:div w:id="58526634">
      <w:bodyDiv w:val="1"/>
      <w:marLeft w:val="0"/>
      <w:marRight w:val="0"/>
      <w:marTop w:val="0"/>
      <w:marBottom w:val="0"/>
      <w:divBdr>
        <w:top w:val="none" w:sz="0" w:space="0" w:color="auto"/>
        <w:left w:val="none" w:sz="0" w:space="0" w:color="auto"/>
        <w:bottom w:val="none" w:sz="0" w:space="0" w:color="auto"/>
        <w:right w:val="none" w:sz="0" w:space="0" w:color="auto"/>
      </w:divBdr>
    </w:div>
    <w:div w:id="114103000">
      <w:bodyDiv w:val="1"/>
      <w:marLeft w:val="0"/>
      <w:marRight w:val="0"/>
      <w:marTop w:val="0"/>
      <w:marBottom w:val="0"/>
      <w:divBdr>
        <w:top w:val="none" w:sz="0" w:space="0" w:color="auto"/>
        <w:left w:val="none" w:sz="0" w:space="0" w:color="auto"/>
        <w:bottom w:val="none" w:sz="0" w:space="0" w:color="auto"/>
        <w:right w:val="none" w:sz="0" w:space="0" w:color="auto"/>
      </w:divBdr>
    </w:div>
    <w:div w:id="156120592">
      <w:bodyDiv w:val="1"/>
      <w:marLeft w:val="0"/>
      <w:marRight w:val="0"/>
      <w:marTop w:val="0"/>
      <w:marBottom w:val="0"/>
      <w:divBdr>
        <w:top w:val="none" w:sz="0" w:space="0" w:color="auto"/>
        <w:left w:val="none" w:sz="0" w:space="0" w:color="auto"/>
        <w:bottom w:val="none" w:sz="0" w:space="0" w:color="auto"/>
        <w:right w:val="none" w:sz="0" w:space="0" w:color="auto"/>
      </w:divBdr>
    </w:div>
    <w:div w:id="170141434">
      <w:bodyDiv w:val="1"/>
      <w:marLeft w:val="0"/>
      <w:marRight w:val="0"/>
      <w:marTop w:val="0"/>
      <w:marBottom w:val="0"/>
      <w:divBdr>
        <w:top w:val="none" w:sz="0" w:space="0" w:color="auto"/>
        <w:left w:val="none" w:sz="0" w:space="0" w:color="auto"/>
        <w:bottom w:val="none" w:sz="0" w:space="0" w:color="auto"/>
        <w:right w:val="none" w:sz="0" w:space="0" w:color="auto"/>
      </w:divBdr>
    </w:div>
    <w:div w:id="214314360">
      <w:bodyDiv w:val="1"/>
      <w:marLeft w:val="0"/>
      <w:marRight w:val="0"/>
      <w:marTop w:val="0"/>
      <w:marBottom w:val="0"/>
      <w:divBdr>
        <w:top w:val="none" w:sz="0" w:space="0" w:color="auto"/>
        <w:left w:val="none" w:sz="0" w:space="0" w:color="auto"/>
        <w:bottom w:val="none" w:sz="0" w:space="0" w:color="auto"/>
        <w:right w:val="none" w:sz="0" w:space="0" w:color="auto"/>
      </w:divBdr>
    </w:div>
    <w:div w:id="242835480">
      <w:bodyDiv w:val="1"/>
      <w:marLeft w:val="0"/>
      <w:marRight w:val="0"/>
      <w:marTop w:val="0"/>
      <w:marBottom w:val="0"/>
      <w:divBdr>
        <w:top w:val="none" w:sz="0" w:space="0" w:color="auto"/>
        <w:left w:val="none" w:sz="0" w:space="0" w:color="auto"/>
        <w:bottom w:val="none" w:sz="0" w:space="0" w:color="auto"/>
        <w:right w:val="none" w:sz="0" w:space="0" w:color="auto"/>
      </w:divBdr>
    </w:div>
    <w:div w:id="243031343">
      <w:bodyDiv w:val="1"/>
      <w:marLeft w:val="0"/>
      <w:marRight w:val="0"/>
      <w:marTop w:val="0"/>
      <w:marBottom w:val="0"/>
      <w:divBdr>
        <w:top w:val="none" w:sz="0" w:space="0" w:color="auto"/>
        <w:left w:val="none" w:sz="0" w:space="0" w:color="auto"/>
        <w:bottom w:val="none" w:sz="0" w:space="0" w:color="auto"/>
        <w:right w:val="none" w:sz="0" w:space="0" w:color="auto"/>
      </w:divBdr>
    </w:div>
    <w:div w:id="408693245">
      <w:bodyDiv w:val="1"/>
      <w:marLeft w:val="0"/>
      <w:marRight w:val="0"/>
      <w:marTop w:val="0"/>
      <w:marBottom w:val="0"/>
      <w:divBdr>
        <w:top w:val="none" w:sz="0" w:space="0" w:color="auto"/>
        <w:left w:val="none" w:sz="0" w:space="0" w:color="auto"/>
        <w:bottom w:val="none" w:sz="0" w:space="0" w:color="auto"/>
        <w:right w:val="none" w:sz="0" w:space="0" w:color="auto"/>
      </w:divBdr>
    </w:div>
    <w:div w:id="667710406">
      <w:bodyDiv w:val="1"/>
      <w:marLeft w:val="0"/>
      <w:marRight w:val="0"/>
      <w:marTop w:val="0"/>
      <w:marBottom w:val="0"/>
      <w:divBdr>
        <w:top w:val="none" w:sz="0" w:space="0" w:color="auto"/>
        <w:left w:val="none" w:sz="0" w:space="0" w:color="auto"/>
        <w:bottom w:val="none" w:sz="0" w:space="0" w:color="auto"/>
        <w:right w:val="none" w:sz="0" w:space="0" w:color="auto"/>
      </w:divBdr>
    </w:div>
    <w:div w:id="873083861">
      <w:bodyDiv w:val="1"/>
      <w:marLeft w:val="0"/>
      <w:marRight w:val="0"/>
      <w:marTop w:val="0"/>
      <w:marBottom w:val="0"/>
      <w:divBdr>
        <w:top w:val="none" w:sz="0" w:space="0" w:color="auto"/>
        <w:left w:val="none" w:sz="0" w:space="0" w:color="auto"/>
        <w:bottom w:val="none" w:sz="0" w:space="0" w:color="auto"/>
        <w:right w:val="none" w:sz="0" w:space="0" w:color="auto"/>
      </w:divBdr>
    </w:div>
    <w:div w:id="879897521">
      <w:bodyDiv w:val="1"/>
      <w:marLeft w:val="0"/>
      <w:marRight w:val="0"/>
      <w:marTop w:val="0"/>
      <w:marBottom w:val="0"/>
      <w:divBdr>
        <w:top w:val="none" w:sz="0" w:space="0" w:color="auto"/>
        <w:left w:val="none" w:sz="0" w:space="0" w:color="auto"/>
        <w:bottom w:val="none" w:sz="0" w:space="0" w:color="auto"/>
        <w:right w:val="none" w:sz="0" w:space="0" w:color="auto"/>
      </w:divBdr>
    </w:div>
    <w:div w:id="931888895">
      <w:bodyDiv w:val="1"/>
      <w:marLeft w:val="0"/>
      <w:marRight w:val="0"/>
      <w:marTop w:val="0"/>
      <w:marBottom w:val="0"/>
      <w:divBdr>
        <w:top w:val="none" w:sz="0" w:space="0" w:color="auto"/>
        <w:left w:val="none" w:sz="0" w:space="0" w:color="auto"/>
        <w:bottom w:val="none" w:sz="0" w:space="0" w:color="auto"/>
        <w:right w:val="none" w:sz="0" w:space="0" w:color="auto"/>
      </w:divBdr>
    </w:div>
    <w:div w:id="1035039505">
      <w:bodyDiv w:val="1"/>
      <w:marLeft w:val="0"/>
      <w:marRight w:val="0"/>
      <w:marTop w:val="0"/>
      <w:marBottom w:val="0"/>
      <w:divBdr>
        <w:top w:val="none" w:sz="0" w:space="0" w:color="auto"/>
        <w:left w:val="none" w:sz="0" w:space="0" w:color="auto"/>
        <w:bottom w:val="none" w:sz="0" w:space="0" w:color="auto"/>
        <w:right w:val="none" w:sz="0" w:space="0" w:color="auto"/>
      </w:divBdr>
    </w:div>
    <w:div w:id="1044404064">
      <w:bodyDiv w:val="1"/>
      <w:marLeft w:val="0"/>
      <w:marRight w:val="0"/>
      <w:marTop w:val="0"/>
      <w:marBottom w:val="0"/>
      <w:divBdr>
        <w:top w:val="none" w:sz="0" w:space="0" w:color="auto"/>
        <w:left w:val="none" w:sz="0" w:space="0" w:color="auto"/>
        <w:bottom w:val="none" w:sz="0" w:space="0" w:color="auto"/>
        <w:right w:val="none" w:sz="0" w:space="0" w:color="auto"/>
      </w:divBdr>
    </w:div>
    <w:div w:id="1053697437">
      <w:bodyDiv w:val="1"/>
      <w:marLeft w:val="0"/>
      <w:marRight w:val="0"/>
      <w:marTop w:val="0"/>
      <w:marBottom w:val="0"/>
      <w:divBdr>
        <w:top w:val="none" w:sz="0" w:space="0" w:color="auto"/>
        <w:left w:val="none" w:sz="0" w:space="0" w:color="auto"/>
        <w:bottom w:val="none" w:sz="0" w:space="0" w:color="auto"/>
        <w:right w:val="none" w:sz="0" w:space="0" w:color="auto"/>
      </w:divBdr>
    </w:div>
    <w:div w:id="1105154032">
      <w:bodyDiv w:val="1"/>
      <w:marLeft w:val="0"/>
      <w:marRight w:val="0"/>
      <w:marTop w:val="0"/>
      <w:marBottom w:val="0"/>
      <w:divBdr>
        <w:top w:val="none" w:sz="0" w:space="0" w:color="auto"/>
        <w:left w:val="none" w:sz="0" w:space="0" w:color="auto"/>
        <w:bottom w:val="none" w:sz="0" w:space="0" w:color="auto"/>
        <w:right w:val="none" w:sz="0" w:space="0" w:color="auto"/>
      </w:divBdr>
    </w:div>
    <w:div w:id="1142309531">
      <w:bodyDiv w:val="1"/>
      <w:marLeft w:val="0"/>
      <w:marRight w:val="0"/>
      <w:marTop w:val="0"/>
      <w:marBottom w:val="0"/>
      <w:divBdr>
        <w:top w:val="none" w:sz="0" w:space="0" w:color="auto"/>
        <w:left w:val="none" w:sz="0" w:space="0" w:color="auto"/>
        <w:bottom w:val="none" w:sz="0" w:space="0" w:color="auto"/>
        <w:right w:val="none" w:sz="0" w:space="0" w:color="auto"/>
      </w:divBdr>
    </w:div>
    <w:div w:id="1148088235">
      <w:bodyDiv w:val="1"/>
      <w:marLeft w:val="0"/>
      <w:marRight w:val="0"/>
      <w:marTop w:val="0"/>
      <w:marBottom w:val="0"/>
      <w:divBdr>
        <w:top w:val="none" w:sz="0" w:space="0" w:color="auto"/>
        <w:left w:val="none" w:sz="0" w:space="0" w:color="auto"/>
        <w:bottom w:val="none" w:sz="0" w:space="0" w:color="auto"/>
        <w:right w:val="none" w:sz="0" w:space="0" w:color="auto"/>
      </w:divBdr>
    </w:div>
    <w:div w:id="1186407579">
      <w:bodyDiv w:val="1"/>
      <w:marLeft w:val="0"/>
      <w:marRight w:val="0"/>
      <w:marTop w:val="0"/>
      <w:marBottom w:val="0"/>
      <w:divBdr>
        <w:top w:val="none" w:sz="0" w:space="0" w:color="auto"/>
        <w:left w:val="none" w:sz="0" w:space="0" w:color="auto"/>
        <w:bottom w:val="none" w:sz="0" w:space="0" w:color="auto"/>
        <w:right w:val="none" w:sz="0" w:space="0" w:color="auto"/>
      </w:divBdr>
    </w:div>
    <w:div w:id="1195315540">
      <w:bodyDiv w:val="1"/>
      <w:marLeft w:val="0"/>
      <w:marRight w:val="0"/>
      <w:marTop w:val="0"/>
      <w:marBottom w:val="0"/>
      <w:divBdr>
        <w:top w:val="none" w:sz="0" w:space="0" w:color="auto"/>
        <w:left w:val="none" w:sz="0" w:space="0" w:color="auto"/>
        <w:bottom w:val="none" w:sz="0" w:space="0" w:color="auto"/>
        <w:right w:val="none" w:sz="0" w:space="0" w:color="auto"/>
      </w:divBdr>
    </w:div>
    <w:div w:id="1248419454">
      <w:bodyDiv w:val="1"/>
      <w:marLeft w:val="0"/>
      <w:marRight w:val="0"/>
      <w:marTop w:val="0"/>
      <w:marBottom w:val="0"/>
      <w:divBdr>
        <w:top w:val="none" w:sz="0" w:space="0" w:color="auto"/>
        <w:left w:val="none" w:sz="0" w:space="0" w:color="auto"/>
        <w:bottom w:val="none" w:sz="0" w:space="0" w:color="auto"/>
        <w:right w:val="none" w:sz="0" w:space="0" w:color="auto"/>
      </w:divBdr>
    </w:div>
    <w:div w:id="1250385313">
      <w:bodyDiv w:val="1"/>
      <w:marLeft w:val="0"/>
      <w:marRight w:val="0"/>
      <w:marTop w:val="0"/>
      <w:marBottom w:val="0"/>
      <w:divBdr>
        <w:top w:val="none" w:sz="0" w:space="0" w:color="auto"/>
        <w:left w:val="none" w:sz="0" w:space="0" w:color="auto"/>
        <w:bottom w:val="none" w:sz="0" w:space="0" w:color="auto"/>
        <w:right w:val="none" w:sz="0" w:space="0" w:color="auto"/>
      </w:divBdr>
    </w:div>
    <w:div w:id="1267538036">
      <w:bodyDiv w:val="1"/>
      <w:marLeft w:val="0"/>
      <w:marRight w:val="0"/>
      <w:marTop w:val="0"/>
      <w:marBottom w:val="0"/>
      <w:divBdr>
        <w:top w:val="none" w:sz="0" w:space="0" w:color="auto"/>
        <w:left w:val="none" w:sz="0" w:space="0" w:color="auto"/>
        <w:bottom w:val="none" w:sz="0" w:space="0" w:color="auto"/>
        <w:right w:val="none" w:sz="0" w:space="0" w:color="auto"/>
      </w:divBdr>
    </w:div>
    <w:div w:id="1323119161">
      <w:bodyDiv w:val="1"/>
      <w:marLeft w:val="0"/>
      <w:marRight w:val="0"/>
      <w:marTop w:val="0"/>
      <w:marBottom w:val="0"/>
      <w:divBdr>
        <w:top w:val="none" w:sz="0" w:space="0" w:color="auto"/>
        <w:left w:val="none" w:sz="0" w:space="0" w:color="auto"/>
        <w:bottom w:val="none" w:sz="0" w:space="0" w:color="auto"/>
        <w:right w:val="none" w:sz="0" w:space="0" w:color="auto"/>
      </w:divBdr>
    </w:div>
    <w:div w:id="1480852109">
      <w:bodyDiv w:val="1"/>
      <w:marLeft w:val="0"/>
      <w:marRight w:val="0"/>
      <w:marTop w:val="0"/>
      <w:marBottom w:val="0"/>
      <w:divBdr>
        <w:top w:val="none" w:sz="0" w:space="0" w:color="auto"/>
        <w:left w:val="none" w:sz="0" w:space="0" w:color="auto"/>
        <w:bottom w:val="none" w:sz="0" w:space="0" w:color="auto"/>
        <w:right w:val="none" w:sz="0" w:space="0" w:color="auto"/>
      </w:divBdr>
    </w:div>
    <w:div w:id="1574583162">
      <w:bodyDiv w:val="1"/>
      <w:marLeft w:val="0"/>
      <w:marRight w:val="0"/>
      <w:marTop w:val="0"/>
      <w:marBottom w:val="0"/>
      <w:divBdr>
        <w:top w:val="none" w:sz="0" w:space="0" w:color="auto"/>
        <w:left w:val="none" w:sz="0" w:space="0" w:color="auto"/>
        <w:bottom w:val="none" w:sz="0" w:space="0" w:color="auto"/>
        <w:right w:val="none" w:sz="0" w:space="0" w:color="auto"/>
      </w:divBdr>
    </w:div>
    <w:div w:id="1778913523">
      <w:bodyDiv w:val="1"/>
      <w:marLeft w:val="0"/>
      <w:marRight w:val="0"/>
      <w:marTop w:val="0"/>
      <w:marBottom w:val="0"/>
      <w:divBdr>
        <w:top w:val="none" w:sz="0" w:space="0" w:color="auto"/>
        <w:left w:val="none" w:sz="0" w:space="0" w:color="auto"/>
        <w:bottom w:val="none" w:sz="0" w:space="0" w:color="auto"/>
        <w:right w:val="none" w:sz="0" w:space="0" w:color="auto"/>
      </w:divBdr>
    </w:div>
    <w:div w:id="1827746337">
      <w:bodyDiv w:val="1"/>
      <w:marLeft w:val="0"/>
      <w:marRight w:val="0"/>
      <w:marTop w:val="0"/>
      <w:marBottom w:val="0"/>
      <w:divBdr>
        <w:top w:val="none" w:sz="0" w:space="0" w:color="auto"/>
        <w:left w:val="none" w:sz="0" w:space="0" w:color="auto"/>
        <w:bottom w:val="none" w:sz="0" w:space="0" w:color="auto"/>
        <w:right w:val="none" w:sz="0" w:space="0" w:color="auto"/>
      </w:divBdr>
      <w:divsChild>
        <w:div w:id="857349945">
          <w:marLeft w:val="0"/>
          <w:marRight w:val="0"/>
          <w:marTop w:val="0"/>
          <w:marBottom w:val="0"/>
          <w:divBdr>
            <w:top w:val="none" w:sz="0" w:space="0" w:color="auto"/>
            <w:left w:val="none" w:sz="0" w:space="0" w:color="auto"/>
            <w:bottom w:val="none" w:sz="0" w:space="0" w:color="auto"/>
            <w:right w:val="none" w:sz="0" w:space="0" w:color="auto"/>
          </w:divBdr>
        </w:div>
        <w:div w:id="1703359673">
          <w:marLeft w:val="0"/>
          <w:marRight w:val="0"/>
          <w:marTop w:val="0"/>
          <w:marBottom w:val="0"/>
          <w:divBdr>
            <w:top w:val="none" w:sz="0" w:space="0" w:color="auto"/>
            <w:left w:val="none" w:sz="0" w:space="0" w:color="auto"/>
            <w:bottom w:val="none" w:sz="0" w:space="0" w:color="auto"/>
            <w:right w:val="none" w:sz="0" w:space="0" w:color="auto"/>
          </w:divBdr>
        </w:div>
      </w:divsChild>
    </w:div>
    <w:div w:id="1908416662">
      <w:bodyDiv w:val="1"/>
      <w:marLeft w:val="0"/>
      <w:marRight w:val="0"/>
      <w:marTop w:val="0"/>
      <w:marBottom w:val="0"/>
      <w:divBdr>
        <w:top w:val="none" w:sz="0" w:space="0" w:color="auto"/>
        <w:left w:val="none" w:sz="0" w:space="0" w:color="auto"/>
        <w:bottom w:val="none" w:sz="0" w:space="0" w:color="auto"/>
        <w:right w:val="none" w:sz="0" w:space="0" w:color="auto"/>
      </w:divBdr>
    </w:div>
    <w:div w:id="1955594526">
      <w:bodyDiv w:val="1"/>
      <w:marLeft w:val="0"/>
      <w:marRight w:val="0"/>
      <w:marTop w:val="0"/>
      <w:marBottom w:val="0"/>
      <w:divBdr>
        <w:top w:val="none" w:sz="0" w:space="0" w:color="auto"/>
        <w:left w:val="none" w:sz="0" w:space="0" w:color="auto"/>
        <w:bottom w:val="none" w:sz="0" w:space="0" w:color="auto"/>
        <w:right w:val="none" w:sz="0" w:space="0" w:color="auto"/>
      </w:divBdr>
    </w:div>
    <w:div w:id="1996103394">
      <w:bodyDiv w:val="1"/>
      <w:marLeft w:val="0"/>
      <w:marRight w:val="0"/>
      <w:marTop w:val="0"/>
      <w:marBottom w:val="0"/>
      <w:divBdr>
        <w:top w:val="none" w:sz="0" w:space="0" w:color="auto"/>
        <w:left w:val="none" w:sz="0" w:space="0" w:color="auto"/>
        <w:bottom w:val="none" w:sz="0" w:space="0" w:color="auto"/>
        <w:right w:val="none" w:sz="0" w:space="0" w:color="auto"/>
      </w:divBdr>
      <w:divsChild>
        <w:div w:id="210774005">
          <w:marLeft w:val="0"/>
          <w:marRight w:val="0"/>
          <w:marTop w:val="0"/>
          <w:marBottom w:val="0"/>
          <w:divBdr>
            <w:top w:val="none" w:sz="0" w:space="0" w:color="auto"/>
            <w:left w:val="none" w:sz="0" w:space="0" w:color="auto"/>
            <w:bottom w:val="none" w:sz="0" w:space="0" w:color="auto"/>
            <w:right w:val="none" w:sz="0" w:space="0" w:color="auto"/>
          </w:divBdr>
          <w:divsChild>
            <w:div w:id="409280050">
              <w:marLeft w:val="0"/>
              <w:marRight w:val="0"/>
              <w:marTop w:val="0"/>
              <w:marBottom w:val="0"/>
              <w:divBdr>
                <w:top w:val="none" w:sz="0" w:space="0" w:color="auto"/>
                <w:left w:val="none" w:sz="0" w:space="0" w:color="auto"/>
                <w:bottom w:val="none" w:sz="0" w:space="0" w:color="auto"/>
                <w:right w:val="none" w:sz="0" w:space="0" w:color="auto"/>
              </w:divBdr>
            </w:div>
            <w:div w:id="2010137104">
              <w:marLeft w:val="0"/>
              <w:marRight w:val="0"/>
              <w:marTop w:val="0"/>
              <w:marBottom w:val="0"/>
              <w:divBdr>
                <w:top w:val="none" w:sz="0" w:space="0" w:color="auto"/>
                <w:left w:val="none" w:sz="0" w:space="0" w:color="auto"/>
                <w:bottom w:val="none" w:sz="0" w:space="0" w:color="auto"/>
                <w:right w:val="none" w:sz="0" w:space="0" w:color="auto"/>
              </w:divBdr>
            </w:div>
            <w:div w:id="20386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commission/commissioners/2019-2024/dalli/announcements/union-equality-first-year-actions-and-achievements_en" TargetMode="External"/><Relationship Id="rId18" Type="http://schemas.openxmlformats.org/officeDocument/2006/relationships/hyperlink" Target="https://agendaforhumanity.org/initiatives/3861" TargetMode="External"/><Relationship Id="rId26" Type="http://schemas.openxmlformats.org/officeDocument/2006/relationships/hyperlink" Target="https://ec.europa.eu/echo/what/humanitarian-aid/humanitarian-air-bridge_en" TargetMode="External"/><Relationship Id="rId39" Type="http://schemas.openxmlformats.org/officeDocument/2006/relationships/hyperlink" Target="https://fts.unocha.org/global-funding/overview/2020" TargetMode="External"/><Relationship Id="rId3" Type="http://schemas.openxmlformats.org/officeDocument/2006/relationships/hyperlink" Target="https://ec.europa.eu/international-partnerships/topics/eu-global-response-covid-19_en" TargetMode="External"/><Relationship Id="rId21" Type="http://schemas.openxmlformats.org/officeDocument/2006/relationships/hyperlink" Target="https://ec.europa.eu/education/sites/default/files/document-library-docs/deap-communication-sept2020_en.pdf" TargetMode="External"/><Relationship Id="rId34" Type="http://schemas.openxmlformats.org/officeDocument/2006/relationships/hyperlink" Target="https://ec.europa.eu/info/strategy/priorities-2019-2024/european-green-deal_el" TargetMode="External"/><Relationship Id="rId42" Type="http://schemas.openxmlformats.org/officeDocument/2006/relationships/hyperlink" Target="https://www.weforum.org/projects/humanitarian-investing-initiative?emailType=Newsletter)" TargetMode="External"/><Relationship Id="rId47" Type="http://schemas.openxmlformats.org/officeDocument/2006/relationships/hyperlink" Target="https://ec.europa.eu/commfrontoffice/publicopinion/index.cfm/survey/getsurveydetail/instruments/special/surveyky/2265" TargetMode="External"/><Relationship Id="rId7" Type="http://schemas.openxmlformats.org/officeDocument/2006/relationships/hyperlink" Target="http://eur-lex.europa.eu/legal-content/EL/TXT/?qid=1431445468547&amp;uri=CELEX:42008X0130(01)" TargetMode="External"/><Relationship Id="rId12" Type="http://schemas.openxmlformats.org/officeDocument/2006/relationships/hyperlink" Target="https://ec.europa.eu/echo/sites/echo-site/files/2019-01_disability_inclusion_guidance_note.pdf" TargetMode="External"/><Relationship Id="rId17" Type="http://schemas.openxmlformats.org/officeDocument/2006/relationships/hyperlink" Target="https://eur-lex.europa.eu/legal-content/EL/TXT/PDF/?uri=CELEX:52021JC0003(01)&amp;qid=1614850215202&amp;from=EL" TargetMode="External"/><Relationship Id="rId25" Type="http://schemas.openxmlformats.org/officeDocument/2006/relationships/hyperlink" Target="https://ec.europa.eu/research/eic/index.cfm?pg=prizes_aid" TargetMode="External"/><Relationship Id="rId33" Type="http://schemas.openxmlformats.org/officeDocument/2006/relationships/hyperlink" Target="https://www.undrr.org/terminology/early-warning-system" TargetMode="External"/><Relationship Id="rId38" Type="http://schemas.openxmlformats.org/officeDocument/2006/relationships/hyperlink" Target="https://reliefweb.int/report/world/high-level-panel-humanitarian-financing-report-secretary-general-too-important-fail" TargetMode="External"/><Relationship Id="rId46" Type="http://schemas.openxmlformats.org/officeDocument/2006/relationships/hyperlink" Target="https://onu.delegfrance.org/Strengthening-respect-for-international-humanitarian-law" TargetMode="External"/><Relationship Id="rId2" Type="http://schemas.openxmlformats.org/officeDocument/2006/relationships/hyperlink" Target="https://www.unhcr.org/globaltrends2019" TargetMode="External"/><Relationship Id="rId16" Type="http://schemas.openxmlformats.org/officeDocument/2006/relationships/hyperlink" Target="https://eige.europa.eu/topics/health/covid-19-and-gender-equality" TargetMode="External"/><Relationship Id="rId20" Type="http://schemas.openxmlformats.org/officeDocument/2006/relationships/hyperlink" Target="http://data.consilium.europa.eu/doc/document/ST-10184-2015-INIT/el/pdf" TargetMode="External"/><Relationship Id="rId29" Type="http://schemas.openxmlformats.org/officeDocument/2006/relationships/hyperlink" Target="https://eur-lex.europa.eu/legal-content/EL/TXT/PDF/?uri=CELEX:52020PC0726&amp;qid=1614498395887&amp;from=EL" TargetMode="External"/><Relationship Id="rId41" Type="http://schemas.openxmlformats.org/officeDocument/2006/relationships/hyperlink" Target="https://eur-lex.europa.eu/legal-content/EL/TXT/PDF/?uri=CELEX:52020JC0022&amp;qid=1614526439797." TargetMode="External"/><Relationship Id="rId1" Type="http://schemas.openxmlformats.org/officeDocument/2006/relationships/hyperlink" Target="https://fts.unocha.org/" TargetMode="External"/><Relationship Id="rId6" Type="http://schemas.openxmlformats.org/officeDocument/2006/relationships/hyperlink" Target="https://aidworkersecurity.org/incidents/report" TargetMode="External"/><Relationship Id="rId11" Type="http://schemas.openxmlformats.org/officeDocument/2006/relationships/hyperlink" Target="https://www.calltoactiongbv.com/" TargetMode="External"/><Relationship Id="rId24" Type="http://schemas.openxmlformats.org/officeDocument/2006/relationships/hyperlink" Target="https://www.unocha.org/our-work/humanitarian-financing/country-based-pooled-funds-cbpf" TargetMode="External"/><Relationship Id="rId32" Type="http://schemas.openxmlformats.org/officeDocument/2006/relationships/hyperlink" Target="https://data.consilium.europa.eu/doc/document/ST-12741-2020-INIT/en/pdf" TargetMode="External"/><Relationship Id="rId37" Type="http://schemas.openxmlformats.org/officeDocument/2006/relationships/hyperlink" Target="https://eur-lex.europa.eu/legal-content/EL/TXT/PDF/?uri=CELEX:52020JC0011&amp;qid=1614509045443" TargetMode="External"/><Relationship Id="rId40" Type="http://schemas.openxmlformats.org/officeDocument/2006/relationships/hyperlink" Target="https://ec.europa.eu/international-partnerships/system/files/european-consensus-on-development-final-20170626_en.pdf" TargetMode="External"/><Relationship Id="rId45" Type="http://schemas.openxmlformats.org/officeDocument/2006/relationships/hyperlink" Target="https://eur-lex.europa.eu/legal-content/EN/TXT/?uri=CELEX:52021DC0032&amp;qid=1611728656387" TargetMode="External"/><Relationship Id="rId5" Type="http://schemas.openxmlformats.org/officeDocument/2006/relationships/hyperlink" Target="https://fts.unocha.org/" TargetMode="External"/><Relationship Id="rId15" Type="http://schemas.openxmlformats.org/officeDocument/2006/relationships/hyperlink" Target="https://www.unwomen.org/en/digital-library/publications/2020/04/policy-brief-the-impact-of-covid-19-on-women" TargetMode="External"/><Relationship Id="rId23" Type="http://schemas.openxmlformats.org/officeDocument/2006/relationships/hyperlink" Target="https://eur-lex.europa.eu/legal-content/EL/TXT/?uri=CELEX:32016R0679" TargetMode="External"/><Relationship Id="rId28" Type="http://schemas.openxmlformats.org/officeDocument/2006/relationships/hyperlink" Target="https://eur-lex.europa.eu/legal-content/EL/TXT/PDF/?uri=CELEX:52021DC0035&amp;qid=1614498201357&amp;from=EL" TargetMode="External"/><Relationship Id="rId36" Type="http://schemas.openxmlformats.org/officeDocument/2006/relationships/hyperlink" Target="https://www.unhcr.org/the-global-compact-on-refugees.html" TargetMode="External"/><Relationship Id="rId49" Type="http://schemas.openxmlformats.org/officeDocument/2006/relationships/hyperlink" Target="https://eur-lex.europa.eu/legal-content/EL/TXT/PDF/?uri=CELEX:52021JC0003(01)&amp;qid=1614850215202&amp;from=EL" TargetMode="External"/><Relationship Id="rId10" Type="http://schemas.openxmlformats.org/officeDocument/2006/relationships/hyperlink" Target="https://ec.europa.eu/international-partnerships/news/gender-action-plan-putting-women-and-girls-rights-heart-global-recovery-gender-equal-world_en" TargetMode="External"/><Relationship Id="rId19" Type="http://schemas.openxmlformats.org/officeDocument/2006/relationships/hyperlink" Target="https://ec.europa.eu/research/eic/index.cfm?pg=prizes_aid" TargetMode="External"/><Relationship Id="rId31" Type="http://schemas.openxmlformats.org/officeDocument/2006/relationships/hyperlink" Target="https://www.consilium.europa.eu/media/48057/st05263-en21.pdf" TargetMode="External"/><Relationship Id="rId44" Type="http://schemas.openxmlformats.org/officeDocument/2006/relationships/hyperlink" Target="https://ec.europa.eu/info/sites/info/files/business_economy_euro/banking_and_finance/documents/201116-humanitarian-aid-guidance-note_el.pdf" TargetMode="External"/><Relationship Id="rId4" Type="http://schemas.openxmlformats.org/officeDocument/2006/relationships/hyperlink" Target="https://fts.unocha.org/" TargetMode="External"/><Relationship Id="rId9" Type="http://schemas.openxmlformats.org/officeDocument/2006/relationships/hyperlink" Target="https://data.consilium.europa.eu/doc/document/ST-5413-2018-INIT/el/pdf" TargetMode="External"/><Relationship Id="rId14" Type="http://schemas.openxmlformats.org/officeDocument/2006/relationships/hyperlink" Target="https://ec.europa.eu/transparency/regdoc/rep/10101/2020/EL/JOIN-2020-5-F1-EL-ANNEX-1-PART-1.PDF" TargetMode="External"/><Relationship Id="rId22" Type="http://schemas.openxmlformats.org/officeDocument/2006/relationships/hyperlink" Target="https://ec.europa.eu/echo/essn_en" TargetMode="External"/><Relationship Id="rId27" Type="http://schemas.openxmlformats.org/officeDocument/2006/relationships/hyperlink" Target="https://ec.europa.eu/echo/what/civil-protection/emergency-response-coordination-centre-ercc_en" TargetMode="External"/><Relationship Id="rId30" Type="http://schemas.openxmlformats.org/officeDocument/2006/relationships/hyperlink" Target="https://europa.eu/youth/solidarity_el" TargetMode="External"/><Relationship Id="rId35" Type="http://schemas.openxmlformats.org/officeDocument/2006/relationships/hyperlink" Target="https://eur-lex.europa.eu/legal-content/EL/TXT/PDF/?uri=CELEX:52016DC0234&amp;qid=1615279590609&amp;from=EL" TargetMode="External"/><Relationship Id="rId43" Type="http://schemas.openxmlformats.org/officeDocument/2006/relationships/hyperlink" Target="https://eur-lex.europa.eu/legal-content/EN/TXT/?uri=LEGISSUM:ah0004" TargetMode="External"/><Relationship Id="rId48" Type="http://schemas.openxmlformats.org/officeDocument/2006/relationships/hyperlink" Target="https://ec.europa.eu/echo/what/civil-protection/knowledge-network_en" TargetMode="External"/><Relationship Id="rId8" Type="http://schemas.openxmlformats.org/officeDocument/2006/relationships/hyperlink" Target="https://www.ghdinitiative.org/ghd/gns/principles-good-practice-of-ghd/principles-good-practice-gh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Status xmlns="712bd83b-922a-4c9e-ba87-6a902829ec20">Not Started</EC_Collab_Status>
    <EC_Collab_DocumentLanguage xmlns="712bd83b-922a-4c9e-ba87-6a902829ec20">EN</EC_Collab_DocumentLanguage>
    <EC_Collab_Reference xmlns="712bd83b-922a-4c9e-ba87-6a902829ec20" xsi:nil="true"/>
    <EC_ARES_TRANSFERRED_BY xmlns="712bd83b-922a-4c9e-ba87-6a902829ec20" xsi:nil="true"/>
    <EC_ARES_DATE_TRANSFERRED xmlns="712bd83b-922a-4c9e-ba87-6a902829ec20" xsi:nil="true"/>
    <EC_ARES_NUMBER xmlns="712bd83b-922a-4c9e-ba87-6a902829ec20">
      <Url xsi:nil="true"/>
      <Description xsi:nil="true"/>
    </EC_ARES_NUMBER>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BB91CAC2DFD8974B900CA61249209993" ma:contentTypeVersion="4" ma:contentTypeDescription="Create a new document in this library." ma:contentTypeScope="" ma:versionID="59d25af41137023221b44dff94211f7e">
  <xsd:schema xmlns:xsd="http://www.w3.org/2001/XMLSchema" xmlns:xs="http://www.w3.org/2001/XMLSchema" xmlns:p="http://schemas.microsoft.com/office/2006/metadata/properties" xmlns:ns3="712bd83b-922a-4c9e-ba87-6a902829ec20" targetNamespace="http://schemas.microsoft.com/office/2006/metadata/properties" ma:root="true" ma:fieldsID="e6ea4803812d2dc816d7ab3bc901dd60" ns3:_="">
    <xsd:import namespace="712bd83b-922a-4c9e-ba87-6a902829ec20"/>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bd83b-922a-4c9e-ba87-6a902829ec20"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356AB-9D0D-42E3-B33E-F4155831ACF5}">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712bd83b-922a-4c9e-ba87-6a902829ec20"/>
    <ds:schemaRef ds:uri="http://www.w3.org/XML/1998/namespace"/>
    <ds:schemaRef ds:uri="http://purl.org/dc/terms/"/>
  </ds:schemaRefs>
</ds:datastoreItem>
</file>

<file path=customXml/itemProps2.xml><?xml version="1.0" encoding="utf-8"?>
<ds:datastoreItem xmlns:ds="http://schemas.openxmlformats.org/officeDocument/2006/customXml" ds:itemID="{806C93A6-BE21-4326-87CB-B47AB1DC2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bd83b-922a-4c9e-ba87-6a902829e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138F23-7A3A-42CB-9AA7-3C8C648C87E9}">
  <ds:schemaRefs>
    <ds:schemaRef ds:uri="http://schemas.microsoft.com/sharepoint/v3/contenttype/forms"/>
  </ds:schemaRefs>
</ds:datastoreItem>
</file>

<file path=customXml/itemProps4.xml><?xml version="1.0" encoding="utf-8"?>
<ds:datastoreItem xmlns:ds="http://schemas.openxmlformats.org/officeDocument/2006/customXml" ds:itemID="{C5D90902-5761-49E0-B82C-4E6706D4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9567</Words>
  <Characters>58647</Characters>
  <Application>Microsoft Office Word</Application>
  <DocSecurity>0</DocSecurity>
  <Lines>1028</Lines>
  <Paragraphs>211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2021-03-09T13:57:00Z</dcterms:created>
  <dcterms:modified xsi:type="dcterms:W3CDTF">2021-03-11T22:07:00Z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CP-012</vt:lpwstr>
  </property>
  <property fmtid="{D5CDD505-2E9C-101B-9397-08002B2CF9AE}" pid="8" name="_LW_INVALIDATED__LW_INVALIDATED__LW_INVALIDATED__LW_INVALIDATED__LW_INVALIDATED__LW_INVALIDATED__LW_INVALIDATED__LW_INVALIDATED__LW_INVALIDATED__LW_INVALIDATED__LW_INVALIDATED_ContentTypeId">
    <vt:lpwstr>0x010100258AA79CEB83498886A3A0868112325000F02A4B06A2E3C949978FC01F6AD4C347</vt:lpwstr>
  </property>
  <property fmtid="{D5CDD505-2E9C-101B-9397-08002B2CF9AE}" pid="9" name="_LW_INVALIDATED__LW_INVALIDATED__LW_INVALIDATED__LW_INVALIDATED__LW_INVALIDATED__LW_INVALIDATED__LW_INVALIDATED__LW_INVALIDATED__LW_INVALIDATED__LW_INVALIDATED_ContentTypeId">
    <vt:lpwstr>0x010100258AA79CEB83498886A3A0868112325000BB91CAC2DFD8974B900CA61249209993</vt:lpwstr>
  </property>
</Properties>
</file>