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C4D2E102-7D3A-40D9-B17F-434DE540F889" style="width:450.8pt;height:306.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after="0" w:line="240" w:lineRule="auto"/>
        <w:jc w:val="center"/>
        <w:rPr>
          <w:rFonts w:ascii="Times New Roman" w:hAnsi="Times New Roman"/>
          <w:b/>
          <w:smallCaps/>
          <w:noProof/>
          <w:sz w:val="24"/>
          <w:szCs w:val="24"/>
        </w:rPr>
      </w:pPr>
      <w:bookmarkStart w:id="1" w:name="_GoBack"/>
      <w:bookmarkEnd w:id="1"/>
      <w:r>
        <w:rPr>
          <w:rFonts w:ascii="Times New Roman" w:hAnsi="Times New Roman"/>
          <w:b/>
          <w:smallCaps/>
          <w:noProof/>
          <w:sz w:val="24"/>
          <w:szCs w:val="24"/>
        </w:rPr>
        <w:lastRenderedPageBreak/>
        <w:t>KOPĪGS ZIŅOJUMS EIROPAS PARLAMENTAM UN PADOMEI</w:t>
      </w:r>
    </w:p>
    <w:p>
      <w:pPr>
        <w:spacing w:after="0" w:line="240" w:lineRule="auto"/>
        <w:jc w:val="center"/>
        <w:rPr>
          <w:rFonts w:ascii="Times New Roman" w:hAnsi="Times New Roman"/>
          <w:b/>
          <w:smallCaps/>
          <w:noProof/>
          <w:sz w:val="24"/>
          <w:szCs w:val="24"/>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MAKAO ĪPAŠĀS PĀRVALDES APGABALS:</w:t>
      </w:r>
    </w:p>
    <w:p>
      <w:pPr>
        <w:spacing w:after="0" w:line="240" w:lineRule="auto"/>
        <w:jc w:val="center"/>
        <w:rPr>
          <w:rFonts w:ascii="Times New Roman" w:eastAsia="Times New Roman" w:hAnsi="Times New Roman" w:cs="Times New Roman"/>
          <w:noProof/>
          <w:sz w:val="24"/>
          <w:szCs w:val="24"/>
          <w:lang w:eastAsia="en-GB"/>
        </w:rPr>
      </w:pPr>
    </w:p>
    <w:p>
      <w:pPr>
        <w:spacing w:after="0" w:line="240" w:lineRule="auto"/>
        <w:jc w:val="center"/>
        <w:rPr>
          <w:rFonts w:ascii="Times New Roman" w:eastAsia="Times New Roman" w:hAnsi="Times New Roman" w:cs="Times New Roman"/>
          <w:noProof/>
          <w:sz w:val="24"/>
          <w:szCs w:val="24"/>
        </w:rPr>
      </w:pPr>
      <w:r>
        <w:rPr>
          <w:rFonts w:ascii="Times New Roman" w:hAnsi="Times New Roman"/>
          <w:b/>
          <w:bCs/>
          <w:noProof/>
          <w:sz w:val="24"/>
          <w:szCs w:val="24"/>
        </w:rPr>
        <w:t>2020. GADA ZIŅOJUMS</w:t>
      </w:r>
    </w:p>
    <w:p>
      <w:pPr>
        <w:spacing w:after="0"/>
        <w:jc w:val="both"/>
        <w:rPr>
          <w:rFonts w:ascii="Times New Roman" w:hAnsi="Times New Roman"/>
          <w:b/>
          <w:noProof/>
          <w:sz w:val="24"/>
          <w:szCs w:val="24"/>
        </w:rPr>
      </w:pPr>
    </w:p>
    <w:p>
      <w:pPr>
        <w:spacing w:after="0"/>
        <w:jc w:val="both"/>
        <w:rPr>
          <w:rFonts w:ascii="Times New Roman" w:hAnsi="Times New Roman"/>
          <w:b/>
          <w:noProof/>
          <w:sz w:val="24"/>
          <w:szCs w:val="24"/>
        </w:rPr>
      </w:pPr>
      <w:r>
        <w:rPr>
          <w:rFonts w:ascii="Times New Roman" w:hAnsi="Times New Roman"/>
          <w:b/>
          <w:noProof/>
          <w:sz w:val="24"/>
          <w:szCs w:val="24"/>
        </w:rPr>
        <w:t>Kopsavilkums</w:t>
      </w:r>
    </w:p>
    <w:p>
      <w:pPr>
        <w:spacing w:after="0"/>
        <w:jc w:val="both"/>
        <w:rPr>
          <w:rFonts w:ascii="Times New Roman" w:hAnsi="Times New Roman"/>
          <w:b/>
          <w:noProof/>
          <w:sz w:val="24"/>
          <w:szCs w:val="24"/>
        </w:rPr>
      </w:pP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Kopš Makao nodošanas Ķīnas Tautas Republikai 1999. gadā Eiropas Savienība un tās dalībvalstis ir cieši sekojušas līdzi politiskajiem un ekonomiskajiem notikumiem Makao Īpašās Pārvaldes Apgabalā (ĪPA), kas risinājušies atbilstīgi principam “viena valsts, divas sistēmas”. ES atbalsta principu “viena valsts, divas sistēmas” un tā īstenošanu, un šis gada ziņojums par norisēm Makao ir sagatavots saskaņā ar 1997. gadā Eiropas Parlamentam pausto apņemšanos. </w:t>
      </w:r>
    </w:p>
    <w:p>
      <w:pPr>
        <w:spacing w:after="0" w:line="240" w:lineRule="auto"/>
        <w:jc w:val="both"/>
        <w:rPr>
          <w:rFonts w:ascii="Times New Roman" w:hAnsi="Times New Roman"/>
          <w:noProof/>
          <w:color w:val="000000"/>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2020. gadā turpinājās principa “viena valsts, divas sistēmas” īstenošana, kā paredzēts Makao Pamatlikumā.</w:t>
      </w:r>
      <w:r>
        <w:rPr>
          <w:rFonts w:ascii="Times New Roman" w:hAnsi="Times New Roman"/>
          <w:noProof/>
          <w:color w:val="000000"/>
          <w:sz w:val="24"/>
          <w:szCs w:val="24"/>
        </w:rPr>
        <w:t xml:space="preserve"> </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Makao iedzīvotāju tiesības un pamatbrīvības kopumā joprojām tika ievērotas, un tiesiskums tika uzturēts saskaņā ar principu “viena valsts, divas sistēmas”. Makao plašsaziņas līdzekļos joprojām tika pausti dažādi uzskati, lai gan pastāvēja bažas par pieaugošu pašcenzūru.</w:t>
      </w:r>
    </w:p>
    <w:p>
      <w:pPr>
        <w:autoSpaceDE w:val="0"/>
        <w:autoSpaceDN w:val="0"/>
        <w:adjustRightInd w:val="0"/>
        <w:spacing w:after="0" w:line="240" w:lineRule="auto"/>
        <w:jc w:val="both"/>
        <w:rPr>
          <w:rFonts w:ascii="Times New Roman" w:eastAsia="Times New Roman" w:hAnsi="Times New Roman"/>
          <w:noProof/>
          <w:sz w:val="24"/>
          <w:szCs w:val="24"/>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Makao Pamatlikumā un citos tiesību aktos nav paredzēta vispārēju vēlēšanu ieviešana, tomēr ES aicina Makao iestādes apsvērt iespējas veicināt lielāku sabiedrības līdzdalību galvenās amatpersonas un Likumdošanas asamblejas vēlēšanās.</w:t>
      </w:r>
    </w:p>
    <w:p>
      <w:pPr>
        <w:autoSpaceDE w:val="0"/>
        <w:autoSpaceDN w:val="0"/>
        <w:adjustRightInd w:val="0"/>
        <w:spacing w:after="0" w:line="240" w:lineRule="auto"/>
        <w:jc w:val="both"/>
        <w:rPr>
          <w:rFonts w:ascii="Times New Roman" w:eastAsia="Times New Roman" w:hAnsi="Times New Roman"/>
          <w:noProof/>
          <w:sz w:val="24"/>
          <w:szCs w:val="24"/>
        </w:rPr>
      </w:pPr>
    </w:p>
    <w:p>
      <w:pPr>
        <w:pStyle w:val="Default"/>
        <w:jc w:val="both"/>
        <w:rPr>
          <w:noProof/>
        </w:rPr>
      </w:pPr>
      <w:r>
        <w:rPr>
          <w:noProof/>
        </w:rPr>
        <w:t xml:space="preserve">Ekonomikas jomā valdība veica efektīvus pasākumus, lai ierobežotu Covid-19 izplatīšanos, taču pandēmija ĪPA ekonomiku ietekmēja smagi, un IKP strauji samazinājās. Tas lielā mērā skaidrojams ar to, ka, neraugoties uz valdības centieniem dažādot Makao ekonomiku, tā joprojām lielā mērā ir atkarīga no azartspēlēm un tūrisma. Ceļošanas ierobežojumi nozīmēja to, ka gada laikā ĪPA apmeklēja rekordmazs tūristu skaits. </w:t>
      </w:r>
    </w:p>
    <w:p>
      <w:pPr>
        <w:pStyle w:val="Default"/>
        <w:jc w:val="both"/>
        <w:rPr>
          <w:rFonts w:eastAsiaTheme="minorHAnsi"/>
          <w:noProof/>
        </w:rPr>
      </w:pPr>
    </w:p>
    <w:p>
      <w:pPr>
        <w:autoSpaceDE w:val="0"/>
        <w:autoSpaceDN w:val="0"/>
        <w:adjustRightInd w:val="0"/>
        <w:spacing w:after="0" w:line="240" w:lineRule="auto"/>
        <w:jc w:val="both"/>
        <w:rPr>
          <w:rFonts w:ascii="Times New Roman" w:eastAsia="Times New Roman" w:hAnsi="Times New Roman"/>
          <w:noProof/>
          <w:sz w:val="24"/>
          <w:szCs w:val="24"/>
        </w:rPr>
      </w:pPr>
      <w:r>
        <w:rPr>
          <w:rFonts w:ascii="Times New Roman" w:hAnsi="Times New Roman"/>
          <w:noProof/>
          <w:sz w:val="24"/>
          <w:szCs w:val="24"/>
        </w:rPr>
        <w:t>Tika veikti daži likumdošanas pasākumi attiecībā uz svarīgiem sociālajiem jautājumiem, piemēram, minimālo algu, maternitātes un paternitātes atvaļinājumu un tiesību aktiem, ar kuriem reglamentē nodarbinātības aģentūras.</w:t>
      </w:r>
    </w:p>
    <w:p>
      <w:pPr>
        <w:pStyle w:val="Default"/>
        <w:jc w:val="both"/>
        <w:rPr>
          <w:noProof/>
        </w:rPr>
      </w:pPr>
    </w:p>
    <w:p>
      <w:pPr>
        <w:pStyle w:val="Default"/>
        <w:jc w:val="both"/>
        <w:rPr>
          <w:noProof/>
        </w:rPr>
      </w:pPr>
      <w:r>
        <w:rPr>
          <w:noProof/>
        </w:rPr>
        <w:t xml:space="preserve">Valdība īstenoja atbalsta pasākumus iedzīvotājiem un uzņēmumiem, un darba tirgus bija stabils, tomēr ekonomikas atlabšana ĪPA lielā mērā būs atkarīga no tā, kad tūristi no Ķīnas kontinentālās daļas atgriezīsies Makao un cik liels būs to skaits. Ilgtermiņā galvenās stratēģijas joprojām ir ekonomikas dažādošana un reģionālā integrācija. </w:t>
      </w:r>
    </w:p>
    <w:p>
      <w:pPr>
        <w:spacing w:after="0" w:line="240" w:lineRule="auto"/>
        <w:jc w:val="both"/>
        <w:rPr>
          <w:rFonts w:ascii="Times New Roman" w:eastAsia="Times New Roman" w:hAnsi="Times New Roman"/>
          <w:b/>
          <w:noProof/>
          <w:sz w:val="24"/>
          <w:szCs w:val="24"/>
        </w:rPr>
      </w:pPr>
    </w:p>
    <w:p>
      <w:pPr>
        <w:spacing w:after="0" w:line="240" w:lineRule="auto"/>
        <w:jc w:val="both"/>
        <w:rPr>
          <w:rFonts w:ascii="Times New Roman" w:eastAsia="Times New Roman" w:hAnsi="Times New Roman"/>
          <w:b/>
          <w:noProof/>
          <w:sz w:val="24"/>
          <w:szCs w:val="24"/>
          <w:u w:val="single"/>
        </w:rPr>
      </w:pPr>
      <w:r>
        <w:rPr>
          <w:rFonts w:ascii="Times New Roman" w:hAnsi="Times New Roman"/>
          <w:b/>
          <w:noProof/>
          <w:sz w:val="24"/>
          <w:szCs w:val="24"/>
          <w:u w:val="single"/>
        </w:rPr>
        <w:t>I. Politiskās un sociālās norises</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Gada laikā Makao valdības augstākā līmeņa amatos nav notikušas būtiskas izmaiņas.</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Makao valdības diskursā nacionālā drošība joprojām bija svarīgs jautājums, un centrālā valdība mudināja pielāgot juridiskos un izpildes mehānismus, lai aizsargātu nacionālo drošību. Oktobrī Tiesu policija izveidoja jaunu nacionālās drošības struktūrvienību, kas sastāv no informācijas nodaļas, noziegumu izmeklēšanas nodaļas, operatīvā atbalsta nodaļas, vispārējo lietu nodaļas, terorisma noziegumu brīdināšanas un izmeklēšanas nodaļas un kiberdrošības nodaļas. Galvenā amatpersona 16. novembrī savā politikas uzrunā sacīja, ka valdība izstrādās likumu, lai aizsargātu konfidenciālus dokumentus, un izstrādās plānu, kurā tiks sīki izklāstītas jaunas procedūras Nacionālās drošības likuma kontekstā. Pašlaik nekas neliecina par plāniem pārņemt Honkongas pieeju, izveidojot Ķīnas kontinentālās daļas tiesībaizsardzības aparātu Makao ĪPA.</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Galvenā amatpersona uzsāka vairākas valsts pārvaldes reformas. Viņš paziņoja par plāniem pārstrukturēt pirmo valdības biroju kopumu, tostarp apvienot Izglītības un jaunatnes lietu biroju un Augstākās izglītības biroju. Valdība apņēmās uzlabot digitālo pārvaldību un ierēdņu darbā pieņemšanas mehānismu.</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Valdība veica pasākumus, lai stiprinātu darba tiesību aizsardzību. Likumdošanas asambleja 16. aprīlī pieņēma Likumu par darba ņēmēju minimālo algu, un šis likums stājās spēkā 1. novembrī, turklāt tas ir pirmais šāda veida visaptverošs likums par minimālo algu Makao. Likumā noteikts, ka privātā sektora darbiniekiem, izņemot mājsaimniecības palīgus un darba ņēmējus ar invaliditāti, ir jāsaņem likumā noteiktā minimālā alga 32 MOP stundā. Minimālā alga tiks pārskatīta ik pēc diviem gadiem, un valdība arī paziņoja, ka tā kompensēs jebkādu atalgojuma iztrūkumu personām ar invaliditāti.</w:t>
      </w:r>
    </w:p>
    <w:p>
      <w:pPr>
        <w:spacing w:after="0" w:line="240" w:lineRule="auto"/>
        <w:rPr>
          <w:rFonts w:ascii="Times New Roman" w:eastAsia="Times New Roman" w:hAnsi="Times New Roman"/>
          <w:noProof/>
          <w:sz w:val="24"/>
          <w:szCs w:val="24"/>
        </w:rPr>
      </w:pPr>
    </w:p>
    <w:p>
      <w:pPr>
        <w:spacing w:after="0" w:line="240" w:lineRule="auto"/>
        <w:jc w:val="both"/>
        <w:rPr>
          <w:rFonts w:ascii="Times New Roman" w:eastAsiaTheme="minorEastAsia" w:hAnsi="Times New Roman"/>
          <w:noProof/>
          <w:sz w:val="24"/>
          <w:szCs w:val="24"/>
        </w:rPr>
      </w:pPr>
      <w:r>
        <w:rPr>
          <w:rFonts w:ascii="Times New Roman" w:hAnsi="Times New Roman"/>
          <w:noProof/>
          <w:sz w:val="24"/>
          <w:szCs w:val="24"/>
        </w:rPr>
        <w:t xml:space="preserve">Galvenā amatpersona norādīja, ka pēc demokrātiju aizstāvošo likumdevēju ierosināto pasākumu atkārtotas noraidīšanas valdība ieviesīs tiesību aktus par arodbiedrībām, lai aizsargātu darba ņēmēju tiesības. </w:t>
      </w:r>
    </w:p>
    <w:p>
      <w:pPr>
        <w:spacing w:after="0" w:line="240" w:lineRule="auto"/>
        <w:jc w:val="both"/>
        <w:rPr>
          <w:rFonts w:ascii="Times New Roman" w:eastAsiaTheme="minorEastAsia" w:hAnsi="Times New Roman"/>
          <w:noProof/>
          <w:sz w:val="24"/>
          <w:szCs w:val="24"/>
          <w:lang w:eastAsia="zh-CN"/>
        </w:rPr>
      </w:pPr>
    </w:p>
    <w:p>
      <w:pPr>
        <w:spacing w:after="0" w:line="240" w:lineRule="auto"/>
        <w:jc w:val="both"/>
        <w:rPr>
          <w:rFonts w:eastAsiaTheme="minorEastAsia"/>
          <w:noProof/>
          <w:sz w:val="24"/>
          <w:szCs w:val="24"/>
        </w:rPr>
      </w:pPr>
      <w:r>
        <w:rPr>
          <w:rFonts w:ascii="Times New Roman" w:hAnsi="Times New Roman"/>
          <w:noProof/>
          <w:sz w:val="24"/>
          <w:szCs w:val="24"/>
        </w:rPr>
        <w:t xml:space="preserve">Jauns likums, ar ko reglamentē nodarbinātības aģentūras, tika pieņemts 4. septembrī un stāsies spēkā 2021. gada martā. Šā likuma mērķis ir aizsargāt gan potenciālos darba ņēmējus, gan darba devējus, īpašu uzmanību pievēršot tiem, kuri ierodas darbā no ārvalstīm. Piemēram, samaksai, ko iekasē no potenciālajiem darba ņēmējiem, nevajadzētu pārsniegt pusi no viņu pirmās mēneša pamatalgas, kas norādīta viņu darba līgumā. </w:t>
      </w:r>
    </w:p>
    <w:p>
      <w:pPr>
        <w:spacing w:after="0" w:line="240" w:lineRule="auto"/>
        <w:jc w:val="both"/>
        <w:rPr>
          <w:rFonts w:ascii="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Likumā noteiktais grūtniecības un dzemdību atvaļinājums 2020. gadā tika pagarināts no 56 līdz 70 dienām. Jaunajās tiesību normās ir paredzētas arī piecas paternitātes atvaļinājuma dienas, kas ir vairāk nekā līdzšinējās divas atvaļinājuma dienas bez atlīdzības. Tomēr Makao noteikumi par maternitāti un paternitāti joprojām ir mazāk labvēlīgi salīdzinājumā ar pasaules mēroga standartiem.</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Augustā stājās spēkā jauns valsts mājokļu režīms, kas palīdzēja vairāk nekā 2 200 kvalificētām mājsaimniecībām uzlabot savus dzīves apstākļus. Ar Likuma par ekonomiskajiem mājokļiem grozījumu tika koriģēts pieteikšanās process dalībai mājokļu īpašumtiesību shēmā un izveidots jauns tālākpārdošanas režīms. Ir paredzēti arī papildu subsidēti mājokļi. </w:t>
      </w:r>
    </w:p>
    <w:p>
      <w:pPr>
        <w:spacing w:after="0" w:line="240" w:lineRule="auto"/>
        <w:jc w:val="both"/>
        <w:rPr>
          <w:rFonts w:ascii="Times New Roman" w:eastAsia="Times New Roman" w:hAnsi="Times New Roman"/>
          <w:noProof/>
          <w:sz w:val="24"/>
          <w:szCs w:val="24"/>
        </w:rPr>
      </w:pPr>
    </w:p>
    <w:p>
      <w:pPr>
        <w:pStyle w:val="Heading3"/>
        <w:spacing w:before="0" w:beforeAutospacing="0" w:after="0" w:afterAutospacing="0"/>
        <w:jc w:val="both"/>
        <w:rPr>
          <w:rFonts w:eastAsiaTheme="minorEastAsia"/>
          <w:b w:val="0"/>
          <w:noProof/>
          <w:sz w:val="24"/>
          <w:szCs w:val="24"/>
        </w:rPr>
      </w:pPr>
      <w:r>
        <w:rPr>
          <w:b w:val="0"/>
          <w:noProof/>
          <w:sz w:val="24"/>
          <w:szCs w:val="24"/>
        </w:rPr>
        <w:t xml:space="preserve">Makao ĪPA valdība veica ātrus un izlēmīgus pasākumus, lai kontrolētu Covid-19 izplatīšanos, tostarp uzdeva kazino apturēt darbību uz divām nedēļām februārī un ieviesa aizsardzības pasākumus, kad tie atsāka darboties. Saskaņā ar valdības shēmu sabiedrībai par pieņemamām cenām tika darīti pieejami vairāk nekā 20 miljoni sejas masku. Noteikumi par iebraukšanu Makao tika pielāgoti, lai novērstu gadījumus, kad iebraucēji izplata inficēšanos pandēmijas sākumā, un no 25. marta tika aizliegta to iedzīvotāju iebraukšana, kuri ieradušies no ārvalstīm un nav Makao rezidenti. </w:t>
      </w:r>
      <w:r>
        <w:rPr>
          <w:rStyle w:val="Emphasis"/>
          <w:b w:val="0"/>
          <w:i w:val="0"/>
          <w:iCs w:val="0"/>
          <w:noProof/>
          <w:sz w:val="24"/>
          <w:szCs w:val="24"/>
        </w:rPr>
        <w:t>4. februārī tika apturēta prāmju satiksme starp Honkongu un Makao, savukārt 5. aprīlī līdz turpmākam paziņojumam tika apturēta autobusu satiksme starp Makao un Honkongu.</w:t>
      </w:r>
      <w:r>
        <w:rPr>
          <w:b w:val="0"/>
          <w:noProof/>
          <w:sz w:val="24"/>
          <w:szCs w:val="24"/>
        </w:rPr>
        <w:t xml:space="preserve"> </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rPr>
      </w:pPr>
      <w:r>
        <w:rPr>
          <w:b w:val="0"/>
          <w:noProof/>
          <w:sz w:val="24"/>
          <w:szCs w:val="24"/>
        </w:rPr>
        <w:t>Ķīnas kontinentālās daļas iestādes atsāka izsniegt vīzas, lai iedzīvotāji no augusta varētu apmeklēt Makao brīvā laika pavadīšanas nolūkā. Kopumā Covid-19 pandēmijas rezultātā tika apstiprināti 46 inficēšanās gadījumi, bet nebija neviena nāves gadījuma.</w:t>
      </w:r>
    </w:p>
    <w:p>
      <w:pPr>
        <w:pStyle w:val="Heading3"/>
        <w:spacing w:before="0" w:beforeAutospacing="0" w:after="0" w:afterAutospacing="0"/>
        <w:jc w:val="both"/>
        <w:rPr>
          <w:rFonts w:eastAsiaTheme="minorEastAsia"/>
          <w:b w:val="0"/>
          <w:noProof/>
          <w:sz w:val="24"/>
          <w:szCs w:val="24"/>
          <w:lang w:eastAsia="zh-CN"/>
        </w:rPr>
      </w:pPr>
    </w:p>
    <w:p>
      <w:pPr>
        <w:pStyle w:val="Heading3"/>
        <w:spacing w:before="0" w:beforeAutospacing="0" w:after="0" w:afterAutospacing="0"/>
        <w:jc w:val="both"/>
        <w:rPr>
          <w:rFonts w:eastAsiaTheme="minorEastAsia"/>
          <w:b w:val="0"/>
          <w:noProof/>
          <w:sz w:val="24"/>
          <w:szCs w:val="24"/>
        </w:rPr>
      </w:pPr>
      <w:r>
        <w:rPr>
          <w:b w:val="0"/>
          <w:noProof/>
          <w:sz w:val="24"/>
          <w:szCs w:val="24"/>
        </w:rPr>
        <w:t xml:space="preserve">Oktobrī, uzstājoties 2020./2021. juridiskā gada atklāšanas ceremonijā, Makao Galīgās apelācijas tiesas priekšsēdētājs atsaucās uz problēmām, ar kurām saskaras ĪPA tiesību sistēma. Viņš uzsvēra Portugāles sistēmas pastāvīgo ietekmi saistībā ar principa “viena valsts, divas sistēmas” īstenošanu, vienlaikus paužot viedokli, ka Makao un Portugālei ir atšķirīgi ētikas standarti, morālās vērtības, paražas un kultūra. </w:t>
      </w:r>
    </w:p>
    <w:p>
      <w:pPr>
        <w:pStyle w:val="Heading3"/>
        <w:spacing w:before="0" w:beforeAutospacing="0" w:after="0" w:afterAutospacing="0"/>
        <w:jc w:val="both"/>
        <w:rPr>
          <w:rFonts w:eastAsiaTheme="minorEastAsia"/>
          <w:b w:val="0"/>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Valdība turpina uzstādīt lielu skaitu novērošanas kameru, un saskaņā ar oficiālajiem plāniem līdz 2028. gadam ir paredzēts uzstādīt 4 200 kameru. Iestādes apgalvo, ka šāda uzraudzība ir pamatota, jo tādējādi tiek atbalstīta cīņa pret noziedzību.</w:t>
      </w:r>
    </w:p>
    <w:p>
      <w:pPr>
        <w:spacing w:after="0" w:line="240" w:lineRule="auto"/>
        <w:rPr>
          <w:rFonts w:ascii="Times New Roman" w:eastAsia="Times New Roman" w:hAnsi="Times New Roman"/>
          <w:noProof/>
          <w:sz w:val="24"/>
          <w:szCs w:val="24"/>
          <w:lang w:eastAsia="zh-TW"/>
        </w:rPr>
      </w:pPr>
    </w:p>
    <w:p>
      <w:pPr>
        <w:pStyle w:val="Heading3"/>
        <w:spacing w:before="0" w:beforeAutospacing="0" w:after="0" w:afterAutospacing="0"/>
        <w:jc w:val="both"/>
        <w:rPr>
          <w:rFonts w:eastAsia="Times New Roman"/>
          <w:noProof/>
          <w:sz w:val="24"/>
          <w:szCs w:val="24"/>
        </w:rPr>
      </w:pPr>
      <w:r>
        <w:rPr>
          <w:noProof/>
          <w:sz w:val="24"/>
          <w:szCs w:val="24"/>
        </w:rPr>
        <w:t>Tiesības, brīvības un vienlīdzīgas iespējas</w:t>
      </w:r>
    </w:p>
    <w:p>
      <w:pPr>
        <w:pStyle w:val="Heading3"/>
        <w:spacing w:before="0" w:beforeAutospacing="0" w:after="0" w:afterAutospacing="0"/>
        <w:jc w:val="both"/>
        <w:rPr>
          <w:rFonts w:eastAsia="Times New Roman"/>
          <w:noProof/>
          <w:sz w:val="24"/>
          <w:szCs w:val="24"/>
        </w:rPr>
      </w:pPr>
    </w:p>
    <w:p>
      <w:pPr>
        <w:pStyle w:val="Heading3"/>
        <w:spacing w:before="0" w:beforeAutospacing="0" w:after="0" w:afterAutospacing="0"/>
        <w:jc w:val="both"/>
        <w:rPr>
          <w:rFonts w:eastAsia="Times New Roman"/>
          <w:b w:val="0"/>
          <w:noProof/>
          <w:sz w:val="24"/>
          <w:szCs w:val="24"/>
        </w:rPr>
      </w:pPr>
      <w:r>
        <w:rPr>
          <w:b w:val="0"/>
          <w:noProof/>
          <w:sz w:val="24"/>
          <w:szCs w:val="24"/>
        </w:rPr>
        <w:t>Tiesības, pamatbrīvības un tiesiskums kopumā tika ievēroti, ciktāl tas tiek garantēts Makao Pamatlikumā un saskaņā ar principu “viena valsts, divas sistēmas”.</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imes New Roman"/>
          <w:b w:val="0"/>
          <w:noProof/>
          <w:sz w:val="24"/>
          <w:szCs w:val="24"/>
        </w:rPr>
      </w:pPr>
      <w:r>
        <w:rPr>
          <w:b w:val="0"/>
          <w:noProof/>
          <w:sz w:val="24"/>
          <w:szCs w:val="24"/>
        </w:rPr>
        <w:t>Joprojām netiek veikti nekādi pasākumi, lai izveidotu neatkarīgu cilvēktiesību struktūru, reaģējot uz ANO Komitejas pret spīdzināšanu 2015. gada decembra ieteikumu.</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rFonts w:eastAsiaTheme="minorEastAsia"/>
          <w:b w:val="0"/>
          <w:noProof/>
          <w:sz w:val="24"/>
          <w:szCs w:val="24"/>
        </w:rPr>
      </w:pPr>
      <w:r>
        <w:rPr>
          <w:noProof/>
          <w:sz w:val="24"/>
          <w:szCs w:val="24"/>
        </w:rPr>
        <w:t>Preses brīvība</w:t>
      </w:r>
      <w:r>
        <w:rPr>
          <w:b w:val="0"/>
          <w:noProof/>
          <w:sz w:val="24"/>
          <w:szCs w:val="24"/>
        </w:rPr>
        <w:t xml:space="preserve"> kopumā tika ievērota, lai gan plašsaziņas līdzekļu videi ir raksturīga pašcenzūra. Makao Portugāļu un angļu preses asociācija (</w:t>
      </w:r>
      <w:r>
        <w:rPr>
          <w:b w:val="0"/>
          <w:i/>
          <w:noProof/>
          <w:sz w:val="24"/>
          <w:szCs w:val="24"/>
        </w:rPr>
        <w:t>AIPIM</w:t>
      </w:r>
      <w:r>
        <w:rPr>
          <w:b w:val="0"/>
          <w:noProof/>
          <w:sz w:val="24"/>
          <w:szCs w:val="24"/>
        </w:rPr>
        <w:t xml:space="preserve">) 18. martā nāca klajā ar paziņojumu, kurā pauda bažas par Makao un Honkongas iekļaušanu centrālās valdības lēmumā aizliegt ASV žurnālistiem no trim ASV plašsaziņas līdzekļu izdevniecībām strādāt Ķīnā. </w:t>
      </w:r>
      <w:r>
        <w:rPr>
          <w:b w:val="0"/>
          <w:i/>
          <w:noProof/>
          <w:sz w:val="24"/>
          <w:szCs w:val="24"/>
        </w:rPr>
        <w:t>AIPIM</w:t>
      </w:r>
      <w:r>
        <w:rPr>
          <w:b w:val="0"/>
          <w:noProof/>
          <w:sz w:val="24"/>
          <w:szCs w:val="24"/>
        </w:rPr>
        <w:t xml:space="preserve"> paziņojumā arī tika paustas bažas par to, kādu negatīvu ietekmi uz preses brīvību rada saspīlējuma palielināšanās ASV un Ķīnas attiecībās. </w:t>
      </w:r>
    </w:p>
    <w:p>
      <w:pPr>
        <w:spacing w:after="0" w:line="240" w:lineRule="auto"/>
        <w:jc w:val="both"/>
        <w:rPr>
          <w:rFonts w:ascii="Times New Roman" w:eastAsia="Times New Roman" w:hAnsi="Times New Roman"/>
          <w:noProof/>
          <w:sz w:val="24"/>
          <w:szCs w:val="24"/>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Oktobrī daudziem, tostarp </w:t>
      </w:r>
      <w:r>
        <w:rPr>
          <w:rFonts w:ascii="Times New Roman" w:hAnsi="Times New Roman"/>
          <w:i/>
          <w:noProof/>
          <w:sz w:val="24"/>
          <w:szCs w:val="24"/>
        </w:rPr>
        <w:t>AIPIM</w:t>
      </w:r>
      <w:r>
        <w:rPr>
          <w:rFonts w:ascii="Times New Roman" w:hAnsi="Times New Roman"/>
          <w:noProof/>
          <w:sz w:val="24"/>
          <w:szCs w:val="24"/>
        </w:rPr>
        <w:t xml:space="preserve">, bažas raisīja </w:t>
      </w:r>
      <w:r>
        <w:rPr>
          <w:rFonts w:ascii="Times New Roman" w:hAnsi="Times New Roman"/>
          <w:noProof/>
          <w:sz w:val="24"/>
          <w:szCs w:val="24"/>
          <w:shd w:val="clear" w:color="auto" w:fill="FFFFFF"/>
        </w:rPr>
        <w:t xml:space="preserve">2020. gada Pasaules preses fotoizstādes priekšlaicīga slēgšana, nesniedzot paskaidrojumu. Izstādē cita starpā bija attēloti sociālie nemieri Honkongā. </w:t>
      </w:r>
      <w:r>
        <w:rPr>
          <w:rFonts w:ascii="Times New Roman" w:hAnsi="Times New Roman"/>
          <w:i/>
          <w:noProof/>
          <w:sz w:val="24"/>
          <w:szCs w:val="24"/>
          <w:shd w:val="clear" w:color="auto" w:fill="FFFFFF"/>
        </w:rPr>
        <w:t>AIPIM</w:t>
      </w:r>
      <w:r>
        <w:rPr>
          <w:rFonts w:ascii="Times New Roman" w:hAnsi="Times New Roman"/>
          <w:noProof/>
          <w:sz w:val="24"/>
          <w:szCs w:val="24"/>
          <w:shd w:val="clear" w:color="auto" w:fill="FFFFFF"/>
        </w:rPr>
        <w:t xml:space="preserve"> norādīja, ka tad, “ja [tā] iemesls ir spiediens, kas saistīts ar dažām izstādītajām fotogrāfijām, mēs uzskatām, ka tas ir nopietns un satraucošs notikums, kas signalizē par vārda brīvības mazināšanos”.</w:t>
      </w:r>
    </w:p>
    <w:p>
      <w:pPr>
        <w:pStyle w:val="Heading3"/>
        <w:spacing w:before="0" w:beforeAutospacing="0" w:after="0" w:afterAutospacing="0"/>
        <w:jc w:val="both"/>
        <w:rPr>
          <w:rFonts w:eastAsia="Times New Roman"/>
          <w:b w:val="0"/>
          <w:noProof/>
          <w:sz w:val="24"/>
          <w:szCs w:val="24"/>
        </w:rPr>
      </w:pPr>
    </w:p>
    <w:p>
      <w:pPr>
        <w:spacing w:after="0" w:line="240" w:lineRule="auto"/>
        <w:jc w:val="both"/>
        <w:rPr>
          <w:rFonts w:ascii="Times New Roman" w:eastAsiaTheme="minorEastAsia" w:hAnsi="Times New Roman"/>
          <w:b/>
          <w:noProof/>
          <w:sz w:val="24"/>
          <w:szCs w:val="24"/>
        </w:rPr>
      </w:pPr>
      <w:r>
        <w:rPr>
          <w:rFonts w:ascii="Times New Roman" w:hAnsi="Times New Roman"/>
          <w:noProof/>
          <w:sz w:val="24"/>
          <w:szCs w:val="24"/>
        </w:rPr>
        <w:t xml:space="preserve">Makao kopumā joprojām tika ievērota pulcēšanās brīvība, </w:t>
      </w:r>
      <w:r>
        <w:rPr>
          <w:rFonts w:ascii="Times New Roman" w:hAnsi="Times New Roman"/>
          <w:b/>
          <w:noProof/>
          <w:sz w:val="24"/>
          <w:szCs w:val="24"/>
        </w:rPr>
        <w:t>lai gan Covid-19 pandēmija ietekmēja dažādu brīvību īstenošanu</w:t>
      </w:r>
      <w:r>
        <w:rPr>
          <w:rFonts w:ascii="Times New Roman" w:hAnsi="Times New Roman"/>
          <w:noProof/>
          <w:sz w:val="24"/>
          <w:szCs w:val="24"/>
        </w:rPr>
        <w:t xml:space="preserve">. </w:t>
      </w:r>
      <w:r>
        <w:rPr>
          <w:rFonts w:ascii="Times New Roman" w:hAnsi="Times New Roman"/>
          <w:bCs/>
          <w:noProof/>
          <w:sz w:val="24"/>
          <w:szCs w:val="24"/>
        </w:rPr>
        <w:t>Makao Žurnālistu asociācija (</w:t>
      </w:r>
      <w:r>
        <w:rPr>
          <w:rFonts w:ascii="Times New Roman" w:hAnsi="Times New Roman"/>
          <w:bCs/>
          <w:i/>
          <w:noProof/>
          <w:sz w:val="24"/>
          <w:szCs w:val="24"/>
        </w:rPr>
        <w:t>AJM</w:t>
      </w:r>
      <w:r>
        <w:rPr>
          <w:rFonts w:ascii="Times New Roman" w:hAnsi="Times New Roman"/>
          <w:bCs/>
          <w:noProof/>
          <w:sz w:val="24"/>
          <w:szCs w:val="24"/>
        </w:rPr>
        <w:t xml:space="preserve">) norādīja, ka valdības departamentiem nebūtu vajadzējis atcelt visas preses konferences, pamatojoties uz nepieciešamību kontrolēt Covid-19. Minētā grupa aicināja Valdības informācijas biroju līdzsvarot nepieciešamību nodrošināt brīvu informācijas plūsmu un cīņu pret epidēmiju. </w:t>
      </w:r>
    </w:p>
    <w:p>
      <w:pPr>
        <w:spacing w:after="0" w:line="240" w:lineRule="auto"/>
        <w:jc w:val="both"/>
        <w:rPr>
          <w:rFonts w:ascii="Times New Roman" w:eastAsiaTheme="minorEastAsia" w:hAnsi="Times New Roman"/>
          <w:b/>
          <w:noProof/>
          <w:sz w:val="24"/>
          <w:szCs w:val="24"/>
          <w:lang w:eastAsia="zh-CN"/>
        </w:rPr>
      </w:pPr>
    </w:p>
    <w:p>
      <w:pPr>
        <w:spacing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Sabiedriskās drošības policijas spēki, atsaucoties uz bažām par nepieciešamību kontrolēt Covid-19, noraidīja Demokrātiskās attīstības savienības pieteikumu organizēt ikgadējo sveču dedzināšanas pasākumu, lai pieminētu apspiešanu Tjananmeņas laukumā. Tika noraidīts arī atsevišķs pieteikums par fotoizstādes rīkošanu. 4. jūnija naktī par iespējamu nelikumīgu pulcēšanos tika aizturētas divas demokrātiju atbalstošā likumdevēja </w:t>
      </w:r>
      <w:r>
        <w:rPr>
          <w:rFonts w:ascii="Times New Roman" w:hAnsi="Times New Roman"/>
          <w:i/>
          <w:noProof/>
          <w:sz w:val="24"/>
          <w:szCs w:val="24"/>
        </w:rPr>
        <w:t>Au Kam San</w:t>
      </w:r>
      <w:r>
        <w:rPr>
          <w:rFonts w:ascii="Times New Roman" w:hAnsi="Times New Roman"/>
          <w:noProof/>
          <w:sz w:val="24"/>
          <w:szCs w:val="24"/>
        </w:rPr>
        <w:t xml:space="preserve"> meitas. Ziņojumā, kas iesniegts Apvienoto Nāciju Organizācijas Cilvēktiesību komitejai, NVO “</w:t>
      </w:r>
      <w:r>
        <w:rPr>
          <w:rFonts w:ascii="Times New Roman" w:hAnsi="Times New Roman"/>
          <w:i/>
          <w:noProof/>
          <w:sz w:val="24"/>
          <w:szCs w:val="24"/>
        </w:rPr>
        <w:t>Macau Conscience</w:t>
      </w:r>
      <w:r>
        <w:rPr>
          <w:rFonts w:ascii="Times New Roman" w:hAnsi="Times New Roman"/>
          <w:noProof/>
          <w:sz w:val="24"/>
          <w:szCs w:val="24"/>
        </w:rPr>
        <w:t xml:space="preserve">” pauda bažas par to, ka valdība ļaunprātīgi izmanto sabiedrības veselības problēmas, lai aizliegtu visu veidu piemiņas pasākumus. </w:t>
      </w:r>
    </w:p>
    <w:p>
      <w:pPr>
        <w:spacing w:after="0" w:line="240" w:lineRule="auto"/>
        <w:jc w:val="both"/>
        <w:rPr>
          <w:rFonts w:ascii="Times New Roman" w:eastAsia="PMingLiU" w:hAnsi="Times New Roman"/>
          <w:noProof/>
          <w:sz w:val="24"/>
          <w:szCs w:val="24"/>
          <w:lang w:eastAsia="zh-TW"/>
        </w:rPr>
      </w:pPr>
    </w:p>
    <w:p>
      <w:pPr>
        <w:spacing w:after="0" w:line="240" w:lineRule="auto"/>
        <w:jc w:val="both"/>
        <w:rPr>
          <w:rFonts w:ascii="Times New Roman" w:eastAsiaTheme="minorEastAsia" w:hAnsi="Times New Roman"/>
          <w:bCs/>
          <w:noProof/>
          <w:sz w:val="24"/>
          <w:szCs w:val="24"/>
        </w:rPr>
      </w:pPr>
      <w:r>
        <w:rPr>
          <w:rFonts w:ascii="Times New Roman" w:hAnsi="Times New Roman"/>
          <w:bCs/>
          <w:noProof/>
          <w:sz w:val="24"/>
          <w:szCs w:val="24"/>
        </w:rPr>
        <w:t xml:space="preserve">Makao nav faktiski nodrošināta </w:t>
      </w:r>
      <w:r>
        <w:rPr>
          <w:rFonts w:ascii="Times New Roman" w:hAnsi="Times New Roman"/>
          <w:b/>
          <w:bCs/>
          <w:noProof/>
          <w:sz w:val="24"/>
          <w:szCs w:val="24"/>
        </w:rPr>
        <w:t>biedrošanās un darba koplīguma slēgšanas sarunu brīvība</w:t>
      </w:r>
      <w:r>
        <w:rPr>
          <w:rFonts w:ascii="Times New Roman" w:hAnsi="Times New Roman"/>
          <w:bCs/>
          <w:noProof/>
          <w:sz w:val="24"/>
          <w:szCs w:val="24"/>
        </w:rPr>
        <w:t>, kas paredzēta Starptautiskās Darba organizācijas (SDO) konvencijās. ES turpina mudināt Makao to nodrošināt, tostarp izmantojot plānotos tiesību aktus par arodbiedrībām.</w:t>
      </w:r>
    </w:p>
    <w:p>
      <w:pPr>
        <w:pStyle w:val="Heading3"/>
        <w:spacing w:before="0" w:beforeAutospacing="0" w:after="0" w:afterAutospacing="0"/>
        <w:jc w:val="both"/>
        <w:rPr>
          <w:rFonts w:eastAsia="Times New Roman"/>
          <w:b w:val="0"/>
          <w:noProof/>
          <w:sz w:val="24"/>
          <w:szCs w:val="24"/>
        </w:rPr>
      </w:pPr>
    </w:p>
    <w:p>
      <w:pPr>
        <w:pStyle w:val="Heading3"/>
        <w:spacing w:before="0" w:beforeAutospacing="0" w:after="0" w:afterAutospacing="0"/>
        <w:jc w:val="both"/>
        <w:rPr>
          <w:b w:val="0"/>
          <w:noProof/>
          <w:color w:val="222222"/>
          <w:sz w:val="24"/>
          <w:szCs w:val="24"/>
        </w:rPr>
      </w:pPr>
      <w:r>
        <w:rPr>
          <w:b w:val="0"/>
          <w:noProof/>
          <w:sz w:val="24"/>
          <w:szCs w:val="24"/>
        </w:rPr>
        <w:t xml:space="preserve">Makao turpina pielikt pūles, lai risinātu </w:t>
      </w:r>
      <w:r>
        <w:rPr>
          <w:noProof/>
          <w:sz w:val="24"/>
          <w:szCs w:val="24"/>
        </w:rPr>
        <w:t>cilvēku tirdzniecības problēmu.</w:t>
      </w:r>
      <w:r>
        <w:rPr>
          <w:b w:val="0"/>
          <w:noProof/>
          <w:sz w:val="24"/>
          <w:szCs w:val="24"/>
        </w:rPr>
        <w:t xml:space="preserve"> Tomēr ASV iekļāva Makao 2. līmeņa kontrolsarakstā, un Valsts departamenta gada ziņojumā bija norādīts, ka Makao pilnībā neatbilst minimālajiem cilvēku tirdzniecības izskaušanas standartiem un vietējās iestādes nav parādījušas lielākus centienus salīdzinājumā ar iepriekšējo pārskata periodu.</w:t>
      </w:r>
      <w:r>
        <w:rPr>
          <w:b w:val="0"/>
          <w:noProof/>
          <w:color w:val="222222"/>
          <w:sz w:val="24"/>
          <w:szCs w:val="24"/>
        </w:rPr>
        <w:t xml:space="preserve"> ES ir gatava pastiprināt sadarbību ar Makao šajā jomā.</w:t>
      </w:r>
    </w:p>
    <w:p>
      <w:pPr>
        <w:pStyle w:val="Heading3"/>
        <w:spacing w:before="0" w:beforeAutospacing="0" w:after="0" w:afterAutospacing="0"/>
        <w:jc w:val="both"/>
        <w:rPr>
          <w:noProof/>
          <w:color w:val="222222"/>
          <w:sz w:val="24"/>
          <w:szCs w:val="24"/>
        </w:rPr>
      </w:pPr>
    </w:p>
    <w:p>
      <w:pPr>
        <w:pStyle w:val="Heading3"/>
        <w:spacing w:before="0" w:beforeAutospacing="0" w:after="0" w:afterAutospacing="0"/>
        <w:jc w:val="both"/>
        <w:rPr>
          <w:b w:val="0"/>
          <w:noProof/>
          <w:color w:val="222222"/>
          <w:sz w:val="24"/>
          <w:szCs w:val="24"/>
        </w:rPr>
      </w:pPr>
      <w:r>
        <w:rPr>
          <w:b w:val="0"/>
          <w:noProof/>
          <w:color w:val="222222"/>
          <w:sz w:val="24"/>
          <w:szCs w:val="24"/>
        </w:rPr>
        <w:t xml:space="preserve">Makao vēl nav pieņēmusi visaptverošus tiesību aktus diskriminācijas novēršanas jomā. </w:t>
      </w:r>
      <w:r>
        <w:rPr>
          <w:noProof/>
          <w:color w:val="222222"/>
          <w:sz w:val="24"/>
          <w:szCs w:val="24"/>
        </w:rPr>
        <w:t xml:space="preserve">Diskriminācija seksuālās orientācijas un dzimumidentitātes dēļ </w:t>
      </w:r>
      <w:r>
        <w:rPr>
          <w:b w:val="0"/>
          <w:noProof/>
          <w:color w:val="222222"/>
          <w:sz w:val="24"/>
          <w:szCs w:val="24"/>
        </w:rPr>
        <w:t>joprojām rada bažas, jo īpaši nodarbinātības, izglītības un veselības aprūpes jomā.</w:t>
      </w:r>
    </w:p>
    <w:p>
      <w:pPr>
        <w:pStyle w:val="Heading3"/>
        <w:spacing w:before="0" w:beforeAutospacing="0" w:after="0" w:afterAutospacing="0"/>
        <w:jc w:val="both"/>
        <w:rPr>
          <w:noProof/>
          <w:color w:val="222222"/>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Makao turpināja centienus novērst </w:t>
      </w:r>
      <w:r>
        <w:rPr>
          <w:rFonts w:ascii="Times New Roman" w:hAnsi="Times New Roman"/>
          <w:b/>
          <w:noProof/>
          <w:sz w:val="24"/>
          <w:szCs w:val="24"/>
        </w:rPr>
        <w:t>korupciju</w:t>
      </w:r>
      <w:r>
        <w:rPr>
          <w:rFonts w:ascii="Times New Roman" w:hAnsi="Times New Roman"/>
          <w:noProof/>
          <w:sz w:val="24"/>
          <w:szCs w:val="24"/>
        </w:rPr>
        <w:t>, tostarp īstenojot Korupcijas apkarošanas komisijas (</w:t>
      </w:r>
      <w:r>
        <w:rPr>
          <w:rFonts w:ascii="Times New Roman" w:hAnsi="Times New Roman"/>
          <w:i/>
          <w:noProof/>
          <w:sz w:val="24"/>
          <w:szCs w:val="24"/>
        </w:rPr>
        <w:t>CCAC</w:t>
      </w:r>
      <w:r>
        <w:rPr>
          <w:rFonts w:ascii="Times New Roman" w:hAnsi="Times New Roman"/>
          <w:noProof/>
          <w:sz w:val="24"/>
          <w:szCs w:val="24"/>
        </w:rPr>
        <w:t xml:space="preserve">) darbu. </w:t>
      </w:r>
      <w:r>
        <w:rPr>
          <w:rFonts w:ascii="Times New Roman" w:hAnsi="Times New Roman"/>
          <w:i/>
          <w:noProof/>
          <w:sz w:val="24"/>
          <w:szCs w:val="24"/>
        </w:rPr>
        <w:t>CCAC</w:t>
      </w:r>
      <w:r>
        <w:rPr>
          <w:rFonts w:ascii="Times New Roman" w:hAnsi="Times New Roman"/>
          <w:noProof/>
          <w:sz w:val="24"/>
          <w:szCs w:val="24"/>
        </w:rPr>
        <w:t xml:space="preserve"> gada ziņojums tika publicēts 2020. gada maijā, un tajā bija sīki izklāstīts struktūras darbs korupcijas apkarošanas jomā publiskajā un privātajā sektorā. Galvenā amatpersona apņēmās uzlabot cilvēku informētību par godīgām vēlēšanām un nodrošināt, ka 7. Likumdošanas asamblejas vēlēšanas (paredzētas 2021. gadā) varētu notikt godīgā, taisnīgā, atklātā vidē bez korupcijas. </w:t>
      </w:r>
    </w:p>
    <w:p>
      <w:pPr>
        <w:pStyle w:val="Default"/>
        <w:jc w:val="both"/>
        <w:rPr>
          <w:b/>
          <w:bCs/>
          <w:noProof/>
          <w:u w:val="single"/>
        </w:rPr>
      </w:pPr>
    </w:p>
    <w:p>
      <w:pPr>
        <w:pStyle w:val="Default"/>
        <w:jc w:val="both"/>
        <w:rPr>
          <w:b/>
          <w:bCs/>
          <w:noProof/>
          <w:u w:val="single"/>
        </w:rPr>
      </w:pPr>
      <w:r>
        <w:rPr>
          <w:b/>
          <w:bCs/>
          <w:noProof/>
          <w:u w:val="single"/>
        </w:rPr>
        <w:t xml:space="preserve">II. Ekonomikas attīstība </w:t>
      </w:r>
    </w:p>
    <w:p>
      <w:pPr>
        <w:pStyle w:val="Default"/>
        <w:jc w:val="both"/>
        <w:rPr>
          <w:noProof/>
        </w:rPr>
      </w:pPr>
    </w:p>
    <w:p>
      <w:pPr>
        <w:pStyle w:val="Default"/>
        <w:jc w:val="both"/>
        <w:rPr>
          <w:noProof/>
          <w:color w:val="auto"/>
        </w:rPr>
      </w:pPr>
      <w:r>
        <w:rPr>
          <w:noProof/>
        </w:rPr>
        <w:t>Covid-19 pandēmija ir būtiski negatīvi ietekmējusi Makao ekonomiku. Lai gan valdība veiksmīgi kontrolēja pandēmiju ĪPA, ierobežojumi ceļošanas un veselības jomā — gan Makao, gan Ķīnā — nozīmēja to, ka gandrīz visu gadu tikai ļoti neliels skaits cilvēku apmeklēja pasaulē lielāko azartspēļu centru.</w:t>
      </w:r>
      <w:r>
        <w:rPr>
          <w:noProof/>
          <w:color w:val="auto"/>
        </w:rPr>
        <w:t xml:space="preserve"> </w:t>
      </w:r>
    </w:p>
    <w:p>
      <w:pPr>
        <w:pStyle w:val="Default"/>
        <w:jc w:val="both"/>
        <w:rPr>
          <w:noProof/>
          <w:color w:val="auto"/>
        </w:rPr>
      </w:pPr>
    </w:p>
    <w:p>
      <w:pPr>
        <w:pStyle w:val="Default"/>
        <w:jc w:val="both"/>
        <w:rPr>
          <w:noProof/>
          <w:color w:val="auto"/>
        </w:rPr>
      </w:pPr>
      <w:r>
        <w:rPr>
          <w:noProof/>
          <w:color w:val="auto"/>
        </w:rPr>
        <w:t>Tā rezultātā Makao IKP 2020. gada pirmajā ceturksnī samazinājās par 48,1 %, otrajā ceturksnī — par 68 % un trešajā ceturksnī — par 63,8 % salīdzinājumā ar iepriekšējā gada atbilstošo laikposmu</w:t>
      </w:r>
      <w:r>
        <w:rPr>
          <w:rStyle w:val="FootnoteReference"/>
          <w:noProof/>
          <w:color w:val="auto"/>
        </w:rPr>
        <w:footnoteReference w:id="1"/>
      </w:r>
      <w:r>
        <w:rPr>
          <w:noProof/>
          <w:color w:val="auto"/>
        </w:rPr>
        <w:t xml:space="preserve">. Ieceļojošo tūristu skaits gada laikā samazinājās par 85 %, un ĪPA ieradās tikai 5,9 miljoni ceļotāju (salīdzinājumā ar 39,4 miljoniem 2019. gadā). </w:t>
      </w:r>
    </w:p>
    <w:p>
      <w:pPr>
        <w:pStyle w:val="Default"/>
        <w:jc w:val="both"/>
        <w:rPr>
          <w:noProof/>
          <w:color w:val="auto"/>
        </w:rPr>
      </w:pPr>
    </w:p>
    <w:p>
      <w:pPr>
        <w:pStyle w:val="Default"/>
        <w:jc w:val="both"/>
        <w:rPr>
          <w:noProof/>
        </w:rPr>
      </w:pPr>
      <w:r>
        <w:rPr>
          <w:noProof/>
        </w:rPr>
        <w:t xml:space="preserve">Parasti aptuveni 70 % tūristu, kas ierodas Makao, ir no Ķīnas kontinentālās daļas, un tas nozīmē, ka ekonomikas atlabšana ĪPA lielā mērā būs atkarīga no tā, vai Ķīnas tūristi atgriezīsies. 2020. gada pirmajā pusē lielā mērā tika apturēta individuālo vīzu izsniegšana ķīniešu ieceļošanai Makao no Ķīnas kontinentālās daļas. Vīzu izsniegšana pakāpeniski atsākās augustā, un līdz septembra vidum tā atsākās attiecībā uz visu Ķīnu. Tas nedaudz palielināja iebraucēju skaitu, tomēr gada otrajā pusē rādītāji joprojām bija krietni zemāki par tiem, kādi parasti ir novērojami Makao, un tie nebija pietiekami, lai garantētu stabilu atveseļošanos. </w:t>
      </w:r>
    </w:p>
    <w:p>
      <w:pPr>
        <w:pStyle w:val="Default"/>
        <w:jc w:val="both"/>
        <w:rPr>
          <w:noProof/>
        </w:rPr>
      </w:pPr>
    </w:p>
    <w:p>
      <w:pPr>
        <w:spacing w:after="0" w:line="240" w:lineRule="auto"/>
        <w:jc w:val="both"/>
        <w:rPr>
          <w:rFonts w:ascii="Times New Roman" w:hAnsi="Times New Roman"/>
          <w:noProof/>
          <w:sz w:val="24"/>
          <w:szCs w:val="24"/>
        </w:rPr>
      </w:pPr>
      <w:r>
        <w:rPr>
          <w:rFonts w:ascii="Times New Roman" w:hAnsi="Times New Roman"/>
          <w:noProof/>
          <w:sz w:val="24"/>
          <w:szCs w:val="24"/>
        </w:rPr>
        <w:t>Neraugoties uz lejupslīdi, darba tirgus bija stabils un bezdarba līmenis pieauga tikai nedaudz — līdz 2,9 % laikposmā no septembra līdz novembrim (no 1,7 % 2019. gada beigās)</w:t>
      </w:r>
      <w:r>
        <w:rPr>
          <w:rStyle w:val="FootnoteReference"/>
          <w:rFonts w:ascii="Times New Roman" w:hAnsi="Times New Roman"/>
          <w:noProof/>
          <w:color w:val="000000" w:themeColor="text1"/>
          <w:sz w:val="24"/>
          <w:szCs w:val="24"/>
        </w:rPr>
        <w:footnoteReference w:id="2"/>
      </w:r>
      <w:r>
        <w:rPr>
          <w:rFonts w:ascii="Times New Roman" w:hAnsi="Times New Roman"/>
          <w:noProof/>
          <w:sz w:val="24"/>
          <w:szCs w:val="24"/>
        </w:rPr>
        <w:t xml:space="preserve">. Inflācija gada pirmajos vienpadsmit mēnešos bija 0,1 %. </w:t>
      </w:r>
    </w:p>
    <w:p>
      <w:pPr>
        <w:spacing w:after="0" w:line="240" w:lineRule="auto"/>
        <w:jc w:val="both"/>
        <w:rPr>
          <w:rFonts w:ascii="Times New Roman" w:eastAsiaTheme="minorEastAsia"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Fiskālajā jomā Makao valdībai bija jāizmanto savas rezerves, lai ieņēmumi varētu nosegt izdevumus 2020. fiskālajā gadā, ņemot vērā vājo ekonomiku, ieņēmumu (tostarp ieņēmumu no azartspēļu nodokļa) samazināšanos un publisko izdevumu pieaugumu. Tomēr ĪPA fiskālais stāvoklis joprojām ir apmierinošs, un joprojām ir pieejamas lielas fiskālās rezerves (oktobra beigās: 607 miljardi MOP jeb 63 miljardi EUR).</w:t>
      </w:r>
    </w:p>
    <w:p>
      <w:pPr>
        <w:spacing w:after="0" w:line="240" w:lineRule="auto"/>
        <w:jc w:val="both"/>
        <w:rPr>
          <w:rFonts w:ascii="Times New Roman" w:hAnsi="Times New Roman"/>
          <w:noProof/>
          <w:sz w:val="24"/>
          <w:szCs w:val="24"/>
        </w:rPr>
      </w:pPr>
    </w:p>
    <w:p>
      <w:pPr>
        <w:spacing w:after="0" w:line="240" w:lineRule="auto"/>
        <w:jc w:val="both"/>
        <w:rPr>
          <w:rFonts w:ascii="Times New Roman" w:hAnsi="Times New Roman"/>
          <w:noProof/>
          <w:sz w:val="24"/>
          <w:szCs w:val="24"/>
        </w:rPr>
      </w:pPr>
      <w:r>
        <w:rPr>
          <w:rFonts w:ascii="Times New Roman" w:hAnsi="Times New Roman"/>
          <w:noProof/>
          <w:sz w:val="24"/>
          <w:szCs w:val="24"/>
        </w:rPr>
        <w:t xml:space="preserve">Makao uzņēmumiem ceļošanas ierobežojumi iebraukšanai ĪPA un izbraukšanai no tā radīja papildu darbības problēmas. Tas jo īpaši attiecas uz ārvalstu uzņēmumiem un rezidentiem, jo ārvalstniekiem, kuri nav Ķīnas kontinentālās daļas iedzīvotāji, gandrīz visu gadu bija liegta ieceļošana vai atpakaļieceļošana Makao. </w:t>
      </w:r>
    </w:p>
    <w:p>
      <w:pPr>
        <w:spacing w:after="0" w:line="240" w:lineRule="auto"/>
        <w:jc w:val="both"/>
        <w:rPr>
          <w:rFonts w:ascii="Times New Roman" w:hAnsi="Times New Roman"/>
          <w:noProof/>
          <w:sz w:val="24"/>
          <w:szCs w:val="24"/>
        </w:rPr>
      </w:pPr>
    </w:p>
    <w:p>
      <w:pPr>
        <w:pStyle w:val="Default"/>
        <w:jc w:val="both"/>
        <w:rPr>
          <w:noProof/>
        </w:rPr>
      </w:pPr>
      <w:r>
        <w:rPr>
          <w:b/>
          <w:noProof/>
        </w:rPr>
        <w:t>Ekonomikas politika</w:t>
      </w:r>
    </w:p>
    <w:p>
      <w:pPr>
        <w:pStyle w:val="Default"/>
        <w:jc w:val="both"/>
        <w:rPr>
          <w:noProof/>
        </w:rPr>
      </w:pPr>
    </w:p>
    <w:p>
      <w:pPr>
        <w:pStyle w:val="Default"/>
        <w:jc w:val="both"/>
        <w:rPr>
          <w:noProof/>
        </w:rPr>
      </w:pPr>
      <w:r>
        <w:rPr>
          <w:noProof/>
        </w:rPr>
        <w:t>Ārkārtas apstākļu dēļ 2020. gadā liela uzmanība tika pievērsta pandēmijas ierobežošanai un ekonomikas atbalstam, tāpēc tika veikti vairāki steidzamu pasākumu kopumi. Valdība īstenoja patēriņa subsīdiju shēmu 8 000 MOP (826 EUR) apmērā uz vienu iedzīvotāju, veselības aprūpes kuponus 600 MOP (62 EUR) apmērā un 15 000 MOP (1 550 EUR) pabalstu atbilstīgiem vietējiem darba ņēmējiem un pašnodarbinātiem speciālistiem.</w:t>
      </w:r>
      <w:r>
        <w:rPr>
          <w:noProof/>
          <w:color w:val="000000" w:themeColor="text1"/>
        </w:rPr>
        <w:t xml:space="preserve"> </w:t>
      </w:r>
      <w:r>
        <w:rPr>
          <w:noProof/>
        </w:rPr>
        <w:t>Valdība arī nodrošināja apmaksātu apmācību un darba ņēmēju algas nodokļa atvieglojumu. Kas attiecas uz uzņēmumiem, valdība uz laiku atviegloja MVU atbalsta shēmas atbilstības kritērijus un sāka īstenot MVU bankas aizdevumu procentu subsīdiju shēmu</w:t>
      </w:r>
      <w:r>
        <w:rPr>
          <w:rStyle w:val="FootnoteReference"/>
          <w:noProof/>
        </w:rPr>
        <w:footnoteReference w:id="3"/>
      </w:r>
      <w:r>
        <w:rPr>
          <w:noProof/>
        </w:rPr>
        <w:t>. Valdība arī atbrīvoja uzņēmumus no tūrisma nodokļa maksāšanas, samazināja peļņas nodokli un atcēla dažādas maksas. Subsīdiju shēma tika ieviesta ar nosacījumu, ka uzņēmumi noteiktu laiku neatlaidīs darba ņēmējus. Kopumā tiek lēsts, ka pasākumu apmērs ir 12 % no ĪPA 2019. gada IKP</w:t>
      </w:r>
      <w:r>
        <w:rPr>
          <w:rStyle w:val="FootnoteReference"/>
          <w:noProof/>
        </w:rPr>
        <w:footnoteReference w:id="4"/>
      </w:r>
      <w:r>
        <w:rPr>
          <w:noProof/>
        </w:rPr>
        <w:t>.</w:t>
      </w:r>
    </w:p>
    <w:p>
      <w:pPr>
        <w:pStyle w:val="Default"/>
        <w:jc w:val="both"/>
        <w:rPr>
          <w:noProof/>
        </w:rPr>
      </w:pPr>
    </w:p>
    <w:p>
      <w:pPr>
        <w:pStyle w:val="Default"/>
        <w:jc w:val="both"/>
        <w:rPr>
          <w:noProof/>
        </w:rPr>
      </w:pPr>
      <w:r>
        <w:rPr>
          <w:noProof/>
        </w:rPr>
        <w:t xml:space="preserve">Galvenās amatpersonas </w:t>
      </w:r>
      <w:r>
        <w:rPr>
          <w:b/>
          <w:noProof/>
        </w:rPr>
        <w:t>politikas uzruna</w:t>
      </w:r>
      <w:r>
        <w:rPr>
          <w:noProof/>
        </w:rPr>
        <w:t xml:space="preserve"> attiecībā uz 2021. gadu tika sniegta 16. novembrī. Prioritātes cita starpā bija epidēmijas apkarošana, pievēršoties gan ievestiem slimības gadījumiem, gan iekšējiem atkalparādīšanās gadījumiem, kā arī atbalsts ekonomikas atveseļošanai. Ņemot vērā ekonomikas struktūru, atveseļošanās lielā mērā ir atkarīga no norisēm saistībā ar pandēmiju. Ekonomikas attīstības ziņā galvenā uzmanība joprojām tiek pievērsta tūrisma un azartspēļu nozares konsolidācijai, vienlaikus dažādojot ekonomiku un stiprinot reģionālo sadarbību ar Ķīnas kontinentālo daļu. Citas prioritātes ir arī pilsētu attīstība un valsts pārvaldes reforma.</w:t>
      </w:r>
    </w:p>
    <w:p>
      <w:pPr>
        <w:pStyle w:val="Default"/>
        <w:jc w:val="both"/>
        <w:rPr>
          <w:noProof/>
        </w:rPr>
      </w:pPr>
    </w:p>
    <w:p>
      <w:pPr>
        <w:pStyle w:val="Default"/>
        <w:jc w:val="both"/>
        <w:rPr>
          <w:noProof/>
        </w:rPr>
      </w:pPr>
      <w:r>
        <w:rPr>
          <w:noProof/>
        </w:rPr>
        <w:t xml:space="preserve">Kas attiecas uz </w:t>
      </w:r>
      <w:r>
        <w:rPr>
          <w:b/>
          <w:noProof/>
        </w:rPr>
        <w:t>ekonomikas dažādošanu</w:t>
      </w:r>
      <w:r>
        <w:rPr>
          <w:noProof/>
        </w:rPr>
        <w:t>, kopš piecu gadu attīstības plāna (2016–2020) publicēšanas ir panākts progress, tomēr azartspēļu nozare joprojām veido aptuveni pusi no Makao IKP (salīdzinājumā ar 63 % 2012. gadā)</w:t>
      </w:r>
      <w:r>
        <w:rPr>
          <w:rStyle w:val="FootnoteReference"/>
          <w:noProof/>
        </w:rPr>
        <w:footnoteReference w:id="5"/>
      </w:r>
      <w:r>
        <w:rPr>
          <w:noProof/>
        </w:rPr>
        <w:t>. ĪPA ekonomika arī joprojām ir lielā mērā atkarīga no apmeklētājiem, kuri ierodas no Ķīnas kontinentālās daļas. Tāpēc politikas uzrunā atkārtoti tika uzsvērts mērķis vēl vairāk veicināt ar azartspēlēm nesaistītu tūrismu un attīstīt rūpniecības nozari, konventu un izstāžu nozari</w:t>
      </w:r>
      <w:r>
        <w:rPr>
          <w:rStyle w:val="FootnoteReference"/>
          <w:noProof/>
        </w:rPr>
        <w:footnoteReference w:id="6"/>
      </w:r>
      <w:r>
        <w:rPr>
          <w:noProof/>
        </w:rPr>
        <w:t xml:space="preserve">, tradicionālo Ķīnas medicīnu, tirdzniecības nozari un finanšu pakalpojumu nozari. Tiek uzskatīts, ka nolūkā panākt dažādošanu ir būtiski arī atbalstīt mazos un vidējos uzņēmumus un veicināt inovācijas. </w:t>
      </w:r>
    </w:p>
    <w:p>
      <w:pPr>
        <w:pStyle w:val="Default"/>
        <w:jc w:val="both"/>
        <w:rPr>
          <w:noProof/>
        </w:rPr>
      </w:pPr>
    </w:p>
    <w:p>
      <w:pPr>
        <w:pStyle w:val="Default"/>
        <w:jc w:val="both"/>
        <w:rPr>
          <w:noProof/>
        </w:rPr>
      </w:pPr>
      <w:r>
        <w:rPr>
          <w:noProof/>
        </w:rPr>
        <w:t xml:space="preserve">Attiecībā uz </w:t>
      </w:r>
      <w:r>
        <w:rPr>
          <w:b/>
          <w:noProof/>
        </w:rPr>
        <w:t>finanšu pakalpojumiem</w:t>
      </w:r>
      <w:r>
        <w:rPr>
          <w:noProof/>
        </w:rPr>
        <w:t xml:space="preserve"> ĪPA ir jāizveido obligāciju tirgus, un finanšu iestādes un apdrošinātāji no Ķīnas kontinentālās daļas tiek mudināti izveidot reģionālos birojus Makao un paplašināt savu darbību portugāļu valodā runājošās valstīs. </w:t>
      </w:r>
    </w:p>
    <w:p>
      <w:pPr>
        <w:pStyle w:val="Default"/>
        <w:jc w:val="both"/>
        <w:rPr>
          <w:noProof/>
        </w:rPr>
      </w:pPr>
    </w:p>
    <w:p>
      <w:pPr>
        <w:pStyle w:val="Default"/>
        <w:jc w:val="both"/>
        <w:rPr>
          <w:noProof/>
        </w:rPr>
      </w:pPr>
      <w:r>
        <w:rPr>
          <w:b/>
          <w:noProof/>
        </w:rPr>
        <w:t>Aprites ekonomikā un klimata politikā</w:t>
      </w:r>
      <w:r>
        <w:rPr>
          <w:noProof/>
        </w:rPr>
        <w:t xml:space="preserve"> joprojām ir būtiskas problēmas. Gada laikā valdība sāka īstenot jaunu programmu elektronisko un elektrisko ierīču pārstrādei un apņēmās 2021. gadā aizliegt putuplasta trauku importu. </w:t>
      </w:r>
    </w:p>
    <w:p>
      <w:pPr>
        <w:autoSpaceDE w:val="0"/>
        <w:autoSpaceDN w:val="0"/>
        <w:adjustRightInd w:val="0"/>
        <w:spacing w:after="0" w:line="240" w:lineRule="auto"/>
        <w:rPr>
          <w:rFonts w:ascii="Times New Roman" w:hAnsi="Times New Roman"/>
          <w:noProof/>
          <w:color w:val="000000"/>
          <w:sz w:val="24"/>
          <w:szCs w:val="24"/>
        </w:rPr>
      </w:pPr>
    </w:p>
    <w:p>
      <w:pPr>
        <w:pStyle w:val="Default"/>
        <w:jc w:val="both"/>
        <w:rPr>
          <w:b/>
          <w:bCs/>
          <w:noProof/>
        </w:rPr>
      </w:pPr>
      <w:r>
        <w:rPr>
          <w:b/>
          <w:bCs/>
          <w:noProof/>
        </w:rPr>
        <w:t xml:space="preserve">Reģionālā sadarbība </w:t>
      </w:r>
    </w:p>
    <w:p>
      <w:pPr>
        <w:pStyle w:val="Default"/>
        <w:jc w:val="both"/>
        <w:rPr>
          <w:noProof/>
        </w:rPr>
      </w:pPr>
    </w:p>
    <w:p>
      <w:pPr>
        <w:pStyle w:val="Default"/>
        <w:jc w:val="both"/>
        <w:rPr>
          <w:noProof/>
        </w:rPr>
      </w:pPr>
      <w:r>
        <w:rPr>
          <w:noProof/>
        </w:rPr>
        <w:t xml:space="preserve">Integrācija ar Ķīnas kontinentālo daļu </w:t>
      </w:r>
      <w:r>
        <w:rPr>
          <w:b/>
          <w:bCs/>
          <w:noProof/>
        </w:rPr>
        <w:t>Guangdunas–Honkongas-Makao Lielā līča apgabalā (</w:t>
      </w:r>
      <w:r>
        <w:rPr>
          <w:b/>
          <w:bCs/>
          <w:i/>
          <w:noProof/>
        </w:rPr>
        <w:t>GBA</w:t>
      </w:r>
      <w:r>
        <w:rPr>
          <w:b/>
          <w:bCs/>
          <w:noProof/>
        </w:rPr>
        <w:t>)</w:t>
      </w:r>
      <w:r>
        <w:rPr>
          <w:noProof/>
        </w:rPr>
        <w:t xml:space="preserve"> joprojām ir Makao valdības galvenā prioritāte.</w:t>
      </w:r>
      <w:r>
        <w:rPr>
          <w:b/>
          <w:bCs/>
          <w:noProof/>
        </w:rPr>
        <w:t xml:space="preserve"> </w:t>
      </w:r>
      <w:r>
        <w:rPr>
          <w:noProof/>
        </w:rPr>
        <w:t xml:space="preserve">Makao mērķis </w:t>
      </w:r>
      <w:r>
        <w:rPr>
          <w:i/>
          <w:noProof/>
        </w:rPr>
        <w:t>GBA</w:t>
      </w:r>
      <w:r>
        <w:rPr>
          <w:noProof/>
        </w:rPr>
        <w:t xml:space="preserve"> ir nostiprināt savu pozīciju kā pasaules līmeņa tūrisma un atpūtas centram un kā komercijas, tirdzniecības sadarbības un finanšu pakalpojumu platformai, tostarp starp Ķīnu un portugāļu valodā runājošām valstīm. </w:t>
      </w:r>
    </w:p>
    <w:p>
      <w:pPr>
        <w:pStyle w:val="Default"/>
        <w:jc w:val="both"/>
        <w:rPr>
          <w:noProof/>
        </w:rPr>
      </w:pPr>
    </w:p>
    <w:p>
      <w:pPr>
        <w:pStyle w:val="Default"/>
        <w:jc w:val="both"/>
        <w:rPr>
          <w:noProof/>
        </w:rPr>
      </w:pPr>
      <w:r>
        <w:rPr>
          <w:noProof/>
        </w:rPr>
        <w:t xml:space="preserve">Grozījums Nolīgumā par pakalpojumu tirdzniecību saskaņā ar Nolīgumu par ciešāku ekonomisko partnerību ar Ķīnas kontinentālo daļu stājās spēkā 2020. gada jūnijā (tika parakstīts 2019. gada novembrī). Ar to vēl vairāk ir liberalizēta Makao uzņēmumu piekļuve Ķīnas kontinentālajai daļai tādās nozarēs kā finanšu, juridiskie, grāmatvedības, būvniecības un inženiertehniskie, kultūras, tūrisma un izplatīšanas pakalpojumi. </w:t>
      </w:r>
    </w:p>
    <w:p>
      <w:pPr>
        <w:spacing w:after="0" w:line="240" w:lineRule="auto"/>
        <w:jc w:val="both"/>
        <w:rPr>
          <w:rFonts w:ascii="Times New Roman" w:hAnsi="Times New Roman"/>
          <w:noProof/>
          <w:color w:val="000000"/>
          <w:sz w:val="24"/>
          <w:szCs w:val="24"/>
        </w:rPr>
      </w:pPr>
    </w:p>
    <w:p>
      <w:pPr>
        <w:spacing w:line="240" w:lineRule="auto"/>
        <w:jc w:val="both"/>
        <w:rPr>
          <w:rFonts w:ascii="Times New Roman" w:hAnsi="Times New Roman"/>
          <w:noProof/>
          <w:sz w:val="24"/>
          <w:szCs w:val="24"/>
        </w:rPr>
      </w:pPr>
      <w:r>
        <w:rPr>
          <w:rFonts w:ascii="Times New Roman" w:hAnsi="Times New Roman"/>
          <w:noProof/>
          <w:sz w:val="24"/>
          <w:szCs w:val="24"/>
        </w:rPr>
        <w:t xml:space="preserve">Kopā ar </w:t>
      </w:r>
      <w:r>
        <w:rPr>
          <w:rFonts w:ascii="Times New Roman" w:hAnsi="Times New Roman"/>
          <w:i/>
          <w:iCs/>
          <w:noProof/>
          <w:sz w:val="24"/>
          <w:szCs w:val="24"/>
        </w:rPr>
        <w:t>Zhuhai</w:t>
      </w:r>
      <w:r>
        <w:rPr>
          <w:rFonts w:ascii="Times New Roman" w:hAnsi="Times New Roman"/>
          <w:noProof/>
          <w:sz w:val="24"/>
          <w:szCs w:val="24"/>
        </w:rPr>
        <w:t xml:space="preserve"> Makao kopīgi attīsta </w:t>
      </w:r>
      <w:r>
        <w:rPr>
          <w:rFonts w:ascii="Times New Roman" w:hAnsi="Times New Roman"/>
          <w:b/>
          <w:bCs/>
          <w:i/>
          <w:iCs/>
          <w:noProof/>
          <w:sz w:val="24"/>
          <w:szCs w:val="24"/>
        </w:rPr>
        <w:t>Hengqin</w:t>
      </w:r>
      <w:r>
        <w:rPr>
          <w:rFonts w:ascii="Times New Roman" w:hAnsi="Times New Roman"/>
          <w:noProof/>
          <w:sz w:val="24"/>
          <w:szCs w:val="24"/>
        </w:rPr>
        <w:t xml:space="preserve"> salu, kas atrodas uz rietumiem no Makao Guangdunas provincē. Šī sala nodrošina Makao papildu zemi, ko var izmantot, lai veicinātu ekonomikas dažādošanu un vēl vairāk integrētu Makao </w:t>
      </w:r>
      <w:r>
        <w:rPr>
          <w:rFonts w:ascii="Times New Roman" w:hAnsi="Times New Roman"/>
          <w:i/>
          <w:noProof/>
          <w:sz w:val="24"/>
          <w:szCs w:val="24"/>
        </w:rPr>
        <w:t>GBA</w:t>
      </w:r>
      <w:r>
        <w:rPr>
          <w:rFonts w:ascii="Times New Roman" w:hAnsi="Times New Roman"/>
          <w:noProof/>
          <w:sz w:val="24"/>
          <w:szCs w:val="24"/>
        </w:rPr>
        <w:t xml:space="preserve">. Tajā atrodas Makao Universitātes pilsētiņa un dažādi objekti, kas paredzēti tam, lai attīstītu jauniešu uzņēmējdarbību, tradicionālo Ķīnas medicīnu un citas nozares. Gada laikā tika iesniegts priekšlikums par Guangdunas un Makao intensīvās sadarbības zonu </w:t>
      </w:r>
      <w:r>
        <w:rPr>
          <w:rFonts w:ascii="Times New Roman" w:hAnsi="Times New Roman"/>
          <w:i/>
          <w:iCs/>
          <w:noProof/>
          <w:sz w:val="24"/>
          <w:szCs w:val="24"/>
        </w:rPr>
        <w:t>Hengqin</w:t>
      </w:r>
      <w:r>
        <w:rPr>
          <w:rFonts w:ascii="Times New Roman" w:hAnsi="Times New Roman"/>
          <w:noProof/>
          <w:sz w:val="24"/>
          <w:szCs w:val="24"/>
        </w:rPr>
        <w:t xml:space="preserve"> salā un tika izveidota darba grupa. Vasarā sāka darboties arī jauns robežkontroles punkts, kas ļauj ērtāk šķērsot robežu starp </w:t>
      </w:r>
      <w:r>
        <w:rPr>
          <w:rFonts w:ascii="Times New Roman" w:hAnsi="Times New Roman"/>
          <w:i/>
          <w:iCs/>
          <w:noProof/>
          <w:sz w:val="24"/>
          <w:szCs w:val="24"/>
        </w:rPr>
        <w:t>Hengqin</w:t>
      </w:r>
      <w:r>
        <w:rPr>
          <w:rFonts w:ascii="Times New Roman" w:hAnsi="Times New Roman"/>
          <w:noProof/>
          <w:sz w:val="24"/>
          <w:szCs w:val="24"/>
        </w:rPr>
        <w:t xml:space="preserve"> un Makao. Makao un </w:t>
      </w:r>
      <w:r>
        <w:rPr>
          <w:rFonts w:ascii="Times New Roman" w:hAnsi="Times New Roman"/>
          <w:i/>
          <w:iCs/>
          <w:noProof/>
          <w:sz w:val="24"/>
          <w:szCs w:val="24"/>
        </w:rPr>
        <w:t>Zhuhai</w:t>
      </w:r>
      <w:r>
        <w:rPr>
          <w:rFonts w:ascii="Times New Roman" w:hAnsi="Times New Roman"/>
          <w:noProof/>
          <w:sz w:val="24"/>
          <w:szCs w:val="24"/>
        </w:rPr>
        <w:t xml:space="preserve"> parakstīja līgumu, ar ko Makao tiek piešķirta zeme ar mērķi izstrādāt dzīvojamo ēku projektu Makao iedzīvotājiem </w:t>
      </w:r>
      <w:r>
        <w:rPr>
          <w:rFonts w:ascii="Times New Roman" w:hAnsi="Times New Roman"/>
          <w:i/>
          <w:iCs/>
          <w:noProof/>
          <w:sz w:val="24"/>
          <w:szCs w:val="24"/>
        </w:rPr>
        <w:t>Hengqin</w:t>
      </w:r>
      <w:r>
        <w:rPr>
          <w:rFonts w:ascii="Times New Roman" w:hAnsi="Times New Roman"/>
          <w:noProof/>
          <w:sz w:val="24"/>
          <w:szCs w:val="24"/>
        </w:rPr>
        <w:t xml:space="preserve"> salā (projekts “Makao jaunās kaimiņattiecības”), vēl vairāk integrējot Makao ar Ķīnas kontinentālo daļu. </w:t>
      </w:r>
    </w:p>
    <w:p>
      <w:pPr>
        <w:pStyle w:val="Default"/>
        <w:jc w:val="both"/>
        <w:rPr>
          <w:b/>
          <w:bCs/>
          <w:noProof/>
          <w:u w:val="single"/>
        </w:rPr>
      </w:pPr>
      <w:r>
        <w:rPr>
          <w:b/>
          <w:bCs/>
          <w:noProof/>
          <w:u w:val="single"/>
        </w:rPr>
        <w:t xml:space="preserve">III. ES un Makao divpusējās attiecības </w:t>
      </w:r>
    </w:p>
    <w:p>
      <w:pPr>
        <w:pStyle w:val="Default"/>
        <w:jc w:val="both"/>
        <w:rPr>
          <w:noProof/>
        </w:rPr>
      </w:pPr>
    </w:p>
    <w:p>
      <w:pPr>
        <w:pStyle w:val="Default"/>
        <w:jc w:val="both"/>
        <w:rPr>
          <w:noProof/>
          <w:highlight w:val="cyan"/>
        </w:rPr>
      </w:pPr>
      <w:r>
        <w:rPr>
          <w:noProof/>
          <w:shd w:val="clear" w:color="auto" w:fill="FFFFFF" w:themeFill="background1"/>
        </w:rPr>
        <w:t xml:space="preserve">2020. gadā </w:t>
      </w:r>
      <w:r>
        <w:rPr>
          <w:b/>
          <w:bCs/>
          <w:noProof/>
          <w:shd w:val="clear" w:color="auto" w:fill="FFFFFF" w:themeFill="background1"/>
        </w:rPr>
        <w:t>ES joprojām bija Makao otrā lielākā preču tirdzniecības partnere aiz Ķīnas kontinentālās daļas</w:t>
      </w:r>
      <w:r>
        <w:rPr>
          <w:noProof/>
          <w:shd w:val="clear" w:color="auto" w:fill="FFFFFF" w:themeFill="background1"/>
        </w:rPr>
        <w:t>.</w:t>
      </w:r>
      <w:r>
        <w:rPr>
          <w:b/>
          <w:bCs/>
          <w:noProof/>
          <w:shd w:val="clear" w:color="auto" w:fill="FFFFFF" w:themeFill="background1"/>
        </w:rPr>
        <w:t xml:space="preserve"> </w:t>
      </w:r>
      <w:r>
        <w:rPr>
          <w:noProof/>
          <w:shd w:val="clear" w:color="auto" w:fill="FFFFFF" w:themeFill="background1"/>
        </w:rPr>
        <w:t>ES bija Makao lielākais importa avots, kas veidoja 31 % no kopējā Makao importa apjoma</w:t>
      </w:r>
      <w:r>
        <w:rPr>
          <w:rStyle w:val="FootnoteReference"/>
          <w:noProof/>
          <w:shd w:val="clear" w:color="auto" w:fill="FFFFFF" w:themeFill="background1"/>
        </w:rPr>
        <w:footnoteReference w:id="7"/>
      </w:r>
      <w:r>
        <w:rPr>
          <w:noProof/>
          <w:shd w:val="clear" w:color="auto" w:fill="FFFFFF" w:themeFill="background1"/>
        </w:rPr>
        <w:t>. No otras puses, tikai 1,6 % no ĪPA preču eksporta tika eksportēti uz Eiropu, un ES joprojām ir ilgstošs tirdzniecības bilances pārpalikums ar Makao.</w:t>
      </w:r>
      <w:r>
        <w:rPr>
          <w:noProof/>
        </w:rPr>
        <w:t xml:space="preserve"> Tas izskaidrojams ar to, ka Makao importa pieprasījums gadu gaitā ir pastāvīgi audzis līdz ar tās azartspēļu un tūrisma nozares izaugsmi, savukārt ražošanas nozare ir sarukusi līdz aptuveni 1 % no IKP.</w:t>
      </w:r>
      <w:r>
        <w:rPr>
          <w:noProof/>
          <w:highlight w:val="cyan"/>
        </w:rPr>
        <w:t xml:space="preserve"> </w:t>
      </w:r>
    </w:p>
    <w:p>
      <w:pPr>
        <w:pStyle w:val="Default"/>
        <w:jc w:val="both"/>
        <w:rPr>
          <w:noProof/>
          <w:highlight w:val="cyan"/>
        </w:rPr>
      </w:pPr>
    </w:p>
    <w:p>
      <w:pPr>
        <w:pStyle w:val="Default"/>
        <w:jc w:val="both"/>
        <w:rPr>
          <w:noProof/>
        </w:rPr>
      </w:pPr>
      <w:r>
        <w:rPr>
          <w:noProof/>
        </w:rPr>
        <w:t xml:space="preserve">Divpusējā </w:t>
      </w:r>
      <w:r>
        <w:rPr>
          <w:b/>
          <w:bCs/>
          <w:noProof/>
        </w:rPr>
        <w:t>preču tirdzniecība (pirmajos 11 mēnešos)</w:t>
      </w:r>
      <w:r>
        <w:rPr>
          <w:noProof/>
        </w:rPr>
        <w:t xml:space="preserve"> 2020. gadā samazinājās par 37,3 % līdz 702 miljoniem EUR. ES eksports uz Makao šajā laikposmā sasniedza 650 miljonus EUR, kas ir par 37,0 % mazāk nekā iepriekšējā gadā, tāpēc tirdzniecības pārpalikums bija 599 miljoni EUR. Makao joprojām ir augošs Eiropas luksusa preču tirgus, un lielu daļu ES eksporta veidoja augstas kvalitātes ādas izstrādājumi, apģērbi, pulksteņi un juvelierizstrādājumi, pārtika un dzērieni, kā arī automobiļi. </w:t>
      </w:r>
    </w:p>
    <w:p>
      <w:pPr>
        <w:pStyle w:val="Default"/>
        <w:jc w:val="both"/>
        <w:rPr>
          <w:noProof/>
          <w:highlight w:val="cyan"/>
        </w:rPr>
      </w:pPr>
    </w:p>
    <w:p>
      <w:pPr>
        <w:pStyle w:val="Default"/>
        <w:jc w:val="both"/>
        <w:rPr>
          <w:noProof/>
        </w:rPr>
      </w:pPr>
      <w:r>
        <w:rPr>
          <w:b/>
          <w:noProof/>
        </w:rPr>
        <w:t>ES ir Makao trešais lielākais ārvalstu ieguldītājs</w:t>
      </w:r>
      <w:r>
        <w:rPr>
          <w:noProof/>
        </w:rPr>
        <w:t xml:space="preserve"> aiz Honkongas un Ķīnas kontinentālās daļas (izņemot ārzonas finanšu centrus). Saskaņā ar Makao statistiku ES 2019. gadā veidoja 5,2 % no kopējiem uzkrātajiem ĀTI. Tikai Portugāle vien nodrošina 54 % no ES ieguldījumiem Makao. Saskaņā ar </w:t>
      </w:r>
      <w:r>
        <w:rPr>
          <w:i/>
          <w:iCs/>
          <w:noProof/>
        </w:rPr>
        <w:t>Eurostat</w:t>
      </w:r>
      <w:r>
        <w:rPr>
          <w:noProof/>
        </w:rPr>
        <w:t xml:space="preserve"> datiem ES-27 uzkrātie ārvalstu tiešie ieguldījumi Makao 2019. gadā sasniedza 342 miljonus EUR, bet Makao ĀTI ES — 1,93 miljardus EUR.</w:t>
      </w:r>
    </w:p>
    <w:p>
      <w:pPr>
        <w:pStyle w:val="Default"/>
        <w:jc w:val="both"/>
        <w:rPr>
          <w:noProof/>
        </w:rPr>
      </w:pPr>
    </w:p>
    <w:p>
      <w:pPr>
        <w:pStyle w:val="Default"/>
        <w:jc w:val="both"/>
        <w:rPr>
          <w:noProof/>
        </w:rPr>
      </w:pPr>
      <w:r>
        <w:rPr>
          <w:noProof/>
        </w:rPr>
        <w:t xml:space="preserve">Pandēmijas dēļ </w:t>
      </w:r>
      <w:r>
        <w:rPr>
          <w:b/>
          <w:noProof/>
        </w:rPr>
        <w:t>ES un Makao Apvienotās komitejas 24. sanāksme</w:t>
      </w:r>
      <w:r>
        <w:rPr>
          <w:noProof/>
        </w:rPr>
        <w:t xml:space="preserve">, kurai bija jānotiek 2020. gadā, nenotika. Paredzams, ka sanāksme notiks 2021. gada pirmajā pusē. </w:t>
      </w:r>
    </w:p>
    <w:p>
      <w:pPr>
        <w:pStyle w:val="Default"/>
        <w:jc w:val="both"/>
        <w:rPr>
          <w:noProof/>
        </w:rPr>
      </w:pPr>
    </w:p>
    <w:p>
      <w:pPr>
        <w:pStyle w:val="Default"/>
        <w:jc w:val="both"/>
        <w:rPr>
          <w:noProof/>
        </w:rPr>
      </w:pPr>
      <w:r>
        <w:rPr>
          <w:noProof/>
        </w:rPr>
        <w:t xml:space="preserve">2020. gada decembrī tika veikta Makao </w:t>
      </w:r>
      <w:r>
        <w:rPr>
          <w:b/>
          <w:bCs/>
          <w:noProof/>
        </w:rPr>
        <w:t>tirdzniecības politikas pārskatīšana (</w:t>
      </w:r>
      <w:r>
        <w:rPr>
          <w:b/>
          <w:bCs/>
          <w:i/>
          <w:noProof/>
        </w:rPr>
        <w:t>TPR</w:t>
      </w:r>
      <w:r>
        <w:rPr>
          <w:b/>
          <w:bCs/>
          <w:noProof/>
        </w:rPr>
        <w:t>) PTO</w:t>
      </w:r>
      <w:r>
        <w:rPr>
          <w:noProof/>
        </w:rPr>
        <w:t xml:space="preserve">. Makao tika atzīta par atvērtu ekonomiku, kas nodarbojas ar brīvu tirdzniecību, un visi piemērojamie tarifi tika saglabāti 0 % apmērā, bet ārējā tirdzniecība (preces un pakalpojumi) 2019. gadā veidoja 117,1 % no IKP. ES kā Makao galvenā tirdzniecības partnere uzmanīgi sekoja </w:t>
      </w:r>
      <w:r>
        <w:rPr>
          <w:i/>
          <w:noProof/>
        </w:rPr>
        <w:t>TPR</w:t>
      </w:r>
      <w:r>
        <w:rPr>
          <w:noProof/>
        </w:rPr>
        <w:t xml:space="preserve"> un sniedza atbildes uz vairākiem jautājumiem. </w:t>
      </w:r>
      <w:r>
        <w:rPr>
          <w:noProof/>
          <w:color w:val="auto"/>
        </w:rPr>
        <w:t>ES mudina Makao pievienoties PTO Nolīgumam par valsts iepirkumu (</w:t>
      </w:r>
      <w:r>
        <w:rPr>
          <w:i/>
          <w:noProof/>
          <w:color w:val="auto"/>
        </w:rPr>
        <w:t>GPA</w:t>
      </w:r>
      <w:r>
        <w:rPr>
          <w:noProof/>
          <w:color w:val="auto"/>
        </w:rPr>
        <w:t xml:space="preserve">). </w:t>
      </w:r>
    </w:p>
    <w:p>
      <w:pPr>
        <w:pStyle w:val="Default"/>
        <w:rPr>
          <w:noProof/>
        </w:rPr>
      </w:pPr>
    </w:p>
    <w:p>
      <w:pPr>
        <w:pStyle w:val="Default"/>
        <w:jc w:val="both"/>
        <w:rPr>
          <w:noProof/>
        </w:rPr>
      </w:pPr>
      <w:r>
        <w:rPr>
          <w:noProof/>
        </w:rPr>
        <w:t>Neraugoties uz sarežģīto gadu, Makao Eiropas Tirdzniecības palāta (</w:t>
      </w:r>
      <w:r>
        <w:rPr>
          <w:i/>
          <w:noProof/>
        </w:rPr>
        <w:t>MECC</w:t>
      </w:r>
      <w:r>
        <w:rPr>
          <w:noProof/>
        </w:rPr>
        <w:t>) un Eiropas Tirdzniecības palāta Honkongā (</w:t>
      </w:r>
      <w:r>
        <w:rPr>
          <w:i/>
          <w:noProof/>
        </w:rPr>
        <w:t>EuroCham HK</w:t>
      </w:r>
      <w:r>
        <w:rPr>
          <w:noProof/>
        </w:rPr>
        <w:t>) kopīgi koordinēja Eiropas dalību Makao starptautiskajā tirdzniecības un ieguldījumu gadatirgū (</w:t>
      </w:r>
      <w:r>
        <w:rPr>
          <w:i/>
          <w:noProof/>
        </w:rPr>
        <w:t>MIF</w:t>
      </w:r>
      <w:r>
        <w:rPr>
          <w:noProof/>
        </w:rPr>
        <w:t xml:space="preserve">), kas notika oktobrī. </w:t>
      </w:r>
    </w:p>
    <w:p>
      <w:pPr>
        <w:pStyle w:val="Default"/>
        <w:jc w:val="both"/>
        <w:rPr>
          <w:noProof/>
        </w:rPr>
      </w:pPr>
    </w:p>
    <w:p>
      <w:pPr>
        <w:pStyle w:val="Default"/>
        <w:jc w:val="both"/>
        <w:rPr>
          <w:noProof/>
        </w:rPr>
      </w:pPr>
      <w:r>
        <w:rPr>
          <w:noProof/>
        </w:rPr>
        <w:t>Neraugoties uz Covid-19 pandēmiju 2020. gadā, ES un Makao turpināja ilglaicīgo sadarbību tulku apmācības jomā. Pedagoģiskā palīdzība, ko Eiropas Komisijas Mutiskās tulkošanas ģenerāldirektorāta pasniedzēji sniedza Makao Politehniskajam institūtam, bija virtuālas nodarbības un attālinātas mācības, kā arī tiešsaistes semināri kursu vadītājiem.</w:t>
      </w:r>
    </w:p>
    <w:p>
      <w:pPr>
        <w:pStyle w:val="Default"/>
        <w:jc w:val="both"/>
        <w:rPr>
          <w:noProof/>
        </w:rPr>
      </w:pPr>
    </w:p>
    <w:p>
      <w:pPr>
        <w:spacing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Makao valdība 2020. gada martā nāca klajā ar galīgo ziņojumu par </w:t>
      </w:r>
      <w:r>
        <w:rPr>
          <w:rFonts w:ascii="Times New Roman" w:hAnsi="Times New Roman"/>
          <w:b/>
          <w:noProof/>
          <w:color w:val="000000" w:themeColor="text1"/>
          <w:sz w:val="24"/>
          <w:szCs w:val="24"/>
        </w:rPr>
        <w:t>trešo Makao un ES sadarbības programmu juridiskajā jomā</w:t>
      </w:r>
      <w:r>
        <w:rPr>
          <w:rFonts w:ascii="Times New Roman" w:hAnsi="Times New Roman"/>
          <w:noProof/>
          <w:color w:val="000000" w:themeColor="text1"/>
          <w:sz w:val="24"/>
          <w:szCs w:val="24"/>
        </w:rPr>
        <w:t>, kas aptver laikposmu no 2015. līdz 2019. gadam. Šī programma ir veicinājusi Makao tiesību sistēmas modernizāciju un attīstību, un ES un Makao apspriež turpmākas sadarbības iespējas šajā jomā.</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42945"/>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sdt>
    <w:sdtPr>
      <w:id w:val="698351560"/>
      <w:docPartObj>
        <w:docPartGallery w:val="Page Numbers (Top of Page)"/>
        <w:docPartUnique/>
      </w:docPartObj>
    </w:sdtPr>
    <w:sdtEndPr>
      <w:rPr>
        <w:noProof/>
      </w:rPr>
    </w:sdtEndPr>
    <w:sdtContent>
      <w:p>
        <w:pPr>
          <w:pStyle w:val="Header"/>
          <w:jc w:val="center"/>
        </w:pPr>
      </w:p>
      <w:p>
        <w:pPr>
          <w:pStyle w:val="Header"/>
          <w:jc w:val="center"/>
          <w:rPr>
            <w:noProof/>
          </w:rPr>
        </w:pP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Šie un turpmāk norādītie dati atspoguļo jaunāko statistiku, kas pieejama šā dokumenta sagatavošanas laikā.</w:t>
      </w:r>
    </w:p>
  </w:footnote>
  <w:footnote w:id="2">
    <w:p>
      <w:pPr>
        <w:pStyle w:val="FootnoteText"/>
        <w:rPr>
          <w:rFonts w:eastAsiaTheme="minorEastAsia"/>
          <w:b/>
          <w:sz w:val="16"/>
          <w:szCs w:val="16"/>
        </w:rPr>
      </w:pPr>
      <w:r>
        <w:rPr>
          <w:rStyle w:val="FootnoteReference"/>
          <w:sz w:val="16"/>
          <w:szCs w:val="16"/>
        </w:rPr>
        <w:footnoteRef/>
      </w:r>
      <w:r>
        <w:rPr>
          <w:sz w:val="16"/>
          <w:szCs w:val="16"/>
        </w:rPr>
        <w:t xml:space="preserve"> Tomēr jānorāda, ka Makao ir liels skaits “nerezidentu” darba ņēmēju, kuriem Makao nav pastāvīgas dzīvesvietas (aptuveni 87 200 </w:t>
      </w:r>
      <w:hyperlink r:id="rId1" w:history="1">
        <w:r>
          <w:rPr>
            <w:rStyle w:val="Hyperlink"/>
            <w:sz w:val="16"/>
            <w:szCs w:val="16"/>
          </w:rPr>
          <w:t>pirms Covid-19</w:t>
        </w:r>
      </w:hyperlink>
      <w:r>
        <w:rPr>
          <w:sz w:val="16"/>
          <w:szCs w:val="16"/>
        </w:rPr>
        <w:t xml:space="preserve">), un daudzi no viņiem ikdienā pārvietojas. </w:t>
      </w:r>
    </w:p>
  </w:footnote>
  <w:footnote w:id="3">
    <w:p>
      <w:pPr>
        <w:pStyle w:val="FootnoteText"/>
        <w:rPr>
          <w:sz w:val="16"/>
          <w:szCs w:val="16"/>
        </w:rPr>
      </w:pPr>
      <w:r>
        <w:rPr>
          <w:rStyle w:val="FootnoteReference"/>
          <w:sz w:val="16"/>
          <w:szCs w:val="16"/>
        </w:rPr>
        <w:footnoteRef/>
      </w:r>
      <w:r>
        <w:rPr>
          <w:sz w:val="16"/>
          <w:szCs w:val="16"/>
        </w:rPr>
        <w:t xml:space="preserve"> Procentu subsīdija līdz 4 procentpunktiem gadā un aizdevums līdz 2 miljoniem MOP.</w:t>
      </w:r>
      <w:r>
        <w:rPr>
          <w:color w:val="000000"/>
          <w:sz w:val="16"/>
          <w:szCs w:val="16"/>
        </w:rPr>
        <w:t xml:space="preserve"> </w:t>
      </w:r>
    </w:p>
  </w:footnote>
  <w:footnote w:id="4">
    <w:p>
      <w:pPr>
        <w:pStyle w:val="FootnoteText"/>
        <w:rPr>
          <w:sz w:val="16"/>
          <w:szCs w:val="16"/>
        </w:rPr>
      </w:pPr>
      <w:r>
        <w:rPr>
          <w:rStyle w:val="FootnoteReference"/>
          <w:sz w:val="16"/>
          <w:szCs w:val="16"/>
        </w:rPr>
        <w:footnoteRef/>
      </w:r>
      <w:r>
        <w:rPr>
          <w:sz w:val="16"/>
          <w:szCs w:val="16"/>
        </w:rPr>
        <w:t xml:space="preserve"> Avots: SVF (</w:t>
      </w:r>
      <w:hyperlink r:id="rId2" w:anchor="M" w:history="1">
        <w:r>
          <w:rPr>
            <w:rStyle w:val="Hyperlink"/>
            <w:sz w:val="16"/>
            <w:szCs w:val="16"/>
          </w:rPr>
          <w:t>https://www.imf.org/en/Topics/imf-and-covid19/%20Policy-Responses-to-COVID-19#M</w:t>
        </w:r>
      </w:hyperlink>
      <w:r>
        <w:rPr>
          <w:sz w:val="16"/>
          <w:szCs w:val="16"/>
        </w:rPr>
        <w:t>).</w:t>
      </w:r>
    </w:p>
  </w:footnote>
  <w:footnote w:id="5">
    <w:p>
      <w:pPr>
        <w:pStyle w:val="Default"/>
        <w:rPr>
          <w:sz w:val="16"/>
          <w:szCs w:val="16"/>
        </w:rPr>
      </w:pPr>
      <w:r>
        <w:rPr>
          <w:rStyle w:val="FootnoteReference"/>
          <w:sz w:val="16"/>
          <w:szCs w:val="16"/>
        </w:rPr>
        <w:footnoteRef/>
      </w:r>
      <w:r>
        <w:rPr>
          <w:sz w:val="16"/>
          <w:szCs w:val="16"/>
        </w:rPr>
        <w:t xml:space="preserve"> Avots: PTO (PTO Makao tirdzniecības politikas pārskats, sekretariāta ziņojums, 2020. gada novembris). </w:t>
      </w:r>
    </w:p>
  </w:footnote>
  <w:footnote w:id="6">
    <w:p>
      <w:pPr>
        <w:pStyle w:val="Default"/>
        <w:rPr>
          <w:sz w:val="16"/>
          <w:szCs w:val="16"/>
        </w:rPr>
      </w:pPr>
      <w:r>
        <w:rPr>
          <w:rStyle w:val="FootnoteReference"/>
          <w:sz w:val="16"/>
          <w:szCs w:val="16"/>
        </w:rPr>
        <w:footnoteRef/>
      </w:r>
      <w:r>
        <w:rPr>
          <w:sz w:val="16"/>
          <w:szCs w:val="16"/>
        </w:rPr>
        <w:t xml:space="preserve"> Saskaņā ar PTO datiem pasākumu skaits laikposmā no 2012. līdz 2019. gadam palielinājās par 50 %, pirms šo nozari smagi skāra pandēmija.</w:t>
      </w:r>
    </w:p>
    <w:p>
      <w:pPr>
        <w:autoSpaceDE w:val="0"/>
        <w:autoSpaceDN w:val="0"/>
        <w:adjustRightInd w:val="0"/>
        <w:spacing w:after="0" w:line="240" w:lineRule="auto"/>
        <w:rPr>
          <w:rFonts w:ascii="Verdana" w:hAnsi="Verdana" w:cs="Verdana"/>
          <w:color w:val="000000"/>
          <w:sz w:val="18"/>
          <w:szCs w:val="18"/>
        </w:rPr>
      </w:pPr>
    </w:p>
    <w:p>
      <w:pPr>
        <w:autoSpaceDE w:val="0"/>
        <w:autoSpaceDN w:val="0"/>
        <w:adjustRightInd w:val="0"/>
        <w:spacing w:after="0" w:line="240" w:lineRule="auto"/>
        <w:rPr>
          <w:rFonts w:ascii="Verdana" w:hAnsi="Verdana" w:cs="Verdana"/>
          <w:color w:val="000000"/>
          <w:sz w:val="18"/>
          <w:szCs w:val="18"/>
        </w:rPr>
      </w:pPr>
    </w:p>
    <w:p>
      <w:pPr>
        <w:pStyle w:val="FootnoteText"/>
      </w:pPr>
    </w:p>
  </w:footnote>
  <w:footnote w:id="7">
    <w:p>
      <w:pPr>
        <w:pStyle w:val="FootnoteText"/>
        <w:rPr>
          <w:sz w:val="16"/>
          <w:szCs w:val="16"/>
        </w:rPr>
      </w:pPr>
      <w:r>
        <w:rPr>
          <w:rStyle w:val="FootnoteReference"/>
          <w:sz w:val="16"/>
          <w:szCs w:val="16"/>
        </w:rPr>
        <w:footnoteRef/>
      </w:r>
      <w:r>
        <w:t xml:space="preserve"> ES-27 rādītāji.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2317"/>
      <w:docPartObj>
        <w:docPartGallery w:val="Page Numbers (Top of Page)"/>
        <w:docPartUnique/>
      </w:docPartObj>
    </w:sdtPr>
    <w:sdtEndPr>
      <w:rPr>
        <w:noProof/>
      </w:rPr>
    </w:sdtEndPr>
    <w:sdtContent>
      <w:p>
        <w:pPr>
          <w:pStyle w:val="Header"/>
          <w:jc w:val="center"/>
        </w:pPr>
      </w:p>
      <w:p>
        <w:pPr>
          <w:pStyle w:val="Header"/>
          <w:jc w:val="center"/>
        </w:pPr>
      </w:p>
    </w:sdtContent>
  </w:sdt>
  <w:p>
    <w:pPr>
      <w:pStyle w:val="Header"/>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4D2E102-7D3A-40D9-B17F-434DE540F889"/>
    <w:docVar w:name="LW_COVERPAGE_TYPE" w:val="1"/>
    <w:docVar w:name="LW_CROSSREFERENCE" w:val="&lt;UNUSED&gt;"/>
    <w:docVar w:name="LW_DocType" w:val="NORMAL"/>
    <w:docVar w:name="LW_EMISSION" w:val="12.3.2021"/>
    <w:docVar w:name="LW_EMISSION_ISODATE" w:val="2021-03-12"/>
    <w:docVar w:name="LW_EMISSION_LOCATION" w:val="BRX"/>
    <w:docVar w:name="LW_EMISSION_PREFIX" w:val="Briselē, "/>
    <w:docVar w:name="LW_EMISSION_SUFFIX" w:val="."/>
    <w:docVar w:name="LW_ID_DOCTYPE_NONLW" w:val="CP-018"/>
    <w:docVar w:name="LW_LANGUE" w:val="LV"/>
    <w:docVar w:name="LW_LEVEL_OF_SENSITIVITY" w:val="Standard treatment"/>
    <w:docVar w:name="LW_NOM.INST" w:val="EIROPAS KOMISIJA"/>
    <w:docVar w:name="LW_NOM.INST_JOINTDOC" w:val="SAVIEN\u298?BAS AUGSTAIS_x000b_P\u256?RST\u256?VIS \u256?RLIET\u256?S UN_x000b_DRO\u352?\u298?BAS POLITIKAS_x000b_JAUT\u256?JUMOS"/>
    <w:docVar w:name="LW_PART_NBR" w:val="1"/>
    <w:docVar w:name="LW_PART_NBR_TOTAL" w:val="1"/>
    <w:docVar w:name="LW_REF.INST.NEW" w:val="JOIN"/>
    <w:docVar w:name="LW_REF.INST.NEW_ADOPTED" w:val="final"/>
    <w:docVar w:name="LW_REF.INST.NEW_TEXT" w:val="(2021)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Makao \u298?pa\u353?\u257?s P\u257?rvaldes Apgabals:&lt;/FMT&gt;_x000d__x000b_&lt;FMT:Bold&gt;2020. gada zi\u326?ojums&lt;/FMT&gt;"/>
    <w:docVar w:name="LW_TYPE.DOC.CP" w:val="KOP\u298?G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lv-LV"/>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rPr>
      <w:rFonts w:ascii="Times New Roman" w:hAnsi="Times New Roman" w:cs="Times New Roman"/>
      <w:b/>
      <w:bCs/>
      <w:sz w:val="27"/>
      <w:szCs w:val="27"/>
      <w:lang w:eastAsia="en-GB"/>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lv-LV"/>
    </w:rPr>
  </w:style>
  <w:style w:type="character" w:styleId="FootnoteReference">
    <w:name w:val="footnote reference"/>
    <w:uiPriority w:val="99"/>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mf.org/en/Topics/imf-and-covid19/%20Policy-Responses-to-COVID-19" TargetMode="External"/><Relationship Id="rId1" Type="http://schemas.openxmlformats.org/officeDocument/2006/relationships/hyperlink" Target="https://www.dsec.gov.mo/getAttachment/a2e7f250-4bc5-4df1-917c-77f2af58193c/E_IE_PUB_2019_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07BC-8FFB-475F-9190-2322F787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2747</Words>
  <Characters>17915</Characters>
  <Application>Microsoft Office Word</Application>
  <DocSecurity>0</DocSecurity>
  <Lines>325</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2021-03-15T14:30:00Z</dcterms:created>
  <dcterms:modified xsi:type="dcterms:W3CDTF">2021-03-16T09:21:00Z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CP-018</vt:lpwstr>
  </property>
  <property fmtid="{D5CDD505-2E9C-101B-9397-08002B2CF9AE}" pid="7" name="Last edited using">
    <vt:lpwstr>LW 7.0, Build 20190717</vt:lpwstr>
  </property>
  <property fmtid="{D5CDD505-2E9C-101B-9397-08002B2CF9AE}" pid="8" name="Created using">
    <vt:lpwstr>LW 7.0, Build 20190717</vt:lpwstr>
  </property>
</Properties>
</file>