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42D7BF6-FFFC-4980-BF53-376AC66AF3E3" style="width:450.75pt;height:30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0" w:line="240" w:lineRule="auto"/>
        <w:jc w:val="center"/>
        <w:rPr>
          <w:rFonts w:ascii="Times New Roman" w:hAnsi="Times New Roman"/>
          <w:b/>
          <w:smallCaps/>
          <w:noProof/>
          <w:sz w:val="24"/>
          <w:szCs w:val="24"/>
        </w:rPr>
      </w:pPr>
      <w:bookmarkStart w:id="1" w:name="_GoBack"/>
      <w:bookmarkEnd w:id="1"/>
      <w:r>
        <w:rPr>
          <w:rFonts w:ascii="Times New Roman" w:hAnsi="Times New Roman"/>
          <w:b/>
          <w:smallCaps/>
          <w:noProof/>
          <w:sz w:val="24"/>
          <w:szCs w:val="24"/>
        </w:rPr>
        <w:lastRenderedPageBreak/>
        <w:t>RAPORT COMUN CĂTRE PARLAMENTUL EUROPEAN ȘI CONSILIU</w:t>
      </w:r>
    </w:p>
    <w:p>
      <w:pPr>
        <w:spacing w:after="0" w:line="240" w:lineRule="auto"/>
        <w:jc w:val="center"/>
        <w:rPr>
          <w:rFonts w:ascii="Times New Roman" w:hAnsi="Times New Roman"/>
          <w:b/>
          <w:smallCaps/>
          <w:noProof/>
          <w:sz w:val="24"/>
          <w:szCs w:val="24"/>
        </w:rPr>
      </w:pPr>
    </w:p>
    <w:p>
      <w:pPr>
        <w:spacing w:after="0" w:line="240" w:lineRule="auto"/>
        <w:jc w:val="center"/>
        <w:rPr>
          <w:rFonts w:ascii="Times New Roman" w:eastAsia="Times New Roman" w:hAnsi="Times New Roman" w:cs="Times New Roman"/>
          <w:noProof/>
          <w:sz w:val="24"/>
          <w:szCs w:val="24"/>
        </w:rPr>
      </w:pPr>
      <w:r>
        <w:rPr>
          <w:rFonts w:ascii="Times New Roman" w:hAnsi="Times New Roman"/>
          <w:b/>
          <w:bCs/>
          <w:noProof/>
          <w:sz w:val="24"/>
          <w:szCs w:val="24"/>
        </w:rPr>
        <w:t>REGIUNEA ADMINISTRATIVĂ SPECIALĂ MACAO:</w:t>
      </w:r>
    </w:p>
    <w:p>
      <w:pPr>
        <w:spacing w:after="0" w:line="240" w:lineRule="auto"/>
        <w:jc w:val="center"/>
        <w:rPr>
          <w:rFonts w:ascii="Times New Roman" w:eastAsia="Times New Roman" w:hAnsi="Times New Roman" w:cs="Times New Roman"/>
          <w:noProof/>
          <w:sz w:val="24"/>
          <w:szCs w:val="24"/>
          <w:lang w:eastAsia="en-GB"/>
        </w:rPr>
      </w:pPr>
    </w:p>
    <w:p>
      <w:pPr>
        <w:spacing w:after="0" w:line="240" w:lineRule="auto"/>
        <w:jc w:val="center"/>
        <w:rPr>
          <w:rFonts w:ascii="Times New Roman" w:eastAsia="Times New Roman" w:hAnsi="Times New Roman" w:cs="Times New Roman"/>
          <w:noProof/>
          <w:sz w:val="24"/>
          <w:szCs w:val="24"/>
        </w:rPr>
      </w:pPr>
      <w:r>
        <w:rPr>
          <w:rFonts w:ascii="Times New Roman" w:hAnsi="Times New Roman"/>
          <w:b/>
          <w:bCs/>
          <w:noProof/>
          <w:sz w:val="24"/>
          <w:szCs w:val="24"/>
        </w:rPr>
        <w:t>RAPORT ANUAL PENTRU 2020</w:t>
      </w:r>
    </w:p>
    <w:p>
      <w:pPr>
        <w:spacing w:after="0"/>
        <w:jc w:val="both"/>
        <w:rPr>
          <w:rFonts w:ascii="Times New Roman" w:hAnsi="Times New Roman"/>
          <w:b/>
          <w:noProof/>
          <w:sz w:val="24"/>
          <w:szCs w:val="24"/>
        </w:rPr>
      </w:pPr>
    </w:p>
    <w:p>
      <w:pPr>
        <w:spacing w:after="0"/>
        <w:jc w:val="both"/>
        <w:rPr>
          <w:rFonts w:ascii="Times New Roman" w:hAnsi="Times New Roman"/>
          <w:b/>
          <w:noProof/>
          <w:sz w:val="24"/>
          <w:szCs w:val="24"/>
        </w:rPr>
      </w:pPr>
      <w:r>
        <w:rPr>
          <w:rFonts w:ascii="Times New Roman" w:hAnsi="Times New Roman"/>
          <w:b/>
          <w:noProof/>
          <w:sz w:val="24"/>
          <w:szCs w:val="24"/>
        </w:rPr>
        <w:t>Rezumat</w:t>
      </w:r>
    </w:p>
    <w:p>
      <w:pPr>
        <w:spacing w:after="0"/>
        <w:jc w:val="both"/>
        <w:rPr>
          <w:rFonts w:ascii="Times New Roman" w:hAnsi="Times New Roman"/>
          <w:b/>
          <w:noProof/>
          <w:sz w:val="24"/>
          <w:szCs w:val="24"/>
        </w:rPr>
      </w:pP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De la retrocedarea regiunii Macao către Republica Populară Chineză în 1999, Uniunea Europeană (UE) și statele membre ale acesteia au urmărit îndeaproape evoluția situației politice și economice din Regiunea Administrativă Specială (RAS) Macao, în temeiul principiului „o țară, două sisteme”. UE susține principiul „o țară, două sisteme” și punerea în aplicare a acestuia, iar prezentul raport anual privind evoluția situației din Macao este elaborat în conformitate cu angajamentul asumat, în 1997, față de Parlamentul European. </w:t>
      </w:r>
    </w:p>
    <w:p>
      <w:pPr>
        <w:spacing w:after="0" w:line="240" w:lineRule="auto"/>
        <w:jc w:val="both"/>
        <w:rPr>
          <w:rFonts w:ascii="Times New Roman" w:hAnsi="Times New Roman"/>
          <w:noProof/>
          <w:color w:val="000000"/>
          <w:sz w:val="24"/>
          <w:szCs w:val="24"/>
        </w:rPr>
      </w:pPr>
    </w:p>
    <w:p>
      <w:pPr>
        <w:spacing w:after="0" w:line="240" w:lineRule="auto"/>
        <w:jc w:val="both"/>
        <w:rPr>
          <w:rFonts w:ascii="Times New Roman" w:eastAsia="Times New Roman" w:hAnsi="Times New Roman"/>
          <w:noProof/>
          <w:sz w:val="24"/>
          <w:szCs w:val="24"/>
        </w:rPr>
      </w:pPr>
      <w:r>
        <w:rPr>
          <w:rFonts w:ascii="Times New Roman" w:hAnsi="Times New Roman"/>
          <w:noProof/>
          <w:color w:val="000000"/>
          <w:sz w:val="24"/>
          <w:szCs w:val="24"/>
        </w:rPr>
        <w:t xml:space="preserve">În 2020, principiul „o țară, două sisteme” a continuat să fie pus în aplicare, astfel cum se prevede în </w:t>
      </w:r>
      <w:r>
        <w:rPr>
          <w:rFonts w:ascii="Times New Roman" w:hAnsi="Times New Roman"/>
          <w:noProof/>
          <w:sz w:val="24"/>
          <w:szCs w:val="24"/>
        </w:rPr>
        <w:t>Legea fundamentală a regiunii Macao</w:t>
      </w:r>
      <w:r>
        <w:rPr>
          <w:rFonts w:ascii="Times New Roman" w:hAnsi="Times New Roman"/>
          <w:noProof/>
          <w:color w:val="000000"/>
          <w:sz w:val="24"/>
          <w:szCs w:val="24"/>
        </w:rPr>
        <w:t xml:space="preserve">. </w:t>
      </w:r>
    </w:p>
    <w:p>
      <w:pPr>
        <w:autoSpaceDE w:val="0"/>
        <w:autoSpaceDN w:val="0"/>
        <w:adjustRightInd w:val="0"/>
        <w:spacing w:after="0" w:line="240" w:lineRule="auto"/>
        <w:jc w:val="both"/>
        <w:rPr>
          <w:rFonts w:ascii="Times New Roman" w:eastAsia="Times New Roman" w:hAnsi="Times New Roman"/>
          <w:noProof/>
          <w:sz w:val="24"/>
          <w:szCs w:val="24"/>
        </w:rPr>
      </w:pPr>
    </w:p>
    <w:p>
      <w:pPr>
        <w:autoSpaceDE w:val="0"/>
        <w:autoSpaceDN w:val="0"/>
        <w:adjustRightInd w:val="0"/>
        <w:spacing w:after="0" w:line="240" w:lineRule="auto"/>
        <w:jc w:val="both"/>
        <w:rPr>
          <w:rFonts w:ascii="Times New Roman" w:eastAsia="Times New Roman" w:hAnsi="Times New Roman"/>
          <w:noProof/>
          <w:sz w:val="24"/>
          <w:szCs w:val="24"/>
        </w:rPr>
      </w:pPr>
      <w:r>
        <w:rPr>
          <w:rFonts w:ascii="Times New Roman" w:hAnsi="Times New Roman"/>
          <w:noProof/>
          <w:sz w:val="24"/>
          <w:szCs w:val="24"/>
        </w:rPr>
        <w:t>Drepturile și libertățile fundamentale ale populației din Macao au continuat să fie, în general, respectate, iar statul de drept a fost respectat în temeiul principiului „o țară, două sisteme”. Mass-media din Macao a continuat să exprime o gamă largă de opinii, chiar dacă au existat anumite îngrijorări legate de intensificarea autocenzurii.</w:t>
      </w:r>
    </w:p>
    <w:p>
      <w:pPr>
        <w:autoSpaceDE w:val="0"/>
        <w:autoSpaceDN w:val="0"/>
        <w:adjustRightInd w:val="0"/>
        <w:spacing w:after="0" w:line="240" w:lineRule="auto"/>
        <w:jc w:val="both"/>
        <w:rPr>
          <w:rFonts w:ascii="Times New Roman" w:eastAsia="Times New Roman" w:hAnsi="Times New Roman"/>
          <w:noProof/>
          <w:sz w:val="24"/>
          <w:szCs w:val="24"/>
        </w:rPr>
      </w:pPr>
    </w:p>
    <w:p>
      <w:pPr>
        <w:autoSpaceDE w:val="0"/>
        <w:autoSpaceDN w:val="0"/>
        <w:adjustRightInd w:val="0"/>
        <w:spacing w:after="0" w:line="240" w:lineRule="auto"/>
        <w:jc w:val="both"/>
        <w:rPr>
          <w:rFonts w:ascii="Times New Roman" w:eastAsia="Times New Roman" w:hAnsi="Times New Roman"/>
          <w:noProof/>
          <w:sz w:val="24"/>
          <w:szCs w:val="24"/>
        </w:rPr>
      </w:pPr>
      <w:r>
        <w:rPr>
          <w:rFonts w:ascii="Times New Roman" w:hAnsi="Times New Roman"/>
          <w:noProof/>
          <w:sz w:val="24"/>
          <w:szCs w:val="24"/>
        </w:rPr>
        <w:t>Cu toate că Legea fundamentală și alte acte legislative nu prevăd introducerea votului universal, UE încurajează autoritățile din Macao să asigure o implicare sporită a publicului în alegerea șefului executivului și a membrilor Adunării legislative.</w:t>
      </w:r>
    </w:p>
    <w:p>
      <w:pPr>
        <w:autoSpaceDE w:val="0"/>
        <w:autoSpaceDN w:val="0"/>
        <w:adjustRightInd w:val="0"/>
        <w:spacing w:after="0" w:line="240" w:lineRule="auto"/>
        <w:jc w:val="both"/>
        <w:rPr>
          <w:rFonts w:ascii="Times New Roman" w:eastAsia="Times New Roman" w:hAnsi="Times New Roman"/>
          <w:noProof/>
          <w:sz w:val="24"/>
          <w:szCs w:val="24"/>
        </w:rPr>
      </w:pPr>
    </w:p>
    <w:p>
      <w:pPr>
        <w:pStyle w:val="Default"/>
        <w:jc w:val="both"/>
        <w:rPr>
          <w:noProof/>
        </w:rPr>
      </w:pPr>
      <w:r>
        <w:rPr>
          <w:noProof/>
        </w:rPr>
        <w:t xml:space="preserve">Pe plan economic, deși guvernul a luat măsuri eficace pentru a limita răspândirea COVID-19, economia RAS a fost puternic afectată de pandemie, iar PIB-ul a scăzut drastic. Acest lucru se explică în mare măsură prin faptul că, în pofida eforturilor guvernului de a diversifica economia regiunii Macao, aceasta se bazează încă în mare măsură pe jocurile de noroc și pe turism. Ca urmare a restricțiilor privind călătoriile, numărul de turiști care au vizitat RAS în cursul anului nu a fost niciodată atât de scăzut. </w:t>
      </w:r>
    </w:p>
    <w:p>
      <w:pPr>
        <w:pStyle w:val="Default"/>
        <w:jc w:val="both"/>
        <w:rPr>
          <w:rFonts w:eastAsiaTheme="minorHAnsi"/>
          <w:noProof/>
        </w:rPr>
      </w:pPr>
    </w:p>
    <w:p>
      <w:pPr>
        <w:autoSpaceDE w:val="0"/>
        <w:autoSpaceDN w:val="0"/>
        <w:adjustRightInd w:val="0"/>
        <w:spacing w:after="0" w:line="240" w:lineRule="auto"/>
        <w:jc w:val="both"/>
        <w:rPr>
          <w:rFonts w:ascii="Times New Roman" w:eastAsia="Times New Roman" w:hAnsi="Times New Roman"/>
          <w:noProof/>
          <w:sz w:val="24"/>
          <w:szCs w:val="24"/>
        </w:rPr>
      </w:pPr>
      <w:r>
        <w:rPr>
          <w:rFonts w:ascii="Times New Roman" w:hAnsi="Times New Roman"/>
          <w:noProof/>
          <w:sz w:val="24"/>
          <w:szCs w:val="24"/>
        </w:rPr>
        <w:t>S-au înregistrat unele progrese legislative cu privire la aspecte sociale importante, cum ar fi salariul minim, concediul de maternitate și de paternitate și legile care reglementează agențiile de ocupare a forței de muncă.</w:t>
      </w:r>
    </w:p>
    <w:p>
      <w:pPr>
        <w:pStyle w:val="Default"/>
        <w:jc w:val="both"/>
        <w:rPr>
          <w:noProof/>
        </w:rPr>
      </w:pPr>
    </w:p>
    <w:p>
      <w:pPr>
        <w:pStyle w:val="Default"/>
        <w:jc w:val="both"/>
        <w:rPr>
          <w:noProof/>
        </w:rPr>
      </w:pPr>
      <w:r>
        <w:rPr>
          <w:noProof/>
        </w:rPr>
        <w:t xml:space="preserve">Deși guvernul a pus în aplicare măsuri de sprijin pentru populație și întreprinderi, iar piața muncii a rezistat cu succes, redresarea economică în RAS va depinde în mare măsură de momentul în care turiștii din China continentală vor reveni în Macao, precum și de numărul acestora. Pe termen mai lung, diversificarea economică și integrarea regională rămân strategiile-cheie. </w:t>
      </w:r>
    </w:p>
    <w:p>
      <w:pPr>
        <w:spacing w:after="0" w:line="240" w:lineRule="auto"/>
        <w:jc w:val="both"/>
        <w:rPr>
          <w:rFonts w:ascii="Times New Roman" w:eastAsia="Times New Roman" w:hAnsi="Times New Roman"/>
          <w:b/>
          <w:noProof/>
          <w:sz w:val="24"/>
          <w:szCs w:val="24"/>
        </w:rPr>
      </w:pPr>
    </w:p>
    <w:p>
      <w:pPr>
        <w:spacing w:after="0" w:line="240" w:lineRule="auto"/>
        <w:jc w:val="both"/>
        <w:rPr>
          <w:rFonts w:ascii="Times New Roman" w:eastAsia="Times New Roman" w:hAnsi="Times New Roman"/>
          <w:b/>
          <w:noProof/>
          <w:sz w:val="24"/>
          <w:szCs w:val="24"/>
          <w:u w:val="single"/>
        </w:rPr>
      </w:pPr>
      <w:r>
        <w:rPr>
          <w:rFonts w:ascii="Times New Roman" w:hAnsi="Times New Roman"/>
          <w:b/>
          <w:noProof/>
          <w:sz w:val="24"/>
          <w:szCs w:val="24"/>
          <w:u w:val="single"/>
        </w:rPr>
        <w:t>I. Evoluția situației politice și economice</w:t>
      </w:r>
    </w:p>
    <w:p>
      <w:pPr>
        <w:spacing w:after="0" w:line="240" w:lineRule="auto"/>
        <w:jc w:val="both"/>
        <w:rPr>
          <w:rFonts w:ascii="Times New Roman" w:eastAsiaTheme="minorEastAsia" w:hAnsi="Times New Roman"/>
          <w:b/>
          <w:noProof/>
          <w:sz w:val="24"/>
          <w:szCs w:val="24"/>
          <w:lang w:eastAsia="zh-CN"/>
        </w:rPr>
      </w:pPr>
    </w:p>
    <w:p>
      <w:pPr>
        <w:spacing w:after="0" w:line="240" w:lineRule="auto"/>
        <w:jc w:val="both"/>
        <w:rPr>
          <w:rFonts w:ascii="Times New Roman" w:eastAsiaTheme="minorEastAsia" w:hAnsi="Times New Roman"/>
          <w:noProof/>
          <w:sz w:val="24"/>
          <w:szCs w:val="24"/>
        </w:rPr>
      </w:pPr>
      <w:r>
        <w:rPr>
          <w:rFonts w:ascii="Times New Roman" w:hAnsi="Times New Roman"/>
          <w:noProof/>
          <w:sz w:val="24"/>
          <w:szCs w:val="24"/>
        </w:rPr>
        <w:t>În cursul anului, nu s-au înregistrat schimbări majore în rândul înalților funcționari din cadrul guvernului regiunii Macao.</w:t>
      </w:r>
    </w:p>
    <w:p>
      <w:pPr>
        <w:spacing w:after="0" w:line="240" w:lineRule="auto"/>
        <w:jc w:val="both"/>
        <w:rPr>
          <w:rFonts w:ascii="Times New Roman" w:eastAsiaTheme="minorEastAsia" w:hAnsi="Times New Roman"/>
          <w:noProof/>
          <w:sz w:val="24"/>
          <w:szCs w:val="24"/>
          <w:lang w:eastAsia="zh-CN"/>
        </w:rPr>
      </w:pPr>
    </w:p>
    <w:p>
      <w:pPr>
        <w:spacing w:after="0" w:line="240" w:lineRule="auto"/>
        <w:jc w:val="both"/>
        <w:rPr>
          <w:rFonts w:ascii="Times New Roman" w:eastAsiaTheme="minorEastAsia" w:hAnsi="Times New Roman"/>
          <w:noProof/>
          <w:sz w:val="24"/>
          <w:szCs w:val="24"/>
        </w:rPr>
      </w:pPr>
      <w:r>
        <w:rPr>
          <w:rFonts w:ascii="Times New Roman" w:hAnsi="Times New Roman"/>
          <w:noProof/>
          <w:sz w:val="24"/>
          <w:szCs w:val="24"/>
        </w:rPr>
        <w:t>Securitatea națională a rămas o problemă importantă în cadrul discursului guvernului regiunii Macao, administrația centrală încurajând unele ajustări ale mecanismelor juridice și de asigurare a respectării legii în vederea apărării securității naționale. În luna octombrie, poliția judiciară a înființat o nouă unitate de securitate națională, care este formată dintr-o divizie de informații, o divizie de investigare a infracțiunilor, o divizie de sprijin operațional, o divizie pentru probleme generale, o divizie de alertă cu privire la infracțiunile de terorism și de investigare a acestor infracțiuni și o divizie de securitate cibernetică. La 16 noiembrie, șeful executivului a afirmat, în discursul său privind politica generală, că guvernul va elabora o lege care să protejeze documentele confidențiale și va întocmi un plan care va detalia noi proceduri nespecificate în contextul Legii privind securitatea națională. În prezent, nu există indicii referitoare la existența unor planuri care să urmeze abordarea din Hong Kong în ceea ce privește instituirea, în RAS Macao, a unor structuri care să asigure respectarea legislației de pe continent.</w:t>
      </w:r>
    </w:p>
    <w:p>
      <w:pPr>
        <w:spacing w:after="0" w:line="240" w:lineRule="auto"/>
        <w:jc w:val="both"/>
        <w:rPr>
          <w:rFonts w:ascii="Times New Roman" w:eastAsiaTheme="minorEastAsia" w:hAnsi="Times New Roman"/>
          <w:noProof/>
          <w:sz w:val="24"/>
          <w:szCs w:val="24"/>
          <w:lang w:eastAsia="zh-CN"/>
        </w:rPr>
      </w:pPr>
    </w:p>
    <w:p>
      <w:pPr>
        <w:spacing w:after="0" w:line="240" w:lineRule="auto"/>
        <w:jc w:val="both"/>
        <w:rPr>
          <w:rFonts w:ascii="Times New Roman" w:eastAsiaTheme="minorEastAsia" w:hAnsi="Times New Roman"/>
          <w:noProof/>
          <w:sz w:val="24"/>
          <w:szCs w:val="24"/>
        </w:rPr>
      </w:pPr>
      <w:r>
        <w:rPr>
          <w:rFonts w:ascii="Times New Roman" w:hAnsi="Times New Roman"/>
          <w:noProof/>
          <w:sz w:val="24"/>
          <w:szCs w:val="24"/>
        </w:rPr>
        <w:t>Șeful executivului a inițiat o serie de reforme ale administrației publice. Acesta a anunțat intenția de a restructura o primă serie de servicii guvernamentale, inclusiv fuziunea dintre Biroul pentru educație și tineret și Biroul pentru învățământul superior. Guvernul s-a angajat să sporească guvernanța electronică și să îmbunătățească mecanismul de recrutare a funcționarilor publici.</w:t>
      </w:r>
    </w:p>
    <w:p>
      <w:pPr>
        <w:spacing w:after="0" w:line="240" w:lineRule="auto"/>
        <w:jc w:val="both"/>
        <w:rPr>
          <w:rFonts w:ascii="Times New Roman" w:eastAsiaTheme="minorEastAsia" w:hAnsi="Times New Roman"/>
          <w:noProof/>
          <w:sz w:val="24"/>
          <w:szCs w:val="24"/>
          <w:lang w:eastAsia="zh-CN"/>
        </w:rPr>
      </w:pPr>
    </w:p>
    <w:p>
      <w:pPr>
        <w:spacing w:after="0" w:line="240" w:lineRule="auto"/>
        <w:jc w:val="both"/>
        <w:rPr>
          <w:rFonts w:ascii="Times New Roman" w:eastAsia="Times New Roman" w:hAnsi="Times New Roman"/>
          <w:noProof/>
          <w:sz w:val="24"/>
          <w:szCs w:val="24"/>
        </w:rPr>
      </w:pPr>
      <w:r>
        <w:rPr>
          <w:rFonts w:ascii="Times New Roman" w:hAnsi="Times New Roman"/>
          <w:noProof/>
          <w:sz w:val="24"/>
          <w:szCs w:val="24"/>
        </w:rPr>
        <w:t>Guvernul a luat măsuri pentru a consolida protecția drepturilor lucrătorilor. La 16 aprilie, Adunarea legislativă a adoptat Legea privind salariul minim al angajaților, care a intrat în vigoare la 1 noiembrie, fiind prima lege atât de completă în acest domeniu din Macao. Legea prevede că angajații din sectorul privat – cu excepția lucrătorilor casnici și a lucrătorilor cu handicap – trebuie să primească un salariu minim legal de 32 MOP pe oră. Salariul minim va fi analizat la fiecare doi ani, iar guvernul a declarat, de asemenea, că, în cazul în care salariul acordat persoanelor cu handicap se situează sub nivelul salariului minim, va acoperi diferența.</w:t>
      </w:r>
    </w:p>
    <w:p>
      <w:pPr>
        <w:spacing w:after="0" w:line="240" w:lineRule="auto"/>
        <w:rPr>
          <w:rFonts w:ascii="Times New Roman" w:eastAsia="Times New Roman" w:hAnsi="Times New Roman"/>
          <w:noProof/>
          <w:sz w:val="24"/>
          <w:szCs w:val="24"/>
        </w:rPr>
      </w:pPr>
    </w:p>
    <w:p>
      <w:pPr>
        <w:spacing w:after="0" w:line="240" w:lineRule="auto"/>
        <w:jc w:val="both"/>
        <w:rPr>
          <w:rFonts w:ascii="Times New Roman" w:eastAsiaTheme="minorEastAsia" w:hAnsi="Times New Roman"/>
          <w:noProof/>
          <w:sz w:val="24"/>
          <w:szCs w:val="24"/>
        </w:rPr>
      </w:pPr>
      <w:r>
        <w:rPr>
          <w:rFonts w:ascii="Times New Roman" w:hAnsi="Times New Roman"/>
          <w:noProof/>
          <w:sz w:val="24"/>
          <w:szCs w:val="24"/>
        </w:rPr>
        <w:t xml:space="preserve">Șeful executivului a precizat că guvernul va introduce o legislație privind sindicatele pentru a proteja drepturile lucrătorilor, după respingerea repetată a măsurilor propuse de deputații pro-democrație. </w:t>
      </w:r>
    </w:p>
    <w:p>
      <w:pPr>
        <w:spacing w:after="0" w:line="240" w:lineRule="auto"/>
        <w:jc w:val="both"/>
        <w:rPr>
          <w:rFonts w:ascii="Times New Roman" w:eastAsiaTheme="minorEastAsia" w:hAnsi="Times New Roman"/>
          <w:noProof/>
          <w:sz w:val="24"/>
          <w:szCs w:val="24"/>
          <w:lang w:eastAsia="zh-CN"/>
        </w:rPr>
      </w:pPr>
    </w:p>
    <w:p>
      <w:pPr>
        <w:spacing w:after="0" w:line="240" w:lineRule="auto"/>
        <w:jc w:val="both"/>
        <w:rPr>
          <w:rFonts w:eastAsiaTheme="minorEastAsia"/>
          <w:noProof/>
          <w:sz w:val="24"/>
          <w:szCs w:val="24"/>
        </w:rPr>
      </w:pPr>
      <w:r>
        <w:rPr>
          <w:rFonts w:ascii="Times New Roman" w:hAnsi="Times New Roman"/>
          <w:noProof/>
          <w:sz w:val="24"/>
          <w:szCs w:val="24"/>
        </w:rPr>
        <w:t xml:space="preserve">O nouă lege de reglementare a agențiilor de ocupare a forței de muncă a fost adoptată la 4 septembrie și va intra în vigoare în martie 2021. Legea urmărește să îi protejeze atât pe potențialii angajați, cât și pe angajatori, acordând o atenție specială persoanelor care vin să lucreze din străinătate. De exemplu, taxele percepute potențialilor angajați nu ar trebui să depășească jumătate din salariul lor de bază din prima lună, astfel cum este prevăzut în contractul de muncă. </w:t>
      </w:r>
    </w:p>
    <w:p>
      <w:pPr>
        <w:spacing w:after="0" w:line="240" w:lineRule="auto"/>
        <w:jc w:val="both"/>
        <w:rPr>
          <w:rFonts w:ascii="Times New Roman" w:hAnsi="Times New Roman"/>
          <w:noProof/>
          <w:sz w:val="24"/>
          <w:szCs w:val="24"/>
        </w:rPr>
      </w:pPr>
    </w:p>
    <w:p>
      <w:pPr>
        <w:spacing w:after="0" w:line="240" w:lineRule="auto"/>
        <w:jc w:val="both"/>
        <w:rPr>
          <w:rFonts w:ascii="Times New Roman" w:eastAsia="Times New Roman" w:hAnsi="Times New Roman"/>
          <w:noProof/>
          <w:sz w:val="24"/>
          <w:szCs w:val="24"/>
        </w:rPr>
      </w:pPr>
      <w:r>
        <w:rPr>
          <w:rFonts w:ascii="Times New Roman" w:hAnsi="Times New Roman"/>
          <w:noProof/>
          <w:sz w:val="24"/>
          <w:szCs w:val="24"/>
        </w:rPr>
        <w:t>Concediul de maternitate legal a fost prelungit în 2020 de la 56 la 70 de zile. Noile dispoziții legale prevăd, de asemenea, cinci zile de concediu de paternitate, față de două zile de concediu fără plată. Cu toate acestea, dispozițiile din Macao privind maternitatea și paternitatea rămân lipsite de generozitate în raport cu standardele mondiale.</w:t>
      </w:r>
    </w:p>
    <w:p>
      <w:pPr>
        <w:spacing w:after="0" w:line="240" w:lineRule="auto"/>
        <w:jc w:val="both"/>
        <w:rPr>
          <w:rFonts w:ascii="Times New Roman" w:eastAsia="Times New Roman" w:hAnsi="Times New Roman"/>
          <w:noProof/>
          <w:sz w:val="24"/>
          <w:szCs w:val="24"/>
        </w:rPr>
      </w:pPr>
    </w:p>
    <w:p>
      <w:pPr>
        <w:spacing w:after="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În luna august a intrat în vigoare un nou regim privind locuințele publice, acesta contribuind la îmbunătățirea condițiilor de viață a peste 2 200 de gospodării care îndeplineau condițiile necesare. Un amendament la Legea privind locuințele economice a modificat procedura de depunere a cererilor pentru schema de acces la o locuință în proprietate și a instituit un nou regim de revânzare. De asemenea, se prevede furnizarea de noi locuințe cu chirie subvenționată. </w:t>
      </w:r>
    </w:p>
    <w:p>
      <w:pPr>
        <w:spacing w:after="0" w:line="240" w:lineRule="auto"/>
        <w:jc w:val="both"/>
        <w:rPr>
          <w:rFonts w:ascii="Times New Roman" w:eastAsia="Times New Roman" w:hAnsi="Times New Roman"/>
          <w:noProof/>
          <w:sz w:val="24"/>
          <w:szCs w:val="24"/>
        </w:rPr>
      </w:pPr>
    </w:p>
    <w:p>
      <w:pPr>
        <w:pStyle w:val="Heading3"/>
        <w:spacing w:before="0" w:beforeAutospacing="0" w:after="0" w:afterAutospacing="0"/>
        <w:jc w:val="both"/>
        <w:rPr>
          <w:rFonts w:eastAsiaTheme="minorEastAsia"/>
          <w:b w:val="0"/>
          <w:noProof/>
          <w:sz w:val="24"/>
          <w:szCs w:val="24"/>
        </w:rPr>
      </w:pPr>
      <w:r>
        <w:rPr>
          <w:b w:val="0"/>
          <w:noProof/>
          <w:sz w:val="24"/>
          <w:szCs w:val="24"/>
        </w:rPr>
        <w:t xml:space="preserve">Guvernul RAS Macao a luat măsuri rapide și decisive pentru a controla răspândirea COVID­19, inclusiv dispunând suspendarea funcționării cazinourilor pentru două săptămâni în luna februarie și introducând măsuri de protecție la reluarea activității. Peste 20 de milioane de măști de protecție au fost puse la dispoziția publicului la prețuri accesibile, în cadrul unei scheme guvernamentale. Normele privind intrarea în Macao au fost modificate pentru a preveni importul de cazuri în primele zile ale pandemiei, intrarea nerezidenților din străinătate pe teritoriul său nemaifiind permisă începând cu data de 25 martie. </w:t>
      </w:r>
      <w:r>
        <w:rPr>
          <w:rStyle w:val="Emphasis"/>
          <w:b w:val="0"/>
          <w:i w:val="0"/>
          <w:iCs w:val="0"/>
          <w:noProof/>
          <w:sz w:val="24"/>
          <w:szCs w:val="24"/>
        </w:rPr>
        <w:t>La 4 februarie, serviciile de transport cu feribotul între Hong Kong și Macao au fost suspendate; la 5 aprilie, serviciile de transport cu autobuzul între Macao și Hong Kong au fost suspendate până la noi dispoziții.</w:t>
      </w:r>
      <w:r>
        <w:rPr>
          <w:b w:val="0"/>
          <w:noProof/>
          <w:sz w:val="24"/>
          <w:szCs w:val="24"/>
        </w:rPr>
        <w:t xml:space="preserve"> </w:t>
      </w:r>
    </w:p>
    <w:p>
      <w:pPr>
        <w:pStyle w:val="Heading3"/>
        <w:spacing w:before="0" w:beforeAutospacing="0" w:after="0" w:afterAutospacing="0"/>
        <w:jc w:val="both"/>
        <w:rPr>
          <w:rFonts w:eastAsiaTheme="minorEastAsia"/>
          <w:b w:val="0"/>
          <w:noProof/>
          <w:sz w:val="24"/>
          <w:szCs w:val="24"/>
          <w:lang w:eastAsia="zh-CN"/>
        </w:rPr>
      </w:pPr>
    </w:p>
    <w:p>
      <w:pPr>
        <w:pStyle w:val="Heading3"/>
        <w:spacing w:before="0" w:beforeAutospacing="0" w:after="0" w:afterAutospacing="0"/>
        <w:jc w:val="both"/>
        <w:rPr>
          <w:rFonts w:eastAsiaTheme="minorEastAsia"/>
          <w:b w:val="0"/>
          <w:noProof/>
          <w:sz w:val="24"/>
          <w:szCs w:val="24"/>
        </w:rPr>
      </w:pPr>
      <w:r>
        <w:rPr>
          <w:b w:val="0"/>
          <w:noProof/>
          <w:sz w:val="24"/>
          <w:szCs w:val="24"/>
        </w:rPr>
        <w:t>Începând cu luna august, autoritățile din China continentală și-au reluat activitatea de eliberare a vizelor care să le permită rezidenților să viziteze Macao pentru călătorii de agrement. În total, s-au înregistrat 46 de cazuri confirmate de COVID-19 și zero decese.</w:t>
      </w:r>
    </w:p>
    <w:p>
      <w:pPr>
        <w:pStyle w:val="Heading3"/>
        <w:spacing w:before="0" w:beforeAutospacing="0" w:after="0" w:afterAutospacing="0"/>
        <w:jc w:val="both"/>
        <w:rPr>
          <w:rFonts w:eastAsiaTheme="minorEastAsia"/>
          <w:b w:val="0"/>
          <w:noProof/>
          <w:sz w:val="24"/>
          <w:szCs w:val="24"/>
          <w:lang w:eastAsia="zh-CN"/>
        </w:rPr>
      </w:pPr>
    </w:p>
    <w:p>
      <w:pPr>
        <w:pStyle w:val="Heading3"/>
        <w:spacing w:before="0" w:beforeAutospacing="0" w:after="0" w:afterAutospacing="0"/>
        <w:jc w:val="both"/>
        <w:rPr>
          <w:rFonts w:eastAsiaTheme="minorEastAsia"/>
          <w:b w:val="0"/>
          <w:noProof/>
          <w:sz w:val="24"/>
          <w:szCs w:val="24"/>
        </w:rPr>
      </w:pPr>
      <w:r>
        <w:rPr>
          <w:b w:val="0"/>
          <w:noProof/>
          <w:sz w:val="24"/>
          <w:szCs w:val="24"/>
        </w:rPr>
        <w:t xml:space="preserve">În luna octombrie, într-un discurs susținut la ceremonia de deschidere a anului judiciar 2020/2021, președintele Înaltei Curți de Apel din Macao a făcut referire la provocările cu care s-a confruntat sistemul juridic al RAS. Acesta a subliniat influența persistentă a sistemului portughez în contextul punerii în aplicare a principiului „o țară, două sisteme”, exprimând, în același timp, punctul de vedere conform căruia Macao și Portugalia au standarde etice, valori morale, obiceiuri și culturi diferite.   </w:t>
      </w:r>
    </w:p>
    <w:p>
      <w:pPr>
        <w:pStyle w:val="Heading3"/>
        <w:spacing w:before="0" w:beforeAutospacing="0" w:after="0" w:afterAutospacing="0"/>
        <w:jc w:val="both"/>
        <w:rPr>
          <w:rFonts w:eastAsiaTheme="minorEastAsia"/>
          <w:b w:val="0"/>
          <w:noProof/>
          <w:sz w:val="24"/>
          <w:szCs w:val="24"/>
          <w:lang w:eastAsia="zh-CN"/>
        </w:rPr>
      </w:pPr>
    </w:p>
    <w:p>
      <w:pPr>
        <w:spacing w:after="0" w:line="240" w:lineRule="auto"/>
        <w:jc w:val="both"/>
        <w:rPr>
          <w:rFonts w:ascii="Times New Roman" w:eastAsia="Times New Roman" w:hAnsi="Times New Roman"/>
          <w:noProof/>
          <w:sz w:val="24"/>
          <w:szCs w:val="24"/>
        </w:rPr>
      </w:pPr>
      <w:r>
        <w:rPr>
          <w:rFonts w:ascii="Times New Roman" w:hAnsi="Times New Roman"/>
          <w:noProof/>
          <w:sz w:val="24"/>
          <w:szCs w:val="24"/>
        </w:rPr>
        <w:t>Guvernul continuă să instaleze numeroase camere de supraveghere. Conform planurilor oficiale, până în 2028 urmează să fie instalate 4 200 de camere. Autoritățile susțin că o astfel de supraveghere este justificată deoarece sprijină combaterea criminalității.</w:t>
      </w:r>
    </w:p>
    <w:p>
      <w:pPr>
        <w:spacing w:after="0" w:line="240" w:lineRule="auto"/>
        <w:rPr>
          <w:rFonts w:ascii="Times New Roman" w:eastAsia="Times New Roman" w:hAnsi="Times New Roman"/>
          <w:noProof/>
          <w:sz w:val="24"/>
          <w:szCs w:val="24"/>
          <w:lang w:eastAsia="zh-TW"/>
        </w:rPr>
      </w:pPr>
    </w:p>
    <w:p>
      <w:pPr>
        <w:pStyle w:val="Heading3"/>
        <w:spacing w:before="0" w:beforeAutospacing="0" w:after="0" w:afterAutospacing="0"/>
        <w:jc w:val="both"/>
        <w:rPr>
          <w:rFonts w:eastAsia="Times New Roman"/>
          <w:noProof/>
          <w:sz w:val="24"/>
          <w:szCs w:val="24"/>
        </w:rPr>
      </w:pPr>
      <w:r>
        <w:rPr>
          <w:noProof/>
          <w:sz w:val="24"/>
          <w:szCs w:val="24"/>
        </w:rPr>
        <w:t>Drepturi, libertăți și egalitatea de șanse</w:t>
      </w:r>
    </w:p>
    <w:p>
      <w:pPr>
        <w:pStyle w:val="Heading3"/>
        <w:spacing w:before="0" w:beforeAutospacing="0" w:after="0" w:afterAutospacing="0"/>
        <w:jc w:val="both"/>
        <w:rPr>
          <w:rFonts w:eastAsia="Times New Roman"/>
          <w:noProof/>
          <w:sz w:val="24"/>
          <w:szCs w:val="24"/>
        </w:rPr>
      </w:pPr>
    </w:p>
    <w:p>
      <w:pPr>
        <w:pStyle w:val="Heading3"/>
        <w:spacing w:before="0" w:beforeAutospacing="0" w:after="0" w:afterAutospacing="0"/>
        <w:jc w:val="both"/>
        <w:rPr>
          <w:rFonts w:eastAsia="Times New Roman"/>
          <w:b w:val="0"/>
          <w:noProof/>
          <w:sz w:val="24"/>
          <w:szCs w:val="24"/>
        </w:rPr>
      </w:pPr>
      <w:r>
        <w:rPr>
          <w:b w:val="0"/>
          <w:noProof/>
          <w:sz w:val="24"/>
          <w:szCs w:val="24"/>
        </w:rPr>
        <w:t>Drepturile, libertățile fundamentale și statul de drept au fost, în general, respectate în limitele garantate de Legea fundamentală a regiunii Macao și în conformitate cu principiul „o țară, două sisteme”.</w:t>
      </w:r>
    </w:p>
    <w:p>
      <w:pPr>
        <w:pStyle w:val="Heading3"/>
        <w:spacing w:before="0" w:beforeAutospacing="0" w:after="0" w:afterAutospacing="0"/>
        <w:jc w:val="both"/>
        <w:rPr>
          <w:rFonts w:eastAsia="Times New Roman"/>
          <w:b w:val="0"/>
          <w:noProof/>
          <w:sz w:val="24"/>
          <w:szCs w:val="24"/>
        </w:rPr>
      </w:pPr>
    </w:p>
    <w:p>
      <w:pPr>
        <w:pStyle w:val="Heading3"/>
        <w:spacing w:before="0" w:beforeAutospacing="0" w:after="0" w:afterAutospacing="0"/>
        <w:jc w:val="both"/>
        <w:rPr>
          <w:rFonts w:eastAsia="Times New Roman"/>
          <w:b w:val="0"/>
          <w:noProof/>
          <w:sz w:val="24"/>
          <w:szCs w:val="24"/>
        </w:rPr>
      </w:pPr>
      <w:r>
        <w:rPr>
          <w:b w:val="0"/>
          <w:noProof/>
          <w:sz w:val="24"/>
          <w:szCs w:val="24"/>
        </w:rPr>
        <w:t>În continuare nu s-a luat nicio măsură în vederea instituirii unui organism independent pentru drepturile omului, ca răspuns la recomandările emise, în decembrie 2015, de Comitetul contra torturii al ONU.</w:t>
      </w:r>
    </w:p>
    <w:p>
      <w:pPr>
        <w:pStyle w:val="Heading3"/>
        <w:spacing w:before="0" w:beforeAutospacing="0" w:after="0" w:afterAutospacing="0"/>
        <w:jc w:val="both"/>
        <w:rPr>
          <w:rFonts w:eastAsia="Times New Roman"/>
          <w:b w:val="0"/>
          <w:noProof/>
          <w:sz w:val="24"/>
          <w:szCs w:val="24"/>
        </w:rPr>
      </w:pPr>
    </w:p>
    <w:p>
      <w:pPr>
        <w:pStyle w:val="Heading3"/>
        <w:spacing w:before="0" w:beforeAutospacing="0" w:after="0" w:afterAutospacing="0"/>
        <w:jc w:val="both"/>
        <w:rPr>
          <w:rFonts w:eastAsiaTheme="minorEastAsia"/>
          <w:b w:val="0"/>
          <w:noProof/>
          <w:sz w:val="24"/>
          <w:szCs w:val="24"/>
        </w:rPr>
      </w:pPr>
      <w:r>
        <w:rPr>
          <w:noProof/>
          <w:sz w:val="24"/>
          <w:szCs w:val="24"/>
        </w:rPr>
        <w:t>Libertatea presei</w:t>
      </w:r>
      <w:r>
        <w:rPr>
          <w:b w:val="0"/>
          <w:noProof/>
          <w:sz w:val="24"/>
          <w:szCs w:val="24"/>
        </w:rPr>
        <w:t xml:space="preserve"> a fost, în general, respectată, deși autocenzura reprezintă o caracteristică a peisajului mediatic. La 18 martie, Asociația de presă portugheză și engleză din Macao (AIPIM) a emis o declarație prin care și-a exprimat îngrijorarea față de includerea regiunii Macao și a regiunii Hong Kong în decizia guvernului central prin care jurnaliștilor americani care își desfășoară activitatea în cadrul a trei canale mediatice din SUA le este interzis să lucreze în China. AIPIM și-a exprimat, de asemenea, preocuparea cu privire la impactul negativ al tensiunilor în creștere dintre Statele Unite și China pe tema libertății presei.  </w:t>
      </w:r>
    </w:p>
    <w:p>
      <w:pPr>
        <w:spacing w:after="0" w:line="240" w:lineRule="auto"/>
        <w:jc w:val="both"/>
        <w:rPr>
          <w:rFonts w:ascii="Times New Roman" w:eastAsia="Times New Roman" w:hAnsi="Times New Roman"/>
          <w:noProof/>
          <w:sz w:val="24"/>
          <w:szCs w:val="24"/>
        </w:rPr>
      </w:pPr>
    </w:p>
    <w:p>
      <w:pPr>
        <w:spacing w:after="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În luna octombrie, închiderea anticipată, fără explicații, a </w:t>
      </w:r>
      <w:r>
        <w:rPr>
          <w:rFonts w:ascii="Times New Roman" w:hAnsi="Times New Roman"/>
          <w:noProof/>
          <w:sz w:val="24"/>
          <w:szCs w:val="24"/>
          <w:shd w:val="clear" w:color="auto" w:fill="FFFFFF"/>
        </w:rPr>
        <w:t>Expoziției de fotografie a presei mondiale</w:t>
      </w:r>
      <w:r>
        <w:rPr>
          <w:rFonts w:ascii="Times New Roman" w:hAnsi="Times New Roman"/>
          <w:b/>
          <w:noProof/>
          <w:sz w:val="24"/>
          <w:szCs w:val="24"/>
          <w:shd w:val="clear" w:color="auto" w:fill="FFFFFF"/>
        </w:rPr>
        <w:t xml:space="preserve"> </w:t>
      </w:r>
      <w:r>
        <w:rPr>
          <w:rFonts w:ascii="Times New Roman" w:hAnsi="Times New Roman"/>
          <w:noProof/>
          <w:sz w:val="24"/>
          <w:szCs w:val="24"/>
          <w:shd w:val="clear" w:color="auto" w:fill="FFFFFF"/>
        </w:rPr>
        <w:t>2020</w:t>
      </w:r>
      <w:r>
        <w:rPr>
          <w:rFonts w:ascii="Times New Roman" w:hAnsi="Times New Roman"/>
          <w:b/>
          <w:noProof/>
          <w:sz w:val="24"/>
          <w:szCs w:val="24"/>
          <w:shd w:val="clear" w:color="auto" w:fill="FFFFFF"/>
        </w:rPr>
        <w:t xml:space="preserve"> </w:t>
      </w:r>
      <w:r>
        <w:rPr>
          <w:rFonts w:ascii="Times New Roman" w:hAnsi="Times New Roman"/>
          <w:noProof/>
          <w:sz w:val="24"/>
          <w:szCs w:val="24"/>
          <w:shd w:val="clear" w:color="auto" w:fill="FFFFFF"/>
        </w:rPr>
        <w:t>a generat declarații de îngrijorare, inclusiv din partea AIPIM. Expoziția prezenta imagini ale tulburărilor sociale din Hong Kong. AIPIM a declarat: „Dacă această închidere este rezultatul presiunilor exercitate în legătură cu anumite fotografii expuse, considerăm că este un incident grav și îngrijorător care indică o erodare a libertății de exprimare”.</w:t>
      </w:r>
    </w:p>
    <w:p>
      <w:pPr>
        <w:pStyle w:val="Heading3"/>
        <w:spacing w:before="0" w:beforeAutospacing="0" w:after="0" w:afterAutospacing="0"/>
        <w:jc w:val="both"/>
        <w:rPr>
          <w:rFonts w:eastAsia="Times New Roman"/>
          <w:b w:val="0"/>
          <w:noProof/>
          <w:sz w:val="24"/>
          <w:szCs w:val="24"/>
        </w:rPr>
      </w:pPr>
    </w:p>
    <w:p>
      <w:pPr>
        <w:spacing w:after="0" w:line="240" w:lineRule="auto"/>
        <w:jc w:val="both"/>
        <w:rPr>
          <w:rFonts w:ascii="Times New Roman" w:eastAsiaTheme="minorEastAsia" w:hAnsi="Times New Roman"/>
          <w:b/>
          <w:noProof/>
          <w:sz w:val="24"/>
          <w:szCs w:val="24"/>
        </w:rPr>
      </w:pPr>
      <w:r>
        <w:rPr>
          <w:rFonts w:ascii="Times New Roman" w:hAnsi="Times New Roman"/>
          <w:noProof/>
          <w:sz w:val="24"/>
          <w:szCs w:val="24"/>
        </w:rPr>
        <w:t>Libertatea de întrunire a continuat să fie, în general, respectată în Macao</w:t>
      </w:r>
      <w:r>
        <w:rPr>
          <w:rFonts w:ascii="Times New Roman" w:hAnsi="Times New Roman"/>
          <w:b/>
          <w:noProof/>
          <w:sz w:val="24"/>
          <w:szCs w:val="24"/>
        </w:rPr>
        <w:t>, cu toate că pandemia de COVID-19 a afectat exercitarea unei serii de libertăți</w:t>
      </w:r>
      <w:r>
        <w:rPr>
          <w:rFonts w:ascii="Times New Roman" w:hAnsi="Times New Roman"/>
          <w:noProof/>
          <w:sz w:val="24"/>
          <w:szCs w:val="24"/>
        </w:rPr>
        <w:t xml:space="preserve">. </w:t>
      </w:r>
      <w:r>
        <w:rPr>
          <w:rFonts w:ascii="Times New Roman" w:hAnsi="Times New Roman"/>
          <w:bCs/>
          <w:noProof/>
          <w:sz w:val="24"/>
          <w:szCs w:val="24"/>
        </w:rPr>
        <w:t xml:space="preserve">Asociația jurnaliștilor din Macao (AJM) a declarat că autoritățile guvernamentale nu ar fi trebuit să anuleze toate conferințele de presă invocând necesitatea de a controla pandemia de COVID-19. Grupul a solicitat Biroului de informații al Guvernului să găsească un echilibru între necesitatea de a permite libera circulație a informațiilor cu cea de a combate pandemia. </w:t>
      </w:r>
      <w:r>
        <w:rPr>
          <w:rFonts w:ascii="Times New Roman" w:hAnsi="Times New Roman"/>
          <w:b/>
          <w:noProof/>
          <w:sz w:val="24"/>
          <w:szCs w:val="24"/>
        </w:rPr>
        <w:t xml:space="preserve"> </w:t>
      </w:r>
    </w:p>
    <w:p>
      <w:pPr>
        <w:spacing w:after="0" w:line="240" w:lineRule="auto"/>
        <w:jc w:val="both"/>
        <w:rPr>
          <w:rFonts w:ascii="Times New Roman" w:eastAsiaTheme="minorEastAsia" w:hAnsi="Times New Roman"/>
          <w:b/>
          <w:noProof/>
          <w:sz w:val="24"/>
          <w:szCs w:val="24"/>
          <w:lang w:eastAsia="zh-CN"/>
        </w:rPr>
      </w:pPr>
    </w:p>
    <w:p>
      <w:pPr>
        <w:spacing w:after="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Poliția pentru siguranța publică a respins cererea Uniunii pentru dezvoltare democratică de a organiza priveghiul anual cu lumânări pentru comemorarea represiunii din Piața Tiananmen, invocând preocupări legate de controlul pandemiei de COVID-19. De asemenea, a fost respinsă și o cerere de organizare a unei expoziții de fotografie. În noaptea de 4 iunie, cele două fiice ale deputatului pro-democrație Au Kam San au fost reținute pentru pretinsa organizare a unei întruniri ilegale. Într-un raport transmis Comitetului pentru Drepturile Omului al Organizației Națiunilor Unite, ONG-ul Macau Conscience și-a exprimat îngrijorarea cu privire la faptul că guvernul se folosește în mod abuziv de preocupările legate de sănătatea publică pentru a interzice orice formă de eveniment comemorativ. </w:t>
      </w:r>
    </w:p>
    <w:p>
      <w:pPr>
        <w:spacing w:after="0" w:line="240" w:lineRule="auto"/>
        <w:jc w:val="both"/>
        <w:rPr>
          <w:rFonts w:ascii="Times New Roman" w:eastAsia="PMingLiU" w:hAnsi="Times New Roman"/>
          <w:noProof/>
          <w:sz w:val="24"/>
          <w:szCs w:val="24"/>
          <w:lang w:eastAsia="zh-TW"/>
        </w:rPr>
      </w:pPr>
    </w:p>
    <w:p>
      <w:pPr>
        <w:spacing w:after="0" w:line="240" w:lineRule="auto"/>
        <w:jc w:val="both"/>
        <w:rPr>
          <w:rFonts w:ascii="Times New Roman" w:eastAsiaTheme="minorEastAsia" w:hAnsi="Times New Roman"/>
          <w:bCs/>
          <w:noProof/>
          <w:sz w:val="24"/>
          <w:szCs w:val="24"/>
        </w:rPr>
      </w:pPr>
      <w:r>
        <w:rPr>
          <w:rFonts w:ascii="Times New Roman" w:hAnsi="Times New Roman"/>
          <w:bCs/>
          <w:noProof/>
          <w:sz w:val="24"/>
          <w:szCs w:val="24"/>
        </w:rPr>
        <w:t xml:space="preserve">Macao nu a pus efectiv în aplicare </w:t>
      </w:r>
      <w:r>
        <w:rPr>
          <w:rFonts w:ascii="Times New Roman" w:hAnsi="Times New Roman"/>
          <w:b/>
          <w:bCs/>
          <w:noProof/>
          <w:sz w:val="24"/>
          <w:szCs w:val="24"/>
        </w:rPr>
        <w:t>libertatea de asociere și dreptul de negociere colectivă</w:t>
      </w:r>
      <w:r>
        <w:rPr>
          <w:rFonts w:ascii="Times New Roman" w:hAnsi="Times New Roman"/>
          <w:bCs/>
          <w:noProof/>
          <w:sz w:val="24"/>
          <w:szCs w:val="24"/>
        </w:rPr>
        <w:t>, consacrate în convențiile Organizației Internaționale a Muncii (OIM). UE continuă să încurajeze Macao să acționeze în această direcție, inclusiv prin intermediul legislației preconizate privind sindicatele.</w:t>
      </w:r>
    </w:p>
    <w:p>
      <w:pPr>
        <w:pStyle w:val="Heading3"/>
        <w:spacing w:before="0" w:beforeAutospacing="0" w:after="0" w:afterAutospacing="0"/>
        <w:jc w:val="both"/>
        <w:rPr>
          <w:rFonts w:eastAsia="Times New Roman"/>
          <w:b w:val="0"/>
          <w:noProof/>
          <w:sz w:val="24"/>
          <w:szCs w:val="24"/>
        </w:rPr>
      </w:pPr>
    </w:p>
    <w:p>
      <w:pPr>
        <w:pStyle w:val="Heading3"/>
        <w:spacing w:before="0" w:beforeAutospacing="0" w:after="0" w:afterAutospacing="0"/>
        <w:jc w:val="both"/>
        <w:rPr>
          <w:b w:val="0"/>
          <w:noProof/>
          <w:color w:val="222222"/>
          <w:sz w:val="24"/>
          <w:szCs w:val="24"/>
        </w:rPr>
      </w:pPr>
      <w:r>
        <w:rPr>
          <w:b w:val="0"/>
          <w:noProof/>
          <w:sz w:val="24"/>
          <w:szCs w:val="24"/>
        </w:rPr>
        <w:t xml:space="preserve">Macao continuă să depună eforturi pentru a combate </w:t>
      </w:r>
      <w:r>
        <w:rPr>
          <w:noProof/>
          <w:sz w:val="24"/>
          <w:szCs w:val="24"/>
        </w:rPr>
        <w:t>traficul de persoane</w:t>
      </w:r>
      <w:r>
        <w:rPr>
          <w:b w:val="0"/>
          <w:noProof/>
          <w:sz w:val="24"/>
          <w:szCs w:val="24"/>
        </w:rPr>
        <w:t xml:space="preserve">. Cu toate acestea, Macao a fost plasată la nivelul 2 pe lista țărilor aflate sub supravegherea SUA, raportul anual al Departamentului de Stat indicând că Macao </w:t>
      </w:r>
      <w:r>
        <w:rPr>
          <w:b w:val="0"/>
          <w:noProof/>
          <w:color w:val="222222"/>
          <w:sz w:val="24"/>
          <w:szCs w:val="24"/>
        </w:rPr>
        <w:t>nu a îndeplinit pe deplin standardele minime privind eliminarea traficului și că autoritățile locale nu și-au intensificat eforturile comparativ cu perioada de raportare anterioară. UE este pregătită să intensifice cooperarea cu Macao în acest domeniu.</w:t>
      </w:r>
    </w:p>
    <w:p>
      <w:pPr>
        <w:pStyle w:val="Heading3"/>
        <w:spacing w:before="0" w:beforeAutospacing="0" w:after="0" w:afterAutospacing="0"/>
        <w:jc w:val="both"/>
        <w:rPr>
          <w:noProof/>
          <w:color w:val="222222"/>
          <w:sz w:val="24"/>
          <w:szCs w:val="24"/>
        </w:rPr>
      </w:pPr>
    </w:p>
    <w:p>
      <w:pPr>
        <w:pStyle w:val="Heading3"/>
        <w:spacing w:before="0" w:beforeAutospacing="0" w:after="0" w:afterAutospacing="0"/>
        <w:jc w:val="both"/>
        <w:rPr>
          <w:b w:val="0"/>
          <w:noProof/>
          <w:color w:val="222222"/>
          <w:sz w:val="24"/>
          <w:szCs w:val="24"/>
        </w:rPr>
      </w:pPr>
      <w:r>
        <w:rPr>
          <w:b w:val="0"/>
          <w:noProof/>
          <w:color w:val="222222"/>
          <w:sz w:val="24"/>
          <w:szCs w:val="24"/>
        </w:rPr>
        <w:t xml:space="preserve">Macao nu a adoptat încă o legislație cuprinzătoare antidiscriminare. </w:t>
      </w:r>
      <w:r>
        <w:rPr>
          <w:noProof/>
          <w:color w:val="222222"/>
          <w:sz w:val="24"/>
          <w:szCs w:val="24"/>
        </w:rPr>
        <w:t>Discriminarea pe criterii de orientare sexuală și identitate de gen</w:t>
      </w:r>
      <w:r>
        <w:rPr>
          <w:b w:val="0"/>
          <w:noProof/>
          <w:color w:val="222222"/>
          <w:sz w:val="24"/>
          <w:szCs w:val="24"/>
        </w:rPr>
        <w:t xml:space="preserve"> reprezintă în continuare un motiv de îngrijorare, în special în domeniile ocupării forței de muncă, educației și asistenței medicale.</w:t>
      </w:r>
    </w:p>
    <w:p>
      <w:pPr>
        <w:pStyle w:val="Heading3"/>
        <w:spacing w:before="0" w:beforeAutospacing="0" w:after="0" w:afterAutospacing="0"/>
        <w:jc w:val="both"/>
        <w:rPr>
          <w:noProof/>
          <w:color w:val="222222"/>
          <w:sz w:val="24"/>
          <w:szCs w:val="24"/>
        </w:rPr>
      </w:pPr>
    </w:p>
    <w:p>
      <w:pPr>
        <w:spacing w:after="0" w:line="240" w:lineRule="auto"/>
        <w:jc w:val="both"/>
        <w:rPr>
          <w:rFonts w:ascii="Times New Roman" w:hAnsi="Times New Roman"/>
          <w:noProof/>
          <w:sz w:val="24"/>
          <w:szCs w:val="24"/>
        </w:rPr>
      </w:pPr>
      <w:r>
        <w:rPr>
          <w:rFonts w:ascii="Times New Roman" w:hAnsi="Times New Roman"/>
          <w:noProof/>
          <w:sz w:val="24"/>
          <w:szCs w:val="24"/>
        </w:rPr>
        <w:t xml:space="preserve">Macao și-a continuat eforturile în materie de luptă împotriva </w:t>
      </w:r>
      <w:r>
        <w:rPr>
          <w:rFonts w:ascii="Times New Roman" w:hAnsi="Times New Roman"/>
          <w:b/>
          <w:noProof/>
          <w:sz w:val="24"/>
          <w:szCs w:val="24"/>
        </w:rPr>
        <w:t>corupției</w:t>
      </w:r>
      <w:r>
        <w:rPr>
          <w:rFonts w:ascii="Times New Roman" w:hAnsi="Times New Roman"/>
          <w:noProof/>
          <w:sz w:val="24"/>
          <w:szCs w:val="24"/>
        </w:rPr>
        <w:t xml:space="preserve">, inclusiv prin activitățile desfășurate de Comisia împotriva corupției (CCAC). Raportul anual al CCAC, publicat în mai 2020, prezintă în detaliu activitatea desfășurată de aceasta pentru combaterea corupției în sectorul public și în cel privat. Șeful executivului s-a angajat să sporească gradul de sensibilizare a publicului cu privire la corectitudinea alegerilor și să se asigure că alegerea celei de a șaptea Adunări legislative (care este prevăzută să aibă loc în 2021) se va putea desfășura într-un mediu echitabil, corect, deschis și lipsit de corupție. </w:t>
      </w:r>
    </w:p>
    <w:p>
      <w:pPr>
        <w:pStyle w:val="Default"/>
        <w:jc w:val="both"/>
        <w:rPr>
          <w:b/>
          <w:bCs/>
          <w:noProof/>
          <w:u w:val="single"/>
        </w:rPr>
      </w:pPr>
    </w:p>
    <w:p>
      <w:pPr>
        <w:pStyle w:val="Default"/>
        <w:keepNext/>
        <w:jc w:val="both"/>
        <w:rPr>
          <w:b/>
          <w:bCs/>
          <w:noProof/>
          <w:u w:val="single"/>
        </w:rPr>
      </w:pPr>
      <w:r>
        <w:rPr>
          <w:b/>
          <w:bCs/>
          <w:noProof/>
          <w:u w:val="single"/>
        </w:rPr>
        <w:t xml:space="preserve">II. Evoluția situației economice </w:t>
      </w:r>
    </w:p>
    <w:p>
      <w:pPr>
        <w:pStyle w:val="Default"/>
        <w:keepNext/>
        <w:jc w:val="both"/>
        <w:rPr>
          <w:noProof/>
        </w:rPr>
      </w:pPr>
    </w:p>
    <w:p>
      <w:pPr>
        <w:pStyle w:val="Default"/>
        <w:jc w:val="both"/>
        <w:rPr>
          <w:noProof/>
          <w:color w:val="auto"/>
        </w:rPr>
      </w:pPr>
      <w:r>
        <w:rPr>
          <w:noProof/>
        </w:rPr>
        <w:t xml:space="preserve">Pandemia de COVID-19 a avut un impact dramatic asupra economiei regiunii Macao. Deși guvernul a reușit să țină sub control pandemia în RAS, restricțiile privind călătoriile și restricțiile sanitare – atât în Macao, cât și în China – au avut drept consecință faptul că, în cea mai mare parte a anului, numai un număr foarte limitat de </w:t>
      </w:r>
      <w:r>
        <w:rPr>
          <w:noProof/>
          <w:color w:val="auto"/>
        </w:rPr>
        <w:t xml:space="preserve">persoane au vizitat cel mai mare centru de jocuri de noroc din lume. </w:t>
      </w:r>
    </w:p>
    <w:p>
      <w:pPr>
        <w:pStyle w:val="Default"/>
        <w:jc w:val="both"/>
        <w:rPr>
          <w:noProof/>
          <w:color w:val="auto"/>
        </w:rPr>
      </w:pPr>
    </w:p>
    <w:p>
      <w:pPr>
        <w:pStyle w:val="Default"/>
        <w:jc w:val="both"/>
        <w:rPr>
          <w:noProof/>
          <w:color w:val="auto"/>
        </w:rPr>
      </w:pPr>
      <w:r>
        <w:rPr>
          <w:noProof/>
          <w:color w:val="auto"/>
        </w:rPr>
        <w:t>În consecință, PIB-ul regiunii Macao a scăzut cu 48,1 % în primul trimestru, cu 68 % în al doilea trimestru și cu 63,8 % în al treilea trimestru al anului 2020 față de anul anterior</w:t>
      </w:r>
      <w:r>
        <w:rPr>
          <w:rStyle w:val="FootnoteReference"/>
          <w:noProof/>
          <w:color w:val="auto"/>
        </w:rPr>
        <w:footnoteReference w:id="1"/>
      </w:r>
      <w:r>
        <w:rPr>
          <w:noProof/>
          <w:color w:val="auto"/>
        </w:rPr>
        <w:t xml:space="preserve">. Numărul de vize eliberate turiștilor a scăzut cu 85 % în cursul anului, înregistrându-se numai 5,9 milioane de vizitatori în RAS (comparativ cu 39,4 milioane în 2019). </w:t>
      </w:r>
    </w:p>
    <w:p>
      <w:pPr>
        <w:pStyle w:val="Default"/>
        <w:jc w:val="both"/>
        <w:rPr>
          <w:noProof/>
          <w:color w:val="auto"/>
        </w:rPr>
      </w:pPr>
    </w:p>
    <w:p>
      <w:pPr>
        <w:pStyle w:val="Default"/>
        <w:jc w:val="both"/>
        <w:rPr>
          <w:noProof/>
        </w:rPr>
      </w:pPr>
      <w:r>
        <w:rPr>
          <w:noProof/>
          <w:color w:val="auto"/>
        </w:rPr>
        <w:t xml:space="preserve">În mod obișnuit, aproximativ 70 % din turiștii care vizitează Macao vin </w:t>
      </w:r>
      <w:r>
        <w:rPr>
          <w:noProof/>
        </w:rPr>
        <w:t xml:space="preserve">din China continentală, ceea ce înseamnă că redresarea economică în RAS va depinde în mare măsură de revenirea turiștilor chinezi. Eliberarea vizelor individuale care să le permită turiștilor din China continentală să intre în Macao a fost în mare parte suspendată în prima jumătate a anului 2020. Eliberarea vizelor a fost reluată în etape începând din august și, la jumătatea lunii septembrie, a fost reluată pentru întreaga Chină. Deși acest fapt a permis o ușoară îmbunătățire în ceea ce privește numărul de vizitatori, cifrele din ultima parte a anului au rămas cu mult sub cele înregistrate în mod obișnuit în Macao și au fost insuficiente pentru a garanta o redresare solidă. </w:t>
      </w:r>
    </w:p>
    <w:p>
      <w:pPr>
        <w:pStyle w:val="Default"/>
        <w:jc w:val="both"/>
        <w:rPr>
          <w:noProof/>
        </w:rPr>
      </w:pPr>
    </w:p>
    <w:p>
      <w:pPr>
        <w:spacing w:after="0" w:line="240" w:lineRule="auto"/>
        <w:jc w:val="both"/>
        <w:rPr>
          <w:rFonts w:ascii="Times New Roman" w:hAnsi="Times New Roman"/>
          <w:noProof/>
          <w:sz w:val="24"/>
          <w:szCs w:val="24"/>
        </w:rPr>
      </w:pPr>
      <w:r>
        <w:rPr>
          <w:rFonts w:ascii="Times New Roman" w:hAnsi="Times New Roman"/>
          <w:noProof/>
          <w:sz w:val="24"/>
          <w:szCs w:val="24"/>
        </w:rPr>
        <w:t>În pofida acestei încetiniri, piața muncii a rezistat cu succes, iar rata șomajului a crescut doar moderat, la 2,9 % în perioada septembrie - noiembrie (de la 1,7 % la sfârșitul anului 2019)</w:t>
      </w:r>
      <w:r>
        <w:rPr>
          <w:rStyle w:val="FootnoteReference"/>
          <w:rFonts w:ascii="Times New Roman" w:hAnsi="Times New Roman"/>
          <w:noProof/>
          <w:color w:val="000000" w:themeColor="text1"/>
          <w:sz w:val="24"/>
          <w:szCs w:val="24"/>
        </w:rPr>
        <w:footnoteReference w:id="2"/>
      </w:r>
      <w:r>
        <w:rPr>
          <w:rFonts w:ascii="Times New Roman" w:hAnsi="Times New Roman"/>
          <w:noProof/>
          <w:sz w:val="24"/>
          <w:szCs w:val="24"/>
        </w:rPr>
        <w:t xml:space="preserve">. Inflația în primele unsprezece luni a fost de 0,1 %. </w:t>
      </w:r>
    </w:p>
    <w:p>
      <w:pPr>
        <w:spacing w:after="0" w:line="240" w:lineRule="auto"/>
        <w:jc w:val="both"/>
        <w:rPr>
          <w:rFonts w:ascii="Times New Roman" w:eastAsiaTheme="minorEastAsia" w:hAnsi="Times New Roman"/>
          <w:noProof/>
          <w:sz w:val="24"/>
          <w:szCs w:val="24"/>
        </w:rPr>
      </w:pPr>
    </w:p>
    <w:p>
      <w:pPr>
        <w:spacing w:after="0" w:line="240" w:lineRule="auto"/>
        <w:jc w:val="both"/>
        <w:rPr>
          <w:rFonts w:ascii="Times New Roman" w:hAnsi="Times New Roman"/>
          <w:noProof/>
          <w:sz w:val="24"/>
          <w:szCs w:val="24"/>
        </w:rPr>
      </w:pPr>
      <w:r>
        <w:rPr>
          <w:rFonts w:ascii="Times New Roman" w:hAnsi="Times New Roman"/>
          <w:noProof/>
          <w:sz w:val="24"/>
          <w:szCs w:val="24"/>
        </w:rPr>
        <w:t>Pe plan bugetar, guvernul regiunii Macao a trebuit să își utilizeze rezervele pentru a permite veniturilor să facă față cheltuielilor în exercițiul bugetar 2020, ca urmare a unei economii slabe, combinate cu scăderea veniturilor (inclusiv veniturile fiscale din jocurile de noroc) și cu majorarea cheltuielilor publice. Cu toate acestea, poziția bugetară a RAS rămâne confortabilă, dispunând încă de rezerve bugetare semnificative (607 miliarde MOP – 63 de miliarde EUR – la sfârșitul lunii octombrie).</w:t>
      </w:r>
    </w:p>
    <w:p>
      <w:pPr>
        <w:spacing w:after="0" w:line="240" w:lineRule="auto"/>
        <w:jc w:val="both"/>
        <w:rPr>
          <w:rFonts w:ascii="Times New Roman" w:hAnsi="Times New Roman"/>
          <w:noProof/>
          <w:sz w:val="24"/>
          <w:szCs w:val="24"/>
        </w:rPr>
      </w:pPr>
    </w:p>
    <w:p>
      <w:pPr>
        <w:spacing w:after="0" w:line="240" w:lineRule="auto"/>
        <w:jc w:val="both"/>
        <w:rPr>
          <w:rFonts w:ascii="Times New Roman" w:hAnsi="Times New Roman"/>
          <w:noProof/>
          <w:sz w:val="24"/>
          <w:szCs w:val="24"/>
        </w:rPr>
      </w:pPr>
      <w:r>
        <w:rPr>
          <w:rFonts w:ascii="Times New Roman" w:hAnsi="Times New Roman"/>
          <w:noProof/>
          <w:sz w:val="24"/>
          <w:szCs w:val="24"/>
        </w:rPr>
        <w:t xml:space="preserve">Pentru întreprinderile din Macao, restricțiile privind călătoriile în și din RAS au generat provocări operaționale suplimentare. Acest lucru este valabil mai ales pentru societățile străine și rezidenții străini, întrucât străinilor din afara Chinei continentale li s-a interzis în mare măsură intrarea sau reintrarea în Macao în cea mai mare parte a anului. </w:t>
      </w:r>
    </w:p>
    <w:p>
      <w:pPr>
        <w:spacing w:after="0" w:line="240" w:lineRule="auto"/>
        <w:jc w:val="both"/>
        <w:rPr>
          <w:rFonts w:ascii="Times New Roman" w:hAnsi="Times New Roman"/>
          <w:noProof/>
          <w:sz w:val="24"/>
          <w:szCs w:val="24"/>
        </w:rPr>
      </w:pPr>
    </w:p>
    <w:p>
      <w:pPr>
        <w:pStyle w:val="Default"/>
        <w:jc w:val="both"/>
        <w:rPr>
          <w:noProof/>
        </w:rPr>
      </w:pPr>
      <w:r>
        <w:rPr>
          <w:b/>
          <w:noProof/>
        </w:rPr>
        <w:t>Politica economică</w:t>
      </w:r>
    </w:p>
    <w:p>
      <w:pPr>
        <w:pStyle w:val="Default"/>
        <w:jc w:val="both"/>
        <w:rPr>
          <w:noProof/>
        </w:rPr>
      </w:pPr>
    </w:p>
    <w:p>
      <w:pPr>
        <w:pStyle w:val="Default"/>
        <w:jc w:val="both"/>
        <w:rPr>
          <w:noProof/>
        </w:rPr>
      </w:pPr>
      <w:r>
        <w:rPr>
          <w:noProof/>
        </w:rPr>
        <w:t xml:space="preserve">Ca urmare a circumstanțelor excepționale, în 2020 atenția s-a îndreptat în mare măsură asupra limitării pandemiei și a sprijinirii economiei, ceea ce a dus la o serie de măsuri urgente. Guvernul a acordat subvenții pentru consum în valoare de 8 000 MOP </w:t>
      </w:r>
      <w:r>
        <w:rPr>
          <w:noProof/>
          <w:color w:val="000000" w:themeColor="text1"/>
        </w:rPr>
        <w:t xml:space="preserve">(826 EUR) </w:t>
      </w:r>
      <w:r>
        <w:rPr>
          <w:noProof/>
        </w:rPr>
        <w:t xml:space="preserve">pentru fiecare rezident, vouchere pentru asistență medicală în valoare de 600 MOP </w:t>
      </w:r>
      <w:r>
        <w:rPr>
          <w:noProof/>
          <w:color w:val="000000" w:themeColor="text1"/>
        </w:rPr>
        <w:t xml:space="preserve">(62 EUR) și o </w:t>
      </w:r>
      <w:r>
        <w:rPr>
          <w:noProof/>
        </w:rPr>
        <w:t xml:space="preserve">indemnizație în valoare de 15 000 MOP </w:t>
      </w:r>
      <w:r>
        <w:rPr>
          <w:noProof/>
          <w:color w:val="000000" w:themeColor="text1"/>
        </w:rPr>
        <w:t xml:space="preserve">(1 550 EUR) </w:t>
      </w:r>
      <w:r>
        <w:rPr>
          <w:noProof/>
        </w:rPr>
        <w:t xml:space="preserve">pentru angajații și </w:t>
      </w:r>
      <w:r>
        <w:rPr>
          <w:noProof/>
          <w:color w:val="000000" w:themeColor="text1"/>
        </w:rPr>
        <w:t>lucrătorii</w:t>
      </w:r>
      <w:r>
        <w:rPr>
          <w:noProof/>
        </w:rPr>
        <w:t xml:space="preserve"> independenți locali eligibili.</w:t>
      </w:r>
      <w:r>
        <w:rPr>
          <w:noProof/>
          <w:color w:val="000000" w:themeColor="text1"/>
        </w:rPr>
        <w:t xml:space="preserve"> De asemenea, guvernul a oferit </w:t>
      </w:r>
      <w:r>
        <w:rPr>
          <w:noProof/>
        </w:rPr>
        <w:t>cursuri de formare plătite și o deducere la impozitul pe salariu pentru angajați. În ceea ce privește întreprinderile, guvernul a relaxat temporar criteriile de eligibilitate ale schemei de ajutoare pentru IMM-uri și a lansat o schemă de subvenționare a dobânzii la împrumuturile bancare pentru IMM-uri</w:t>
      </w:r>
      <w:r>
        <w:rPr>
          <w:rStyle w:val="FootnoteReference"/>
          <w:noProof/>
        </w:rPr>
        <w:footnoteReference w:id="3"/>
      </w:r>
      <w:r>
        <w:rPr>
          <w:noProof/>
        </w:rPr>
        <w:t>. Totodată, guvernul a scutit întreprinderile de plata impozitului pe turism, a micșorat impozitul pe profit și a renunțat la diverse taxe. S-a pus în aplicare o schemă de subvenții, întreprinderile beneficiare trebuind să nu concedieze angajați o anumită perioadă. Conform estimărilor, costul total al măsurilor s-a ridicat 12 % din PIB-ul RAS în 2019</w:t>
      </w:r>
      <w:r>
        <w:rPr>
          <w:rStyle w:val="FootnoteReference"/>
          <w:noProof/>
        </w:rPr>
        <w:footnoteReference w:id="4"/>
      </w:r>
      <w:r>
        <w:rPr>
          <w:noProof/>
        </w:rPr>
        <w:t>.</w:t>
      </w:r>
    </w:p>
    <w:p>
      <w:pPr>
        <w:pStyle w:val="Default"/>
        <w:jc w:val="both"/>
        <w:rPr>
          <w:noProof/>
        </w:rPr>
      </w:pPr>
    </w:p>
    <w:p>
      <w:pPr>
        <w:pStyle w:val="Default"/>
        <w:jc w:val="both"/>
        <w:rPr>
          <w:noProof/>
        </w:rPr>
      </w:pPr>
      <w:r>
        <w:rPr>
          <w:noProof/>
        </w:rPr>
        <w:t xml:space="preserve">La 16 noiembrie, șeful executivului a susținut </w:t>
      </w:r>
      <w:r>
        <w:rPr>
          <w:b/>
          <w:noProof/>
        </w:rPr>
        <w:t>discursul privind politica generală</w:t>
      </w:r>
      <w:r>
        <w:rPr>
          <w:noProof/>
        </w:rPr>
        <w:t xml:space="preserve"> pentru anul 2021. Printre priorități s-au numărat combaterea pandemiei – vizând atât cazurile importate, cât și orice recrudescență la nivel intern – și sprijinirea redresării economice. Având în vedere structura economiei, redresarea depinde în mare măsură de evoluția pandemiei. În ceea ce privește dezvoltarea economică, atenția se concentrează pe consolidarea industriilor turismului și jocurilor de noroc, diversificând, totodată, economia și consolidând cooperarea regională cu partea continentală. Alte priorități includ dezvoltarea urbană și reforma administrației publice.</w:t>
      </w:r>
    </w:p>
    <w:p>
      <w:pPr>
        <w:pStyle w:val="Default"/>
        <w:jc w:val="both"/>
        <w:rPr>
          <w:noProof/>
        </w:rPr>
      </w:pPr>
    </w:p>
    <w:p>
      <w:pPr>
        <w:pStyle w:val="Default"/>
        <w:jc w:val="both"/>
        <w:rPr>
          <w:noProof/>
        </w:rPr>
      </w:pPr>
      <w:r>
        <w:rPr>
          <w:noProof/>
        </w:rPr>
        <w:t xml:space="preserve">În ceea ce privește </w:t>
      </w:r>
      <w:r>
        <w:rPr>
          <w:b/>
          <w:noProof/>
        </w:rPr>
        <w:t>diversificarea economică</w:t>
      </w:r>
      <w:r>
        <w:rPr>
          <w:noProof/>
        </w:rPr>
        <w:t>, deși s-au înregistrat progrese de la intrarea în vigoare a Planului de dezvoltare cincinală (2016-2020), sectorul jocurilor de noroc încă reprezintă aproximativ jumătate din PIB-ul regiunii Macao (comparativ cu 63 % în 2012)</w:t>
      </w:r>
      <w:r>
        <w:rPr>
          <w:rStyle w:val="FootnoteReference"/>
          <w:noProof/>
        </w:rPr>
        <w:footnoteReference w:id="5"/>
      </w:r>
      <w:r>
        <w:rPr>
          <w:noProof/>
        </w:rPr>
        <w:t>. Economia RAS se bazează în continuare, în mare măsură, pe vizitatorii din China continentală. Prin urmare, în discursul său privind politica generală, șeful executivului a reiterat obiectivul de a încuraja în continuare turismul care nu are drept scop practicarea jocurilor de noroc și de a dezvolta sectorul industrial, industria organizării de congrese și de expoziții</w:t>
      </w:r>
      <w:r>
        <w:rPr>
          <w:rStyle w:val="FootnoteReference"/>
          <w:noProof/>
        </w:rPr>
        <w:footnoteReference w:id="6"/>
      </w:r>
      <w:r>
        <w:rPr>
          <w:noProof/>
        </w:rPr>
        <w:t xml:space="preserve">, medicina tradițională chineză, sectorul comercial și industria serviciilor financiare. Oferirea de sprijin întreprinderilor mici și mijlocii și încurajarea inovării sunt considerate, de asemenea, factori-cheie pentru realizarea diversificării. </w:t>
      </w:r>
    </w:p>
    <w:p>
      <w:pPr>
        <w:pStyle w:val="Default"/>
        <w:jc w:val="both"/>
        <w:rPr>
          <w:noProof/>
        </w:rPr>
      </w:pPr>
    </w:p>
    <w:p>
      <w:pPr>
        <w:pStyle w:val="Default"/>
        <w:jc w:val="both"/>
        <w:rPr>
          <w:noProof/>
        </w:rPr>
      </w:pPr>
      <w:r>
        <w:rPr>
          <w:noProof/>
        </w:rPr>
        <w:t xml:space="preserve">În ceea ce privește </w:t>
      </w:r>
      <w:r>
        <w:rPr>
          <w:b/>
          <w:noProof/>
        </w:rPr>
        <w:t>serviciile financiare</w:t>
      </w:r>
      <w:r>
        <w:rPr>
          <w:noProof/>
        </w:rPr>
        <w:t xml:space="preserve">, în RAS urmează să se instituite o piață de obligațiuni, iar instituțiile financiare și asigurătorii din China continentală sunt încurajați să își stabilească sedii regionale în Macao și să își extindă activitățile în țările vorbitoare de limbă portugheză. </w:t>
      </w:r>
    </w:p>
    <w:p>
      <w:pPr>
        <w:pStyle w:val="Default"/>
        <w:jc w:val="both"/>
        <w:rPr>
          <w:noProof/>
        </w:rPr>
      </w:pPr>
    </w:p>
    <w:p>
      <w:pPr>
        <w:pStyle w:val="Default"/>
        <w:jc w:val="both"/>
        <w:rPr>
          <w:noProof/>
        </w:rPr>
      </w:pPr>
      <w:r>
        <w:rPr>
          <w:b/>
          <w:noProof/>
        </w:rPr>
        <w:t>Economia circulară și politica privind schimbările climatice</w:t>
      </w:r>
      <w:r>
        <w:rPr>
          <w:noProof/>
        </w:rPr>
        <w:t xml:space="preserve"> rămân provocări importante. În cursul anului, guvernul a lansat un nou program de reciclare pentru aparatele electronice și electrice și și-a luat angajamentul de a interzice în 2021 importul de ustensile din polistiren extrudat.  </w:t>
      </w:r>
    </w:p>
    <w:p>
      <w:pPr>
        <w:autoSpaceDE w:val="0"/>
        <w:autoSpaceDN w:val="0"/>
        <w:adjustRightInd w:val="0"/>
        <w:spacing w:after="0" w:line="240" w:lineRule="auto"/>
        <w:rPr>
          <w:rFonts w:ascii="Times New Roman" w:hAnsi="Times New Roman"/>
          <w:noProof/>
          <w:color w:val="000000"/>
          <w:sz w:val="24"/>
          <w:szCs w:val="24"/>
        </w:rPr>
      </w:pPr>
    </w:p>
    <w:p>
      <w:pPr>
        <w:pStyle w:val="Default"/>
        <w:jc w:val="both"/>
        <w:rPr>
          <w:b/>
          <w:bCs/>
          <w:noProof/>
        </w:rPr>
      </w:pPr>
      <w:r>
        <w:rPr>
          <w:b/>
          <w:bCs/>
          <w:noProof/>
        </w:rPr>
        <w:t xml:space="preserve">Cooperarea regională </w:t>
      </w:r>
    </w:p>
    <w:p>
      <w:pPr>
        <w:pStyle w:val="Default"/>
        <w:jc w:val="both"/>
        <w:rPr>
          <w:noProof/>
        </w:rPr>
      </w:pPr>
    </w:p>
    <w:p>
      <w:pPr>
        <w:pStyle w:val="Default"/>
        <w:jc w:val="both"/>
        <w:rPr>
          <w:noProof/>
        </w:rPr>
      </w:pPr>
      <w:r>
        <w:rPr>
          <w:noProof/>
        </w:rPr>
        <w:t xml:space="preserve">Integrarea cu partea continentală în cadrul </w:t>
      </w:r>
      <w:r>
        <w:rPr>
          <w:b/>
          <w:bCs/>
          <w:noProof/>
        </w:rPr>
        <w:t xml:space="preserve">Zonei Marelui Golf Guangdong-Hong Kong-Macao (GBA) </w:t>
      </w:r>
      <w:r>
        <w:rPr>
          <w:noProof/>
        </w:rPr>
        <w:t>rămâne o prioritate-cheie pentru guvernul regiunii Macao.</w:t>
      </w:r>
      <w:r>
        <w:rPr>
          <w:b/>
          <w:bCs/>
          <w:noProof/>
        </w:rPr>
        <w:t xml:space="preserve"> </w:t>
      </w:r>
      <w:r>
        <w:rPr>
          <w:noProof/>
        </w:rPr>
        <w:t xml:space="preserve">În cadrul GBA, Macao urmărește să își consolideze poziția de centru turistic și de agrement de talie mondială, precum și de platformă de servicii de tranzacționare, de servicii de cooperare comercială și de servicii financiare, inclusiv între China și țările vorbitoare de limbă portugheză. </w:t>
      </w:r>
    </w:p>
    <w:p>
      <w:pPr>
        <w:pStyle w:val="Default"/>
        <w:jc w:val="both"/>
        <w:rPr>
          <w:noProof/>
        </w:rPr>
      </w:pPr>
    </w:p>
    <w:p>
      <w:pPr>
        <w:pStyle w:val="Default"/>
        <w:jc w:val="both"/>
        <w:rPr>
          <w:noProof/>
        </w:rPr>
      </w:pPr>
      <w:r>
        <w:rPr>
          <w:noProof/>
        </w:rPr>
        <w:t xml:space="preserve">Un amendament la Acordul privind comerțul cu servicii în temeiul Acordului privind un parteneriat economic consolidat cu China continentală a intrat în vigoare în iunie 2020 (fiind semnat în noiembrie 2019). Acest amendament liberalizează și mai mult accesul întreprinderilor din Macao la piața din China continentală în sectoare cum ar fi serviciile financiare, serviciile juridice, construcțiile și ingineria, serviciile culturale, turismul și serviciile de distribuție. </w:t>
      </w:r>
    </w:p>
    <w:p>
      <w:pPr>
        <w:spacing w:after="0" w:line="240" w:lineRule="auto"/>
        <w:jc w:val="both"/>
        <w:rPr>
          <w:rFonts w:ascii="Times New Roman" w:hAnsi="Times New Roman"/>
          <w:noProof/>
          <w:color w:val="000000"/>
          <w:sz w:val="24"/>
          <w:szCs w:val="24"/>
        </w:rPr>
      </w:pPr>
    </w:p>
    <w:p>
      <w:pPr>
        <w:spacing w:line="240" w:lineRule="auto"/>
        <w:jc w:val="both"/>
        <w:rPr>
          <w:rFonts w:ascii="Times New Roman" w:hAnsi="Times New Roman"/>
          <w:noProof/>
          <w:sz w:val="24"/>
          <w:szCs w:val="24"/>
        </w:rPr>
      </w:pPr>
      <w:r>
        <w:rPr>
          <w:rFonts w:ascii="Times New Roman" w:hAnsi="Times New Roman"/>
          <w:noProof/>
          <w:sz w:val="24"/>
          <w:szCs w:val="24"/>
        </w:rPr>
        <w:t xml:space="preserve">Alături de Zhuhai, Macao contribuie la dezvoltarea insulei </w:t>
      </w:r>
      <w:r>
        <w:rPr>
          <w:rFonts w:ascii="Times New Roman" w:hAnsi="Times New Roman"/>
          <w:b/>
          <w:bCs/>
          <w:noProof/>
          <w:sz w:val="24"/>
          <w:szCs w:val="24"/>
        </w:rPr>
        <w:t>Hengqin</w:t>
      </w:r>
      <w:r>
        <w:rPr>
          <w:rFonts w:ascii="Times New Roman" w:hAnsi="Times New Roman"/>
          <w:noProof/>
          <w:sz w:val="24"/>
          <w:szCs w:val="24"/>
        </w:rPr>
        <w:t xml:space="preserve">, situată la vest de regiunea Macao, în provincia Guangdong. Insula îi oferă regiunii Macao terenuri suplimentare, care pot fi folosite pentru promovarea diversificării economice și pentru integrarea în și mai mare măsură a regiunii Macao în GBA. Insula găzduiește campusul Universității din Macao și diverse facilități pentru dezvoltarea tinerilor antreprenori, a medicinei tradiționale chineze și a altor industrii. În cursul anului s-a înaintat o propunere privind Zona de cooperare intensă Guangdong-Macao în Hengqin și s-a înființat un grup de lucru. De asemenea, în cursul verii a devenit operațional un nou post de frontieră, facilitând trecerea frontierei dintre Hengqin și Macao. Macao și Zhuhai au semnat un contract prin care regiunii Macao i se acordă un teren pentru a dezvolta un proiect rezidențial destinat rezidenților din Macao în Hengqin (proiectul „noul cartier al regiunii Macao”), ceea ce sporește integrarea regiunii Macao cu China continentală. </w:t>
      </w:r>
    </w:p>
    <w:p>
      <w:pPr>
        <w:pStyle w:val="Default"/>
        <w:jc w:val="both"/>
        <w:rPr>
          <w:b/>
          <w:bCs/>
          <w:noProof/>
          <w:u w:val="single"/>
        </w:rPr>
      </w:pPr>
      <w:r>
        <w:rPr>
          <w:b/>
          <w:bCs/>
          <w:noProof/>
          <w:u w:val="single"/>
        </w:rPr>
        <w:t xml:space="preserve">III. Relațiile bilaterale dintre UE și Macao </w:t>
      </w:r>
    </w:p>
    <w:p>
      <w:pPr>
        <w:pStyle w:val="Default"/>
        <w:jc w:val="both"/>
        <w:rPr>
          <w:noProof/>
        </w:rPr>
      </w:pPr>
    </w:p>
    <w:p>
      <w:pPr>
        <w:pStyle w:val="Default"/>
        <w:jc w:val="both"/>
        <w:rPr>
          <w:noProof/>
          <w:highlight w:val="cyan"/>
        </w:rPr>
      </w:pPr>
      <w:r>
        <w:rPr>
          <w:noProof/>
          <w:shd w:val="clear" w:color="auto" w:fill="FFFFFF" w:themeFill="background1"/>
        </w:rPr>
        <w:t xml:space="preserve">În 2020, </w:t>
      </w:r>
      <w:r>
        <w:rPr>
          <w:b/>
          <w:bCs/>
          <w:noProof/>
          <w:shd w:val="clear" w:color="auto" w:fill="FFFFFF" w:themeFill="background1"/>
        </w:rPr>
        <w:t xml:space="preserve">UE s-a menținut pe locul al doilea în clasamentul partenerilor regiunii Macao în ceea ce privește comerțul cu mărfuri, primul loc fiind ocupat de China continentală. </w:t>
      </w:r>
      <w:r>
        <w:rPr>
          <w:bCs/>
          <w:noProof/>
          <w:shd w:val="clear" w:color="auto" w:fill="FFFFFF" w:themeFill="background1"/>
        </w:rPr>
        <w:t>UE a reprezentat cea mai importantă sursă de importuri a regiunii Macao</w:t>
      </w:r>
      <w:r>
        <w:rPr>
          <w:noProof/>
          <w:shd w:val="clear" w:color="auto" w:fill="FFFFFF" w:themeFill="background1"/>
        </w:rPr>
        <w:t>, 31 % din importurile totale ale regiunii Macao provenind din UE</w:t>
      </w:r>
      <w:r>
        <w:rPr>
          <w:rStyle w:val="FootnoteReference"/>
          <w:noProof/>
          <w:shd w:val="clear" w:color="auto" w:fill="FFFFFF" w:themeFill="background1"/>
        </w:rPr>
        <w:footnoteReference w:id="7"/>
      </w:r>
      <w:r>
        <w:rPr>
          <w:noProof/>
          <w:shd w:val="clear" w:color="auto" w:fill="FFFFFF" w:themeFill="background1"/>
        </w:rPr>
        <w:t>. Pe de altă parte, doar 1,6 % din exporturile de mărfuri ale RAS au avut ca destinație Europa, iar UE continuă să aibă excedente comerciale de lungă durată în relația cu Macao.</w:t>
      </w:r>
      <w:r>
        <w:rPr>
          <w:noProof/>
        </w:rPr>
        <w:t xml:space="preserve"> O explicație în acest sens o reprezintă faptul că cererea de importuri a regiunii Macao a crescut constant de-a lungul anilor, în paralel cu dezvoltarea sectoarelor jocurilor de noroc și turismului, în timp ce sectorul său de producție s-a contractat, ajungând la aproximativ 1 % din PIB.</w:t>
      </w:r>
      <w:r>
        <w:rPr>
          <w:noProof/>
          <w:highlight w:val="cyan"/>
        </w:rPr>
        <w:t xml:space="preserve"> </w:t>
      </w:r>
    </w:p>
    <w:p>
      <w:pPr>
        <w:pStyle w:val="Default"/>
        <w:jc w:val="both"/>
        <w:rPr>
          <w:noProof/>
          <w:highlight w:val="cyan"/>
        </w:rPr>
      </w:pPr>
    </w:p>
    <w:p>
      <w:pPr>
        <w:pStyle w:val="Default"/>
        <w:jc w:val="both"/>
        <w:rPr>
          <w:noProof/>
        </w:rPr>
      </w:pPr>
      <w:r>
        <w:rPr>
          <w:b/>
          <w:bCs/>
          <w:noProof/>
        </w:rPr>
        <w:t xml:space="preserve">Comerțul bilateral cu mărfuri (în primele 11 luni) </w:t>
      </w:r>
      <w:r>
        <w:rPr>
          <w:noProof/>
        </w:rPr>
        <w:t xml:space="preserve">s-a redus cu 37,3 %, ajungând la 702 milioane EUR în 2020. Exporturile UE către Macao în această perioadă s-au ridicat la 650 de milioane EUR, ceea ce reprezintă o scădere de 37,0 % în raport cu anul anterior, având ca rezultat un excedent comercial în valoare de 599 de milioane EUR. Macao rămâne o piață în creștere pentru bunurile de lux europene, printre principalele produse exportate din UE numărându-se articole de lux (marochinărie, îmbrăcăminte, ceasuri și bijuterii), produse alimentare și băuturi, precum și automobile. </w:t>
      </w:r>
    </w:p>
    <w:p>
      <w:pPr>
        <w:pStyle w:val="Default"/>
        <w:jc w:val="both"/>
        <w:rPr>
          <w:noProof/>
          <w:highlight w:val="cyan"/>
        </w:rPr>
      </w:pPr>
    </w:p>
    <w:p>
      <w:pPr>
        <w:pStyle w:val="Default"/>
        <w:jc w:val="both"/>
        <w:rPr>
          <w:noProof/>
        </w:rPr>
      </w:pPr>
      <w:r>
        <w:rPr>
          <w:b/>
          <w:noProof/>
        </w:rPr>
        <w:t xml:space="preserve">UE ocupă locul al treilea în clasamentul </w:t>
      </w:r>
      <w:r>
        <w:rPr>
          <w:b/>
          <w:bCs/>
          <w:noProof/>
        </w:rPr>
        <w:t xml:space="preserve">investitorilor </w:t>
      </w:r>
      <w:r>
        <w:rPr>
          <w:b/>
          <w:noProof/>
        </w:rPr>
        <w:t>străini</w:t>
      </w:r>
      <w:r>
        <w:rPr>
          <w:noProof/>
        </w:rPr>
        <w:t xml:space="preserve"> în Macao, după Hong Kong și China continentală (excluzând centrele offshore). Conform statisticilor regiunii Macao, în 2019, UE a reprezentat 5,2 % din totalul investițiilor străine directe. Numai Portugalia reprezintă 54 % din investițiile UE în Macao. Potrivit Eurostat, în 2019, stocurile de investiții străine directe din UE-27 în Macao au ajuns la 342 de milioane EUR, față de 1,93 miliarde EUR pentru investițiile străine directe din Macao în UE.</w:t>
      </w:r>
    </w:p>
    <w:p>
      <w:pPr>
        <w:pStyle w:val="Default"/>
        <w:jc w:val="both"/>
        <w:rPr>
          <w:noProof/>
        </w:rPr>
      </w:pPr>
    </w:p>
    <w:p>
      <w:pPr>
        <w:pStyle w:val="Default"/>
        <w:jc w:val="both"/>
        <w:rPr>
          <w:noProof/>
        </w:rPr>
      </w:pPr>
      <w:r>
        <w:rPr>
          <w:noProof/>
        </w:rPr>
        <w:t xml:space="preserve">Ca urmare a pandemiei, cea de a </w:t>
      </w:r>
      <w:r>
        <w:rPr>
          <w:b/>
          <w:noProof/>
        </w:rPr>
        <w:t>24-a reuniune a Comitetului mixt UE-Macao</w:t>
      </w:r>
      <w:r>
        <w:rPr>
          <w:noProof/>
        </w:rPr>
        <w:t xml:space="preserve">, care urma să aibă loc în 2020, nu a fost organizată. Se preconizează că reuniunea va avea loc în prima jumătate a anului 2021. </w:t>
      </w:r>
    </w:p>
    <w:p>
      <w:pPr>
        <w:pStyle w:val="Default"/>
        <w:jc w:val="both"/>
        <w:rPr>
          <w:noProof/>
        </w:rPr>
      </w:pPr>
    </w:p>
    <w:p>
      <w:pPr>
        <w:pStyle w:val="Default"/>
        <w:jc w:val="both"/>
        <w:rPr>
          <w:noProof/>
        </w:rPr>
      </w:pPr>
      <w:r>
        <w:rPr>
          <w:noProof/>
        </w:rPr>
        <w:t xml:space="preserve">În decembrie 2020, Macao a făcut obiectul unei </w:t>
      </w:r>
      <w:r>
        <w:rPr>
          <w:b/>
          <w:bCs/>
          <w:noProof/>
        </w:rPr>
        <w:t>examinări privind politica comercială (TPR) în cadrul OMC</w:t>
      </w:r>
      <w:r>
        <w:rPr>
          <w:noProof/>
        </w:rPr>
        <w:t xml:space="preserve">. Macao a fost recunoscută drept o economie deschisă care practică liberul schimb, toate tarifele aplicabile fiind menținute la un nivel de 0 %, iar comerțul exterior (mărfuri și servicii) fiind echivalent cu 117,1 % din PIB în 2019. UE, în calitate de principal partener comercial al regiunii Macao, a urmărit cu atenție TPR și a contribuit la o serie de întrebări. </w:t>
      </w:r>
      <w:r>
        <w:rPr>
          <w:noProof/>
          <w:color w:val="auto"/>
        </w:rPr>
        <w:t xml:space="preserve">UE încurajează Macao să se alăture Acordului privind achizițiile publice al OMC. </w:t>
      </w:r>
    </w:p>
    <w:p>
      <w:pPr>
        <w:pStyle w:val="Default"/>
        <w:rPr>
          <w:noProof/>
        </w:rPr>
      </w:pPr>
    </w:p>
    <w:p>
      <w:pPr>
        <w:pStyle w:val="Default"/>
        <w:jc w:val="both"/>
        <w:rPr>
          <w:noProof/>
        </w:rPr>
      </w:pPr>
      <w:r>
        <w:rPr>
          <w:noProof/>
        </w:rPr>
        <w:t xml:space="preserve">În pofida unui an plin de provocări, Camera Europeană de Comerț din Macao (MECC) și Camera Europeană de Comerț din Hong Kong (EuroCham HK) au coordonat în comun participarea europeană la Târgul internațional privind comerțul și investițiile (MIF), organizat în Macao în luna octombrie. </w:t>
      </w:r>
    </w:p>
    <w:p>
      <w:pPr>
        <w:pStyle w:val="Default"/>
        <w:jc w:val="both"/>
        <w:rPr>
          <w:noProof/>
        </w:rPr>
      </w:pPr>
    </w:p>
    <w:p>
      <w:pPr>
        <w:pStyle w:val="Default"/>
        <w:jc w:val="both"/>
        <w:rPr>
          <w:noProof/>
        </w:rPr>
      </w:pPr>
      <w:r>
        <w:rPr>
          <w:noProof/>
        </w:rPr>
        <w:t>UE și Macao și-au continuat colaborarea de lungă durată în domeniul cursurilor de pregătire pentru interpreți, în pofida pandemiei de COVID-19 din 2020. Asistența pedagogică, furnizată de formatori din cadrul Direcției Generale Interpretare a Comisiei Europene Institutului Politehnic din Macao, a fost acordată sub forma unor cursuri virtuale și a formării de la distanță, precum și a seminarelor online pentru responsabilii de cursuri.</w:t>
      </w:r>
    </w:p>
    <w:p>
      <w:pPr>
        <w:pStyle w:val="Default"/>
        <w:jc w:val="both"/>
        <w:rPr>
          <w:noProof/>
        </w:rPr>
      </w:pPr>
    </w:p>
    <w:p>
      <w:pPr>
        <w:spacing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În martie 2020, guvernul din Macao a prezentat un raport final privind </w:t>
      </w:r>
      <w:r>
        <w:rPr>
          <w:rFonts w:ascii="Times New Roman" w:hAnsi="Times New Roman"/>
          <w:b/>
          <w:noProof/>
          <w:color w:val="000000" w:themeColor="text1"/>
          <w:sz w:val="24"/>
          <w:szCs w:val="24"/>
        </w:rPr>
        <w:t>cel de al treilea Program de cooperare Macao-UE în domeniul juridic</w:t>
      </w:r>
      <w:r>
        <w:rPr>
          <w:rFonts w:ascii="Times New Roman" w:hAnsi="Times New Roman"/>
          <w:noProof/>
          <w:color w:val="000000" w:themeColor="text1"/>
          <w:sz w:val="24"/>
          <w:szCs w:val="24"/>
        </w:rPr>
        <w:t>, care s-a desfășurat în perioada 2015</w:t>
      </w:r>
      <w:r>
        <w:rPr>
          <w:rFonts w:ascii="Times New Roman" w:hAnsi="Times New Roman" w:cs="Times New Roman"/>
          <w:noProof/>
          <w:color w:val="000000" w:themeColor="text1"/>
          <w:sz w:val="24"/>
          <w:szCs w:val="24"/>
        </w:rPr>
        <w:t>­</w:t>
      </w:r>
      <w:r>
        <w:rPr>
          <w:rFonts w:ascii="Times New Roman" w:hAnsi="Times New Roman"/>
          <w:noProof/>
          <w:color w:val="000000" w:themeColor="text1"/>
          <w:sz w:val="24"/>
          <w:szCs w:val="24"/>
        </w:rPr>
        <w:t>2019. Programul a contribuit la modernizarea și la dezvoltarea sistemului juridic din Macao, iar UE și Macao discută posibilitatea de a extinde cooperarea în acest domeniu.</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42945"/>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1</w:t>
        </w:r>
        <w:r>
          <w:fldChar w:fldCharType="end"/>
        </w:r>
      </w:p>
    </w:sdtContent>
  </w:sdt>
  <w:sdt>
    <w:sdtPr>
      <w:id w:val="698351560"/>
      <w:docPartObj>
        <w:docPartGallery w:val="Page Numbers (Top of Page)"/>
        <w:docPartUnique/>
      </w:docPartObj>
    </w:sdtPr>
    <w:sdtEndPr>
      <w:rPr>
        <w:noProof/>
      </w:rPr>
    </w:sdtEndPr>
    <w:sdtContent>
      <w:p>
        <w:pPr>
          <w:pStyle w:val="Header"/>
          <w:jc w:val="center"/>
        </w:pPr>
      </w:p>
      <w:p>
        <w:pPr>
          <w:pStyle w:val="Header"/>
          <w:jc w:val="center"/>
          <w:rPr>
            <w:noProof/>
          </w:rPr>
        </w:pP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Aceste statistici și cele menționate în continuare erau cele mai recente disponibile la momentul redactării prezentului raport.</w:t>
      </w:r>
    </w:p>
  </w:footnote>
  <w:footnote w:id="2">
    <w:p>
      <w:pPr>
        <w:pStyle w:val="FootnoteText"/>
        <w:rPr>
          <w:rFonts w:eastAsiaTheme="minorEastAsia"/>
          <w:b/>
          <w:sz w:val="16"/>
          <w:szCs w:val="16"/>
        </w:rPr>
      </w:pPr>
      <w:r>
        <w:rPr>
          <w:rStyle w:val="FootnoteReference"/>
          <w:sz w:val="16"/>
          <w:szCs w:val="16"/>
        </w:rPr>
        <w:footnoteRef/>
      </w:r>
      <w:r>
        <w:rPr>
          <w:sz w:val="16"/>
          <w:szCs w:val="16"/>
        </w:rPr>
        <w:t xml:space="preserve"> Cu toate acestea, este de menționat faptul că Macao are un număr mare de lucrători „nerezidenți”, care nu au drept de ședere permanentă în Macao (aproximativ 87 200 </w:t>
      </w:r>
      <w:hyperlink r:id="rId1" w:history="1">
        <w:r>
          <w:rPr>
            <w:rStyle w:val="Hyperlink"/>
            <w:sz w:val="16"/>
            <w:szCs w:val="16"/>
          </w:rPr>
          <w:t>înainte de izbucnirea pandemiei de COVID-19</w:t>
        </w:r>
      </w:hyperlink>
      <w:r>
        <w:rPr>
          <w:sz w:val="16"/>
          <w:szCs w:val="16"/>
        </w:rPr>
        <w:t xml:space="preserve">), dintre care mulți fac naveta zilnic. </w:t>
      </w:r>
    </w:p>
  </w:footnote>
  <w:footnote w:id="3">
    <w:p>
      <w:pPr>
        <w:pStyle w:val="FootnoteText"/>
        <w:rPr>
          <w:sz w:val="16"/>
          <w:szCs w:val="16"/>
        </w:rPr>
      </w:pPr>
      <w:r>
        <w:rPr>
          <w:rStyle w:val="FootnoteReference"/>
          <w:sz w:val="16"/>
          <w:szCs w:val="16"/>
        </w:rPr>
        <w:footnoteRef/>
      </w:r>
      <w:r>
        <w:rPr>
          <w:sz w:val="16"/>
          <w:szCs w:val="16"/>
        </w:rPr>
        <w:t xml:space="preserve"> </w:t>
      </w:r>
      <w:r>
        <w:rPr>
          <w:color w:val="000000"/>
          <w:sz w:val="16"/>
          <w:szCs w:val="16"/>
        </w:rPr>
        <w:t xml:space="preserve">Subvenție la dobândă de până la 4 puncte procentuale pe an și împrumut de până la 2 milioane MOP. </w:t>
      </w:r>
    </w:p>
  </w:footnote>
  <w:footnote w:id="4">
    <w:p>
      <w:pPr>
        <w:pStyle w:val="FootnoteText"/>
        <w:rPr>
          <w:sz w:val="16"/>
          <w:szCs w:val="16"/>
        </w:rPr>
      </w:pPr>
      <w:r>
        <w:rPr>
          <w:rStyle w:val="FootnoteReference"/>
          <w:sz w:val="16"/>
          <w:szCs w:val="16"/>
        </w:rPr>
        <w:footnoteRef/>
      </w:r>
      <w:r>
        <w:rPr>
          <w:sz w:val="16"/>
          <w:szCs w:val="16"/>
        </w:rPr>
        <w:t xml:space="preserve"> Sursa: FMI (</w:t>
      </w:r>
      <w:hyperlink r:id="rId2" w:anchor="M" w:history="1">
        <w:r>
          <w:rPr>
            <w:rStyle w:val="Hyperlink"/>
            <w:sz w:val="16"/>
            <w:szCs w:val="16"/>
          </w:rPr>
          <w:t>https://www.imf.org/en/Topics/imf-and-covid19/%20Policy-Responses-to-COVID-19#M</w:t>
        </w:r>
      </w:hyperlink>
      <w:r>
        <w:rPr>
          <w:sz w:val="16"/>
          <w:szCs w:val="16"/>
        </w:rPr>
        <w:t>).</w:t>
      </w:r>
    </w:p>
  </w:footnote>
  <w:footnote w:id="5">
    <w:p>
      <w:pPr>
        <w:pStyle w:val="Default"/>
        <w:rPr>
          <w:sz w:val="16"/>
          <w:szCs w:val="16"/>
        </w:rPr>
      </w:pPr>
      <w:r>
        <w:rPr>
          <w:rStyle w:val="FootnoteReference"/>
          <w:sz w:val="16"/>
          <w:szCs w:val="16"/>
        </w:rPr>
        <w:footnoteRef/>
      </w:r>
      <w:r>
        <w:rPr>
          <w:sz w:val="16"/>
          <w:szCs w:val="16"/>
        </w:rPr>
        <w:t xml:space="preserve"> Sursa: OMC (</w:t>
      </w:r>
      <w:r>
        <w:rPr>
          <w:color w:val="auto"/>
          <w:sz w:val="16"/>
          <w:szCs w:val="16"/>
        </w:rPr>
        <w:t>Analiza privind politica comercială a regiunii Macao realizată de către OMC, Raport al Secretariatului, noiembrie 2020).</w:t>
      </w:r>
      <w:r>
        <w:rPr>
          <w:sz w:val="16"/>
          <w:szCs w:val="16"/>
        </w:rPr>
        <w:t xml:space="preserve"> </w:t>
      </w:r>
    </w:p>
  </w:footnote>
  <w:footnote w:id="6">
    <w:p>
      <w:pPr>
        <w:pStyle w:val="Default"/>
        <w:rPr>
          <w:sz w:val="16"/>
          <w:szCs w:val="16"/>
        </w:rPr>
      </w:pPr>
      <w:r>
        <w:rPr>
          <w:rStyle w:val="FootnoteReference"/>
          <w:sz w:val="16"/>
          <w:szCs w:val="16"/>
        </w:rPr>
        <w:footnoteRef/>
      </w:r>
      <w:r>
        <w:rPr>
          <w:sz w:val="16"/>
          <w:szCs w:val="16"/>
        </w:rPr>
        <w:t xml:space="preserve"> Potrivit OMC, numărul de evenimente a crescut cu 50 % între 2012 și 2019, înainte ca această industrie să fie puternic afectată de pandemie.</w:t>
      </w:r>
    </w:p>
    <w:p>
      <w:pPr>
        <w:autoSpaceDE w:val="0"/>
        <w:autoSpaceDN w:val="0"/>
        <w:adjustRightInd w:val="0"/>
        <w:spacing w:after="0" w:line="240" w:lineRule="auto"/>
        <w:rPr>
          <w:rFonts w:ascii="Verdana" w:hAnsi="Verdana" w:cs="Verdana"/>
          <w:color w:val="000000"/>
          <w:sz w:val="18"/>
          <w:szCs w:val="18"/>
        </w:rPr>
      </w:pPr>
    </w:p>
    <w:p>
      <w:pPr>
        <w:autoSpaceDE w:val="0"/>
        <w:autoSpaceDN w:val="0"/>
        <w:adjustRightInd w:val="0"/>
        <w:spacing w:after="0" w:line="240" w:lineRule="auto"/>
        <w:rPr>
          <w:rFonts w:ascii="Verdana" w:hAnsi="Verdana" w:cs="Verdana"/>
          <w:color w:val="000000"/>
          <w:sz w:val="18"/>
          <w:szCs w:val="18"/>
        </w:rPr>
      </w:pPr>
    </w:p>
    <w:p>
      <w:pPr>
        <w:pStyle w:val="FootnoteText"/>
      </w:pPr>
    </w:p>
  </w:footnote>
  <w:footnote w:id="7">
    <w:p>
      <w:pPr>
        <w:pStyle w:val="FootnoteText"/>
        <w:rPr>
          <w:sz w:val="16"/>
          <w:szCs w:val="16"/>
        </w:rPr>
      </w:pPr>
      <w:r>
        <w:rPr>
          <w:rStyle w:val="FootnoteReference"/>
          <w:sz w:val="16"/>
          <w:szCs w:val="16"/>
        </w:rPr>
        <w:footnoteRef/>
      </w:r>
      <w:r>
        <w:rPr>
          <w:sz w:val="16"/>
          <w:szCs w:val="16"/>
        </w:rPr>
        <w:t xml:space="preserve"> Cifre pentru UE-27.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42317"/>
      <w:docPartObj>
        <w:docPartGallery w:val="Page Numbers (Top of Page)"/>
        <w:docPartUnique/>
      </w:docPartObj>
    </w:sdtPr>
    <w:sdtEndPr>
      <w:rPr>
        <w:noProof/>
      </w:rPr>
    </w:sdtEndPr>
    <w:sdtContent>
      <w:p>
        <w:pPr>
          <w:pStyle w:val="Header"/>
          <w:jc w:val="center"/>
        </w:pPr>
      </w:p>
      <w:p>
        <w:pPr>
          <w:pStyle w:val="Header"/>
          <w:jc w:val="center"/>
        </w:pPr>
      </w:p>
    </w:sdtContent>
  </w:sdt>
  <w:p>
    <w:pPr>
      <w:pStyle w:val="Header"/>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42D7BF6-FFFC-4980-BF53-376AC66AF3E3"/>
    <w:docVar w:name="LW_COVERPAGE_TYPE" w:val="1"/>
    <w:docVar w:name="LW_CROSSREFERENCE" w:val="&lt;UNUSED&gt;"/>
    <w:docVar w:name="LW_DocType" w:val="NORMAL"/>
    <w:docVar w:name="LW_EMISSION" w:val="12.3.2021"/>
    <w:docVar w:name="LW_EMISSION_ISODATE" w:val="2021-03-12"/>
    <w:docVar w:name="LW_EMISSION_LOCATION" w:val="BRX"/>
    <w:docVar w:name="LW_EMISSION_PREFIX" w:val="Bruxelles, "/>
    <w:docVar w:name="LW_EMISSION_SUFFIX" w:val=" "/>
    <w:docVar w:name="LW_ID_DOCTYPE_NONLW" w:val="CP-018"/>
    <w:docVar w:name="LW_LANGUE" w:val="RO"/>
    <w:docVar w:name="LW_LEVEL_OF_SENSITIVITY" w:val="Standard treatment"/>
    <w:docVar w:name="LW_NOM.INST" w:val="COMISIA EUROPEAN\u258?"/>
    <w:docVar w:name="LW_NOM.INST_JOINTDOC" w:val="ÎNALTUL REPREZENTANT AL_x000b_UNIUNII PENTRU AFACERI_x000b_ EXTERNE \u536?I POLITICA_x000b_DE SECURITATE"/>
    <w:docVar w:name="LW_PART_NBR" w:val="1"/>
    <w:docVar w:name="LW_PART_NBR_TOTAL" w:val="1"/>
    <w:docVar w:name="LW_REF.INST.NEW" w:val="JOIN"/>
    <w:docVar w:name="LW_REF.INST.NEW_ADOPTED" w:val="final"/>
    <w:docVar w:name="LW_REF.INST.NEW_TEXT" w:val="(2021)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Regiunea Administrativ\u259? Special\u259? Macao:&lt;/FMT&gt;_x000d__x000d__x000b_&lt;FMT:Bold&gt;Raport anual pentru 2020&lt;/FMT&gt;"/>
    <w:docVar w:name="LW_TYPE.DOC.CP" w:val="RAPORT COMUN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3Char">
    <w:name w:val="Heading 3 Char"/>
    <w:basedOn w:val="DefaultParagraphFont"/>
    <w:link w:val="Heading3"/>
    <w:uiPriority w:val="9"/>
    <w:rPr>
      <w:rFonts w:ascii="Times New Roman" w:hAnsi="Times New Roman" w:cs="Times New Roman"/>
      <w:b/>
      <w:bCs/>
      <w:sz w:val="27"/>
      <w:szCs w:val="27"/>
      <w:lang w:eastAsia="en-GB"/>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val="ro-RO"/>
    </w:rPr>
  </w:style>
  <w:style w:type="character" w:styleId="FootnoteReference">
    <w:name w:val="footnote reference"/>
    <w:uiPriority w:val="99"/>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3Char">
    <w:name w:val="Heading 3 Char"/>
    <w:basedOn w:val="DefaultParagraphFont"/>
    <w:link w:val="Heading3"/>
    <w:uiPriority w:val="9"/>
    <w:rPr>
      <w:rFonts w:ascii="Times New Roman" w:hAnsi="Times New Roman" w:cs="Times New Roman"/>
      <w:b/>
      <w:bCs/>
      <w:sz w:val="27"/>
      <w:szCs w:val="27"/>
      <w:lang w:eastAsia="en-GB"/>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val="ro-RO"/>
    </w:rPr>
  </w:style>
  <w:style w:type="character" w:styleId="FootnoteReference">
    <w:name w:val="footnote reference"/>
    <w:uiPriority w:val="99"/>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mf.org/en/Topics/imf-and-covid19/%20Policy-Responses-to-COVID-19" TargetMode="External"/><Relationship Id="rId1" Type="http://schemas.openxmlformats.org/officeDocument/2006/relationships/hyperlink" Target="https://www.dsec.gov.mo/getAttachment/a2e7f250-4bc5-4df1-917c-77f2af58193c/E_IE_PUB_2019_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4F81-B126-4201-8D6C-8560BD7A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3690</Words>
  <Characters>20927</Characters>
  <Application>Microsoft Office Word</Application>
  <DocSecurity>0</DocSecurity>
  <Lines>360</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2021-02-17T11:41:00Z</dcterms:created>
  <dcterms:modified xsi:type="dcterms:W3CDTF">2021-03-16T09:22:00Z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CP-018</vt:lpwstr>
  </property>
  <property fmtid="{D5CDD505-2E9C-101B-9397-08002B2CF9AE}" pid="7" name="Last edited using">
    <vt:lpwstr>LW 7.0, Build 20190717</vt:lpwstr>
  </property>
  <property fmtid="{D5CDD505-2E9C-101B-9397-08002B2CF9AE}" pid="8" name="Created using">
    <vt:lpwstr>LW 7.0, Build 20190717</vt:lpwstr>
  </property>
</Properties>
</file>