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5A451A8-6BF1-41F4-AF47-170C54B8FB90" style="width:450.4pt;height:338.5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widowControl w:val="0"/>
        <w:shd w:val="clear" w:color="auto" w:fill="FFFFFF"/>
        <w:autoSpaceDE w:val="0"/>
        <w:autoSpaceDN w:val="0"/>
        <w:adjustRightInd w:val="0"/>
        <w:spacing w:before="230" w:after="0" w:line="269" w:lineRule="exact"/>
        <w:ind w:right="86"/>
        <w:rPr>
          <w:noProof/>
        </w:rPr>
      </w:pPr>
      <w:r>
        <w:rPr>
          <w:noProof/>
        </w:rPr>
        <w:t>Käesolevas soovituses käsitletakse otsust, millega antakse komisjonile luba pidada liidu nimel selliseid läbirääkimisi rahvusvahelise kakaolepingu (edaspidi „leping“)</w:t>
      </w:r>
      <w:r>
        <w:rPr>
          <w:rStyle w:val="FootnoteReference"/>
          <w:noProof/>
        </w:rPr>
        <w:footnoteReference w:id="1"/>
      </w:r>
      <w:r>
        <w:rPr>
          <w:noProof/>
        </w:rPr>
        <w:t xml:space="preserve"> osalise läbivaatamise üle, mida rahvusvaheline kakaonõukogu (edaspidi „kakaonõukogu“) otsustas ÜRO Kaubandus- ja Arengukonverentsi (UNCTAD) juhtimisel alustada.</w:t>
      </w:r>
    </w:p>
    <w:p>
      <w:pPr>
        <w:pStyle w:val="ManualHeading1"/>
        <w:rPr>
          <w:noProof/>
        </w:rPr>
      </w:pPr>
      <w:r>
        <w:rPr>
          <w:noProof/>
        </w:rPr>
        <w:t>1.</w:t>
      </w:r>
      <w:r>
        <w:rPr>
          <w:noProof/>
        </w:rPr>
        <w:tab/>
        <w:t>ETTEPANEKU TAUST</w:t>
      </w:r>
    </w:p>
    <w:p>
      <w:pPr>
        <w:pStyle w:val="ManualHeading2"/>
        <w:rPr>
          <w:noProof/>
        </w:rPr>
      </w:pPr>
      <w:r>
        <w:rPr>
          <w:noProof/>
        </w:rPr>
        <w:tab/>
        <w:t>2010. aastal sõlmitud rahvusvahelise kakaolepingu läbivaatamine</w:t>
      </w:r>
    </w:p>
    <w:p>
      <w:pPr>
        <w:pBdr>
          <w:top w:val="nil"/>
          <w:left w:val="nil"/>
          <w:bottom w:val="nil"/>
          <w:right w:val="nil"/>
          <w:between w:val="nil"/>
          <w:bar w:val="nil"/>
        </w:pBdr>
        <w:spacing w:before="0" w:after="240"/>
        <w:rPr>
          <w:noProof/>
        </w:rPr>
      </w:pPr>
      <w:r>
        <w:rPr>
          <w:noProof/>
        </w:rPr>
        <w:t>Euroopa Liit on lepingu</w:t>
      </w:r>
      <w:r>
        <w:rPr>
          <w:rStyle w:val="FootnoteReference"/>
          <w:noProof/>
        </w:rPr>
        <w:footnoteReference w:id="2"/>
      </w:r>
      <w:r>
        <w:rPr>
          <w:noProof/>
        </w:rPr>
        <w:t xml:space="preserve"> osaline.</w:t>
      </w:r>
    </w:p>
    <w:p>
      <w:pPr>
        <w:pBdr>
          <w:top w:val="nil"/>
          <w:left w:val="nil"/>
          <w:bottom w:val="nil"/>
          <w:right w:val="nil"/>
          <w:between w:val="nil"/>
          <w:bar w:val="nil"/>
        </w:pBdr>
        <w:spacing w:before="0" w:after="240"/>
        <w:rPr>
          <w:noProof/>
        </w:rPr>
      </w:pPr>
      <w:r>
        <w:rPr>
          <w:noProof/>
        </w:rPr>
        <w:t>Lepingu eesmärk on tagada tõhustatud rahvusvaheline koostöö üleilmsetes kakao- ja sellega seotud küsimustes, luua foorum valitsustevaheliste kakaoalaste ja ülemaailmse kakaomajanduse parandamist käsitlevate konsultatsioonide pidamiseks, hõlbustada kaubandust üleilmset kakaoturgu käsitleva teabe kogumise ja vahetamise abil ning soodustada suurenenud nõudlust kakao järele.</w:t>
      </w:r>
    </w:p>
    <w:p>
      <w:pPr>
        <w:pBdr>
          <w:top w:val="nil"/>
          <w:left w:val="nil"/>
          <w:bottom w:val="nil"/>
          <w:right w:val="nil"/>
          <w:between w:val="nil"/>
          <w:bar w:val="nil"/>
        </w:pBdr>
        <w:spacing w:before="0" w:after="240"/>
        <w:rPr>
          <w:noProof/>
        </w:rPr>
      </w:pPr>
      <w:r>
        <w:rPr>
          <w:noProof/>
        </w:rPr>
        <w:t>Leping jõustus ajutiselt 1. oktoobril 2012 kümneks aastaks kehtivusega kuni 30. septembrini 2022.</w:t>
      </w:r>
    </w:p>
    <w:p>
      <w:pPr>
        <w:pBdr>
          <w:top w:val="nil"/>
          <w:left w:val="nil"/>
          <w:bottom w:val="nil"/>
          <w:right w:val="nil"/>
          <w:between w:val="nil"/>
          <w:bar w:val="nil"/>
        </w:pBdr>
        <w:spacing w:before="0" w:after="240"/>
        <w:rPr>
          <w:noProof/>
        </w:rPr>
      </w:pPr>
      <w:r>
        <w:rPr>
          <w:noProof/>
        </w:rPr>
        <w:t>Lepingu artikli 7 kohaselt on kakaonõukogu kõigi lepingu rakendamiseks vajalike ülesannete täitmise eest vastutav organ. Lepingu artiklis 12 on sätestatud, et kõik kakaonõukogu otsused tehakse konsensuse alusel, kui lepingus ei ole ette nähtud teisiti. Kui konsensust ei saavutata, tehakse otsused kvalifitseeritud häälteenamusega.</w:t>
      </w:r>
    </w:p>
    <w:p>
      <w:pPr>
        <w:pBdr>
          <w:top w:val="nil"/>
          <w:left w:val="nil"/>
          <w:bottom w:val="nil"/>
          <w:right w:val="nil"/>
          <w:between w:val="nil"/>
          <w:bar w:val="nil"/>
        </w:pBdr>
        <w:spacing w:before="0" w:after="240"/>
        <w:rPr>
          <w:noProof/>
        </w:rPr>
      </w:pPr>
      <w:r>
        <w:rPr>
          <w:noProof/>
        </w:rPr>
        <w:t>Lepingu artikli 10 kohaselt on rahvusvahelise kakaoorganisatsiooni (edaspidi „organisatsioon“) liikmetel kokku 2000 häält. Igal organisatsiooni liikmel on konkreetne arv hääli, mida igal aastal kohandatakse vastavalt lepingus eelnevalt kindlaks määratud kriteeriumidele. Leping ja eelkõige liikmetevaheline häälte jaotus määravad samuti kindlaks liikmete panuse. Praegu on organisatsiooni eelarve suurim rahastaja Euroopa Liit.</w:t>
      </w:r>
    </w:p>
    <w:p>
      <w:pPr>
        <w:pBdr>
          <w:top w:val="nil"/>
          <w:left w:val="nil"/>
          <w:bottom w:val="nil"/>
          <w:right w:val="nil"/>
          <w:between w:val="nil"/>
          <w:bar w:val="nil"/>
        </w:pBdr>
        <w:spacing w:before="0" w:after="240"/>
        <w:rPr>
          <w:noProof/>
        </w:rPr>
      </w:pPr>
      <w:r>
        <w:rPr>
          <w:noProof/>
        </w:rPr>
        <w:t>Kakaonõukogu algatas läbirääkimised, et teha otsus lepingu kehtivuse võimaliku pikendamise kohta enne praeguse tähtaja lõppu. Need läbirääkimised on õige võimalus vaadata leping osaliselt läbi, keskendudes ajakohastamisele ja lihtsustamisele.</w:t>
      </w:r>
    </w:p>
    <w:p>
      <w:pPr>
        <w:pBdr>
          <w:top w:val="nil"/>
          <w:left w:val="nil"/>
          <w:bottom w:val="nil"/>
          <w:right w:val="nil"/>
          <w:between w:val="nil"/>
          <w:bar w:val="nil"/>
        </w:pBdr>
        <w:spacing w:before="0" w:after="240"/>
        <w:rPr>
          <w:noProof/>
        </w:rPr>
      </w:pPr>
      <w:r>
        <w:rPr>
          <w:noProof/>
        </w:rPr>
        <w:t>Komisjoni juhised muudatuste soovitamiseks on sätestatud lisas.</w:t>
      </w:r>
    </w:p>
    <w:p>
      <w:pPr>
        <w:pBdr>
          <w:top w:val="nil"/>
          <w:left w:val="nil"/>
          <w:bottom w:val="nil"/>
          <w:right w:val="nil"/>
          <w:between w:val="nil"/>
          <w:bar w:val="nil"/>
        </w:pBdr>
        <w:spacing w:before="0" w:after="240"/>
        <w:rPr>
          <w:rFonts w:eastAsia="Arial Unicode MS"/>
          <w:noProof/>
        </w:rPr>
      </w:pPr>
      <w:r>
        <w:rPr>
          <w:noProof/>
        </w:rPr>
        <w:t>Lepingu reformimine, et viia see kooskõlla muudes rahvusvahelistes põhitarbeainete nõukogudes ELi poolt toetatud tegevusega ning pärast 2010. aastat ülemaailmsel kakaoturul toimunud muutustega, on selgelt liidu huvides. Seda on korrapäraselt kirjeldatud viimastel kakaonõukogu istungitel aastatel 2019–2020, millel osalesid ka ELi liikmesriigid.</w:t>
      </w:r>
    </w:p>
    <w:p>
      <w:pPr>
        <w:pBdr>
          <w:top w:val="nil"/>
          <w:left w:val="nil"/>
          <w:bottom w:val="nil"/>
          <w:right w:val="nil"/>
          <w:between w:val="nil"/>
          <w:bar w:val="nil"/>
        </w:pBdr>
        <w:spacing w:before="0" w:after="240"/>
        <w:rPr>
          <w:noProof/>
        </w:rPr>
      </w:pPr>
      <w:r>
        <w:rPr>
          <w:noProof/>
        </w:rPr>
        <w:t>Lepingu artikli 1 kohast lepingu üldeesmärki ei ole kavas muuta.</w:t>
      </w:r>
    </w:p>
    <w:p>
      <w:pPr>
        <w:pBdr>
          <w:top w:val="nil"/>
          <w:left w:val="nil"/>
          <w:bottom w:val="nil"/>
          <w:right w:val="nil"/>
          <w:between w:val="nil"/>
          <w:bar w:val="nil"/>
        </w:pBdr>
        <w:spacing w:before="0" w:after="240"/>
        <w:rPr>
          <w:noProof/>
        </w:rPr>
      </w:pPr>
      <w:r>
        <w:rPr>
          <w:noProof/>
        </w:rPr>
        <w:t>Läbivaadatud lepingus pakutakse välja kaks järgmist peamist muudatust.</w:t>
      </w:r>
    </w:p>
    <w:p>
      <w:pPr>
        <w:pStyle w:val="Bullet0"/>
        <w:numPr>
          <w:ilvl w:val="0"/>
          <w:numId w:val="9"/>
        </w:numPr>
        <w:rPr>
          <w:noProof/>
        </w:rPr>
      </w:pPr>
      <w:r>
        <w:rPr>
          <w:noProof/>
        </w:rPr>
        <w:lastRenderedPageBreak/>
        <w:t>Veenduda, et liikmesriigid võtavad kõik vajalikud meetmed kestliku kakaomajanduse saavutamiseks, võttes arvesse kestliku arengu põhimõtteid, mis on muu hulgas sätestatud 2015. aastal New Yorgis vastu võetud ÜRO kestliku arengu tegevuskavas aastani 2030.</w:t>
      </w:r>
    </w:p>
    <w:p>
      <w:pPr>
        <w:pStyle w:val="Bullet0"/>
        <w:rPr>
          <w:noProof/>
        </w:rPr>
      </w:pPr>
      <w:r>
        <w:rPr>
          <w:noProof/>
        </w:rPr>
        <w:t>Leppida kokku, et läbivaadatud leping jääb kehtima seni, kuni kakaonõukogu selle kehtetuks tunnistab.</w:t>
      </w:r>
    </w:p>
    <w:p>
      <w:pPr>
        <w:pStyle w:val="ManualHeading1"/>
        <w:rPr>
          <w:noProof/>
        </w:rPr>
      </w:pPr>
      <w:r>
        <w:rPr>
          <w:noProof/>
        </w:rPr>
        <w:t>2.</w:t>
      </w:r>
      <w:r>
        <w:rPr>
          <w:noProof/>
        </w:rPr>
        <w:tab/>
        <w:t>ÕIGUSLIK ALUS, SUBSIDIAARSUS JA PROPORTSIONAALSUS</w:t>
      </w:r>
    </w:p>
    <w:p>
      <w:pPr>
        <w:pStyle w:val="ManualHeading2"/>
        <w:rPr>
          <w:noProof/>
        </w:rPr>
      </w:pPr>
      <w:r>
        <w:rPr>
          <w:noProof/>
        </w:rPr>
        <w:tab/>
      </w:r>
      <w:r>
        <w:rPr>
          <w:noProof/>
          <w:u w:color="000000"/>
          <w:bdr w:val="nil"/>
        </w:rPr>
        <w:t>Õiguslik alus</w:t>
      </w:r>
    </w:p>
    <w:p>
      <w:pPr>
        <w:pBdr>
          <w:top w:val="nil"/>
          <w:left w:val="nil"/>
          <w:bottom w:val="nil"/>
          <w:right w:val="nil"/>
          <w:between w:val="nil"/>
          <w:bar w:val="nil"/>
        </w:pBdr>
        <w:spacing w:before="0" w:after="240"/>
        <w:rPr>
          <w:noProof/>
        </w:rPr>
      </w:pPr>
      <w:r>
        <w:rPr>
          <w:noProof/>
        </w:rPr>
        <w:t>Euroopa Liidu toimimise lepingu artikli 218 lõikes 3 on sätestatud võimalus anda luba alustada läbirääkimisi ning nimetada sõltuvalt kavandatava lepingu teemast liidu läbirääkija või läbirääkimisrühma juht. Euroopa Liidu toimimise lepingu artikli 218 lõikes 4 on sätestatud, et nõukogu võib anda läbirääkijale juhiseid ning moodustada erikomitee, kellega tuleb läbirääkimiste pidamisel konsulteerida.</w:t>
      </w:r>
    </w:p>
    <w:p>
      <w:pPr>
        <w:pStyle w:val="ManualHeading2"/>
        <w:rPr>
          <w:noProof/>
        </w:rPr>
      </w:pPr>
      <w:r>
        <w:rPr>
          <w:noProof/>
        </w:rPr>
        <w:tab/>
        <w:t>Kohaldamine käesoleval juhtumil</w:t>
      </w:r>
    </w:p>
    <w:p>
      <w:pPr>
        <w:pBdr>
          <w:top w:val="nil"/>
          <w:left w:val="nil"/>
          <w:bottom w:val="nil"/>
          <w:right w:val="nil"/>
          <w:between w:val="nil"/>
          <w:bar w:val="nil"/>
        </w:pBdr>
        <w:spacing w:before="0" w:after="240"/>
        <w:rPr>
          <w:noProof/>
        </w:rPr>
      </w:pPr>
      <w:r>
        <w:rPr>
          <w:noProof/>
        </w:rPr>
        <w:t>Kavandatud läbirääkimisjuhised peaksid andma läbirääkijale liidu nimel vahendid, et saavutada punktis 1 esitatud üldeesmärgid. Need on loetletud lisas.</w:t>
      </w:r>
    </w:p>
    <w:p>
      <w:pPr>
        <w:pBdr>
          <w:top w:val="nil"/>
          <w:left w:val="nil"/>
          <w:bottom w:val="nil"/>
          <w:right w:val="nil"/>
          <w:between w:val="nil"/>
          <w:bar w:val="nil"/>
        </w:pBdr>
        <w:spacing w:before="0" w:after="240"/>
        <w:rPr>
          <w:noProof/>
        </w:rPr>
      </w:pPr>
      <w:r>
        <w:rPr>
          <w:noProof/>
        </w:rPr>
        <w:t>Soovituses esitatud otsuse menetlusõiguslik alus on seega Euroopa Liidu toimimise lepingu artikli 218 lõiked 3 ja 4.</w:t>
      </w:r>
    </w:p>
    <w:p>
      <w:pPr>
        <w:pStyle w:val="ManualHeading2"/>
        <w:rPr>
          <w:noProof/>
        </w:rPr>
      </w:pPr>
      <w:r>
        <w:rPr>
          <w:noProof/>
        </w:rPr>
        <w:tab/>
        <w:t>Kokkuvõte</w:t>
      </w:r>
    </w:p>
    <w:p>
      <w:pPr>
        <w:pBdr>
          <w:top w:val="nil"/>
          <w:left w:val="nil"/>
          <w:bottom w:val="nil"/>
          <w:right w:val="nil"/>
          <w:between w:val="nil"/>
          <w:bar w:val="nil"/>
        </w:pBdr>
        <w:spacing w:before="0" w:after="240"/>
        <w:rPr>
          <w:noProof/>
        </w:rPr>
      </w:pPr>
      <w:r>
        <w:rPr>
          <w:noProof/>
        </w:rPr>
        <w:t>Soovituses esitatud otsuse õiguslik alus on Euroopa Liidu toimimise lepingu artikli 218 lõiked 3 ja 4.</w:t>
      </w:r>
    </w:p>
    <w:p>
      <w:pPr>
        <w:pStyle w:val="ManualHeading2"/>
        <w:rPr>
          <w:noProof/>
        </w:rPr>
      </w:pPr>
      <w:r>
        <w:rPr>
          <w:noProof/>
        </w:rPr>
        <w:tab/>
        <w:t>Subsidiaarsus (ainupädevusse mittekuuluva valdkonna puhul)</w:t>
      </w:r>
    </w:p>
    <w:p>
      <w:pPr>
        <w:pBdr>
          <w:top w:val="nil"/>
          <w:left w:val="nil"/>
          <w:bottom w:val="nil"/>
          <w:right w:val="nil"/>
          <w:between w:val="nil"/>
          <w:bar w:val="nil"/>
        </w:pBdr>
        <w:spacing w:before="0" w:after="240"/>
        <w:rPr>
          <w:noProof/>
        </w:rPr>
      </w:pPr>
      <w:r>
        <w:rPr>
          <w:noProof/>
        </w:rPr>
        <w:t>Liit on lepinguosaline, keda kakaonõukogus esindab Euroopa Komisjon. Liikmesriigid eraldi ei ole lepinguosalised. Liidu nimel läbirääkimiste pidamine lepingu osalise läbivaatamise üle kuulub liidu ainupädevusse.</w:t>
      </w:r>
    </w:p>
    <w:p>
      <w:pPr>
        <w:pStyle w:val="ManualHeading2"/>
        <w:rPr>
          <w:noProof/>
        </w:rPr>
      </w:pPr>
      <w:r>
        <w:rPr>
          <w:noProof/>
        </w:rPr>
        <w:tab/>
        <w:t>Proportsionaalsus</w:t>
      </w:r>
    </w:p>
    <w:p>
      <w:pPr>
        <w:pBdr>
          <w:top w:val="nil"/>
          <w:left w:val="nil"/>
          <w:bottom w:val="nil"/>
          <w:right w:val="nil"/>
          <w:between w:val="nil"/>
          <w:bar w:val="nil"/>
        </w:pBdr>
        <w:spacing w:before="0" w:after="240"/>
        <w:rPr>
          <w:rFonts w:eastAsia="Arial Unicode MS"/>
          <w:noProof/>
        </w:rPr>
      </w:pPr>
      <w:r>
        <w:rPr>
          <w:noProof/>
        </w:rPr>
        <w:t>Lepingu läbivaatamine selle täiustamiseks ja ajakohastamiseks on liidu huvides. Praegu on ELi osalemine organisatsioonis kasulik nii liidule kui ka organisatsiooni muudele liikmesriikidele. Lepingu ajakohastamine suurendab eeldatavasti huvi organisatsiooni vastu ja võib tuua sellele uusi liikmeid ning suurendada selle tegevuse mõju.</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ab/>
      </w:r>
      <w:r>
        <w:rPr>
          <w:noProof/>
          <w:u w:color="000000"/>
          <w:bdr w:val="nil"/>
        </w:rPr>
        <w:t>Konsulteerimine sidusrühmadega</w:t>
      </w:r>
    </w:p>
    <w:p>
      <w:pPr>
        <w:pBdr>
          <w:top w:val="nil"/>
          <w:left w:val="nil"/>
          <w:bottom w:val="nil"/>
          <w:right w:val="nil"/>
          <w:between w:val="nil"/>
          <w:bar w:val="nil"/>
        </w:pBdr>
        <w:spacing w:before="0" w:after="240"/>
        <w:rPr>
          <w:rFonts w:eastAsia="Arial Unicode MS"/>
          <w:noProof/>
        </w:rPr>
      </w:pPr>
      <w:r>
        <w:rPr>
          <w:noProof/>
        </w:rPr>
        <w:t>Euroopa Liit on lepinguosaline ning alates 2010. aastast on ELi kakaosektor ja enamik ELi liikmesriike lepinguosaliseks olemist üldiselt toetanud. Konsultatsioonide alustamist sidusrühmadega ei peeta vajalikuks, sest eesmärk on säilitada ELi liikmesus organisatsioonis, samas on edaspidi kavas lähtuda eeskirjadest, mis vastavad nende muude rahvusvaheliste põhitarbeainete organisatsioonide eeskirjadele, kuhu EL kuulub.</w:t>
      </w:r>
    </w:p>
    <w:p>
      <w:pPr>
        <w:pStyle w:val="ManualHeading2"/>
        <w:rPr>
          <w:rFonts w:eastAsia="Arial Unicode MS"/>
          <w:noProof/>
          <w:u w:color="000000"/>
          <w:bdr w:val="nil"/>
        </w:rPr>
      </w:pPr>
      <w:r>
        <w:rPr>
          <w:noProof/>
        </w:rPr>
        <w:lastRenderedPageBreak/>
        <w:tab/>
      </w:r>
      <w:r>
        <w:rPr>
          <w:noProof/>
          <w:u w:color="000000"/>
          <w:bdr w:val="nil"/>
        </w:rPr>
        <w:t>Mõjuhinnang</w:t>
      </w:r>
    </w:p>
    <w:p>
      <w:pPr>
        <w:pBdr>
          <w:top w:val="nil"/>
          <w:left w:val="nil"/>
          <w:bottom w:val="nil"/>
          <w:right w:val="nil"/>
          <w:between w:val="nil"/>
          <w:bar w:val="nil"/>
        </w:pBdr>
        <w:spacing w:before="0" w:after="240"/>
        <w:rPr>
          <w:rFonts w:eastAsia="Arial Unicode MS"/>
          <w:noProof/>
        </w:rPr>
      </w:pPr>
      <w:r>
        <w:rPr>
          <w:noProof/>
        </w:rPr>
        <w:t>Täiemahuline mõjuhinnang ei ole vajalik, kuna meetmel ei ole tõenäoliselt märkimisväärset majanduslikku, sotsiaalset ega keskkonnamõju. Lepingu eduka muutmise tulemuseks oleks selle reformitud haldamine, mis on lepingu ajakohastamise oluline lähtepunkt ja selle tulemusena peaksid organisatsiooni liikmed organisatsiooni tegevuses aktiivsemalt osalema.</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r>
        <w:rPr>
          <w:noProof/>
        </w:rPr>
        <w:t>Läbirääkimiste alustamine ei avalda mõju eelarvele.</w:t>
      </w:r>
    </w:p>
    <w:p>
      <w:pPr>
        <w:pStyle w:val="Statut"/>
        <w:rPr>
          <w:noProof/>
        </w:rPr>
      </w:pPr>
      <w:r>
        <w:rPr>
          <w:noProof/>
        </w:rPr>
        <w:lastRenderedPageBreak/>
        <w:t>Soovitus:</w:t>
      </w:r>
    </w:p>
    <w:p>
      <w:pPr>
        <w:pStyle w:val="Typedudocument"/>
        <w:rPr>
          <w:noProof/>
        </w:rPr>
      </w:pPr>
      <w:r>
        <w:rPr>
          <w:noProof/>
        </w:rPr>
        <w:t>NÕUKOGU OTSUS,</w:t>
      </w:r>
    </w:p>
    <w:p>
      <w:pPr>
        <w:pStyle w:val="Titreobjet"/>
        <w:rPr>
          <w:noProof/>
        </w:rPr>
      </w:pPr>
      <w:r>
        <w:rPr>
          <w:noProof/>
        </w:rPr>
        <w:t>millega antakse luba alustada läbirääkimisi 2010. aasta rahvusvahelise kakaolepingu muutmiseks</w:t>
      </w:r>
    </w:p>
    <w:p>
      <w:pPr>
        <w:pStyle w:val="Institutionquiagit"/>
        <w:rPr>
          <w:noProof/>
        </w:rPr>
      </w:pPr>
      <w:r>
        <w:rPr>
          <w:noProof/>
        </w:rPr>
        <w:t>EUROOPA LIIDU NÕUKOGU,</w:t>
      </w:r>
    </w:p>
    <w:p>
      <w:pPr>
        <w:rPr>
          <w:noProof/>
        </w:rPr>
      </w:pPr>
      <w:r>
        <w:rPr>
          <w:noProof/>
        </w:rPr>
        <w:t>võttes arvesse Euroopa Liidu toimimise lepingut, eriti selle</w:t>
      </w:r>
    </w:p>
    <w:p>
      <w:pPr>
        <w:rPr>
          <w:noProof/>
        </w:rPr>
      </w:pPr>
      <w:r>
        <w:rPr>
          <w:noProof/>
        </w:rPr>
        <w:t>artikli 218 lõikeid 3 ja 4,</w:t>
      </w:r>
    </w:p>
    <w:p>
      <w:pPr>
        <w:rPr>
          <w:noProof/>
        </w:rPr>
      </w:pPr>
      <w:r>
        <w:rPr>
          <w:noProof/>
        </w:rPr>
        <w:t>võttes arvesse Euroopa Komisjoni soovitust</w:t>
      </w:r>
    </w:p>
    <w:p>
      <w:pPr>
        <w:rPr>
          <w:noProof/>
        </w:rPr>
      </w:pPr>
      <w:r>
        <w:rPr>
          <w:noProof/>
        </w:rPr>
        <w:t>ning arvestades järgmist:</w:t>
      </w:r>
    </w:p>
    <w:p>
      <w:pPr>
        <w:pStyle w:val="ManualConsidrant"/>
        <w:rPr>
          <w:noProof/>
        </w:rPr>
      </w:pPr>
      <w:r>
        <w:rPr>
          <w:noProof/>
        </w:rPr>
        <w:t>(1)</w:t>
      </w:r>
      <w:r>
        <w:rPr>
          <w:noProof/>
        </w:rPr>
        <w:tab/>
        <w:t>Liit on 2010. aastal sõlmitud rahvusvahelise kakaolepingu (edaspidi „leping“)</w:t>
      </w:r>
      <w:r>
        <w:rPr>
          <w:rStyle w:val="FootnoteReference"/>
          <w:noProof/>
        </w:rPr>
        <w:footnoteReference w:id="3"/>
      </w:r>
      <w:r>
        <w:rPr>
          <w:noProof/>
        </w:rPr>
        <w:t xml:space="preserve"> osaline ja rahvusvahelise kakaoorganisatsiooni (edaspidi „organisatsioon“)</w:t>
      </w:r>
      <w:r>
        <w:rPr>
          <w:rStyle w:val="FootnoteReference"/>
          <w:noProof/>
        </w:rPr>
        <w:footnoteReference w:id="4"/>
      </w:r>
      <w:r>
        <w:rPr>
          <w:noProof/>
        </w:rPr>
        <w:t xml:space="preserve"> liige.</w:t>
      </w:r>
    </w:p>
    <w:p>
      <w:pPr>
        <w:pStyle w:val="ManualConsidrant"/>
        <w:rPr>
          <w:noProof/>
        </w:rPr>
      </w:pPr>
      <w:r>
        <w:rPr>
          <w:noProof/>
        </w:rPr>
        <w:t>(2)</w:t>
      </w:r>
      <w:r>
        <w:rPr>
          <w:noProof/>
        </w:rPr>
        <w:tab/>
        <w:t>Vastavalt lepingu artiklile 7 täidab rahvusvaheline kakaonõukogu (edaspidi „kakaonõukogu“) kõiki lepingu rakendamiseks vajalikke ülesandeid või korraldab nende täitmist. Lepingu artikli 12 kohaselt tehakse üldjuhul kõik kakaonõukogu otsused konsensuse alusel. Kui konsensust ei saavutata, tehakse otsused kvalifitseeritud häälteenamusega.</w:t>
      </w:r>
    </w:p>
    <w:p>
      <w:pPr>
        <w:pStyle w:val="ManualConsidrant"/>
        <w:rPr>
          <w:noProof/>
        </w:rPr>
      </w:pPr>
      <w:r>
        <w:rPr>
          <w:noProof/>
        </w:rPr>
        <w:t>(3)</w:t>
      </w:r>
      <w:r>
        <w:rPr>
          <w:noProof/>
        </w:rPr>
        <w:tab/>
        <w:t>Lepingu artikli 10 kohaselt on organisatsiooni liikmetel kakaonõukogus kokku 2000 häält. Igal liikmel on konkreetne arv hääli, mida igal aastal kohandatakse vastavalt lepingu artiklis 10 sätestatud kriteeriumidele.</w:t>
      </w:r>
    </w:p>
    <w:p>
      <w:pPr>
        <w:pStyle w:val="ManualConsidrant"/>
        <w:rPr>
          <w:noProof/>
        </w:rPr>
      </w:pPr>
      <w:r>
        <w:rPr>
          <w:noProof/>
        </w:rPr>
        <w:t>(4)</w:t>
      </w:r>
      <w:r>
        <w:rPr>
          <w:noProof/>
        </w:rPr>
        <w:tab/>
        <w:t>Võttes arvesse kakaosektori tähtsust paljude liikmesriikide ja Euroopa kakaosektori majanduse jaoks, on liidu huvides osaleda rahvusvahelises kakaolepingus.</w:t>
      </w:r>
    </w:p>
    <w:p>
      <w:pPr>
        <w:pStyle w:val="ManualConsidrant"/>
        <w:rPr>
          <w:noProof/>
        </w:rPr>
      </w:pPr>
      <w:r>
        <w:rPr>
          <w:noProof/>
        </w:rPr>
        <w:t>(5)</w:t>
      </w:r>
      <w:r>
        <w:rPr>
          <w:noProof/>
        </w:rPr>
        <w:tab/>
        <w:t>Nii tootvate kui ka eksportivate organisatsiooni liikmesriikide osalistest koosnev tehniline töörühm tegi märkimisväärses koguses tööd, et esitada lepingu konkreetsed muudatusettepanekud. Kõiki liikmeid kutsuti esitama soovitusi selle tehnilise analüüsi algatamiseks. EL tegi oma osa sellest tehnilisest tööst. Kakaonõukogu peab algatama lepingu osalise läbivaatamise läbirääkimised piisava ajavaruga enne lepingu kehtivustähtaja lõppu ÜRO Kaubandus- ja Arengukonverentsi (UNCTAD) juhtimisel. Lepingu läbivaatamisele kuuluvate mis tahes valdkondade üle tuleb pidada ametlikke läbirääkimisi. Need läbirääkimised peavad lõppema hiljemalt 30. septembriks 2022, mis on lepingu praegune kehtivustähtpäev.</w:t>
      </w:r>
    </w:p>
    <w:p>
      <w:pPr>
        <w:pStyle w:val="ManualConsidrant"/>
        <w:rPr>
          <w:noProof/>
        </w:rPr>
      </w:pPr>
      <w:r>
        <w:rPr>
          <w:noProof/>
        </w:rPr>
        <w:t>(6)</w:t>
      </w:r>
      <w:r>
        <w:rPr>
          <w:noProof/>
        </w:rPr>
        <w:tab/>
        <w:t>Kõik nendel läbirääkimistel kokku lepitud muudatused tuleks vastu võtta lepingu artiklis 63 sätestatud korras. Kõnealuse artikli kohaselt võib kakaonõukogu konsensuse alusel või kvalifitseeritud häälteenamusega soovitada lepinguosalistele lepingu muutmist. Muudatus jõustub kooskõlas lepingu artikli 63 lõikega 1, mille kohaselt peab teatav protsent lepinguosalistest esitama heakskiitmisteate. Liit kui lepingu artikli 4 kohane organisatsiooni liige ja lepinguosaline peaks saama osaleda nendes läbirääkimistes lepingu institutsioonilise raamistiku muutmise üle.</w:t>
      </w:r>
    </w:p>
    <w:p>
      <w:pPr>
        <w:pStyle w:val="ManualConsidrant"/>
        <w:rPr>
          <w:noProof/>
        </w:rPr>
      </w:pPr>
      <w:r>
        <w:rPr>
          <w:noProof/>
        </w:rPr>
        <w:lastRenderedPageBreak/>
        <w:t>(7)</w:t>
      </w:r>
      <w:r>
        <w:rPr>
          <w:noProof/>
        </w:rPr>
        <w:tab/>
        <w:t>Seetõttu on kohane, et komisjonil oleks luba osaleda osalise läbivaatamise läbirääkimistes,</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Komisjonile antakse luba pidada liidu nimel läbirääkimisi 2010. aasta rahvusvahelise kakaolepingu muutmiseks.</w:t>
      </w:r>
    </w:p>
    <w:p>
      <w:pPr>
        <w:pStyle w:val="Titrearticle"/>
        <w:rPr>
          <w:noProof/>
        </w:rPr>
      </w:pPr>
      <w:r>
        <w:rPr>
          <w:noProof/>
        </w:rPr>
        <w:t>Artikkel 2</w:t>
      </w:r>
    </w:p>
    <w:p>
      <w:pPr>
        <w:rPr>
          <w:noProof/>
        </w:rPr>
      </w:pPr>
      <w:r>
        <w:rPr>
          <w:noProof/>
        </w:rPr>
        <w:t>Läbirääkimisjuhised on esitatud lisas.</w:t>
      </w:r>
    </w:p>
    <w:p>
      <w:pPr>
        <w:pStyle w:val="Titrearticle"/>
        <w:rPr>
          <w:noProof/>
        </w:rPr>
      </w:pPr>
      <w:r>
        <w:rPr>
          <w:noProof/>
        </w:rPr>
        <w:t>Artikkel 3</w:t>
      </w:r>
    </w:p>
    <w:p>
      <w:pPr>
        <w:rPr>
          <w:noProof/>
        </w:rPr>
      </w:pPr>
      <w:r>
        <w:rPr>
          <w:noProof/>
        </w:rPr>
        <w:t>Läbirääkimisi peetakse, konsulteerides põhitarbeainete töörühmaga.</w:t>
      </w:r>
    </w:p>
    <w:p>
      <w:pPr>
        <w:jc w:val="center"/>
        <w:rPr>
          <w:i/>
          <w:noProof/>
        </w:rPr>
      </w:pPr>
      <w:r>
        <w:rPr>
          <w:i/>
          <w:noProof/>
        </w:rPr>
        <w:t>Artikkel 4</w:t>
      </w:r>
    </w:p>
    <w:p>
      <w:pPr>
        <w:rPr>
          <w:noProof/>
        </w:rPr>
      </w:pPr>
      <w:r>
        <w:rPr>
          <w:noProof/>
        </w:rPr>
        <w:t>Käesolev otsus on adresseeritud komisjonile.</w:t>
      </w:r>
      <w:bookmarkStart w:id="1" w:name="_CopyToNewDocument_"/>
      <w:bookmarkEnd w:id="1"/>
    </w:p>
    <w:p>
      <w:pPr>
        <w:pStyle w:val="Fait"/>
        <w:rPr>
          <w:noProof/>
        </w:rPr>
      </w:pPr>
      <w:r>
        <w:rPr>
          <w:noProof/>
        </w:rP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ÜRO </w:t>
      </w:r>
      <w:r>
        <w:rPr>
          <w:i/>
          <w:iCs/>
        </w:rPr>
        <w:t>lepingud</w:t>
      </w:r>
      <w:r>
        <w:t xml:space="preserve">, </w:t>
      </w:r>
      <w:hyperlink r:id="rId1" w:tgtFrame="_blank" w:history="1">
        <w:r>
          <w:rPr>
            <w:rStyle w:val="Hyperlink"/>
          </w:rPr>
          <w:t>kd 2871</w:t>
        </w:r>
      </w:hyperlink>
      <w:r>
        <w:t>, lk 3</w:t>
      </w:r>
    </w:p>
  </w:footnote>
  <w:footnote w:id="2">
    <w:p>
      <w:pPr>
        <w:pStyle w:val="FootnoteText"/>
      </w:pPr>
      <w:r>
        <w:rPr>
          <w:rStyle w:val="FootnoteReference"/>
        </w:rPr>
        <w:footnoteRef/>
      </w:r>
      <w:r>
        <w:tab/>
        <w:t>Nõukogu 17. mai 2011. aasta otsus 2010. aasta rahvusvahelise kakaolepingu Euroopa Liidu nimel allkirjastamise ja selle ajutise kohaldamise kohta (ELT L 259, 4.10.2011, lk 7).</w:t>
      </w:r>
    </w:p>
  </w:footnote>
  <w:footnote w:id="3">
    <w:p>
      <w:pPr>
        <w:pStyle w:val="FootnoteText"/>
      </w:pPr>
      <w:r>
        <w:rPr>
          <w:rStyle w:val="FootnoteReference"/>
        </w:rPr>
        <w:footnoteRef/>
      </w:r>
      <w:r>
        <w:tab/>
        <w:t>Nõukogu 17. mai 2011. aasta otsus 2010. aasta rahvusvahelise kakaolepingu Euroopa Liidu nimel allkirjastamise ja selle ajutise kohaldamise kohta (ELT L 259, 4.10.2011, lk 7).</w:t>
      </w:r>
    </w:p>
  </w:footnote>
  <w:footnote w:id="4">
    <w:p>
      <w:pPr>
        <w:pStyle w:val="FootnoteText"/>
      </w:pPr>
      <w:r>
        <w:rPr>
          <w:rStyle w:val="FootnoteReference"/>
        </w:rPr>
        <w:footnoteRef/>
      </w:r>
      <w:r>
        <w:tab/>
        <w:t>Asutatud 1972. aasta kakaolepinguga: ÜRO lepingud, kd 882, lk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A691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A04B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E248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28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D863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2C6C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CC943E"/>
    <w:lvl w:ilvl="0">
      <w:start w:val="1"/>
      <w:numFmt w:val="decimal"/>
      <w:pStyle w:val="ListNumber"/>
      <w:lvlText w:val="%1."/>
      <w:lvlJc w:val="left"/>
      <w:pPr>
        <w:tabs>
          <w:tab w:val="num" w:pos="360"/>
        </w:tabs>
        <w:ind w:left="360" w:hanging="360"/>
      </w:pPr>
    </w:lvl>
  </w:abstractNum>
  <w:abstractNum w:abstractNumId="7">
    <w:nsid w:val="FFFFFF89"/>
    <w:multiLevelType w:val="singleLevel"/>
    <w:tmpl w:val="22CA19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8 10:59: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5A451A8-6BF1-41F4-AF47-170C54B8FB90"/>
    <w:docVar w:name="LW_COVERPAGE_TYPE" w:val="1"/>
    <w:docVar w:name="LW_CROSSREFERENCE" w:val="&lt;UNUSED&gt;"/>
    <w:docVar w:name="LW_DocType" w:val="COM"/>
    <w:docVar w:name="LW_EMISSION" w:val="16.3.2021"/>
    <w:docVar w:name="LW_EMISSION_ISODATE" w:val="2021-03-16"/>
    <w:docVar w:name="LW_EMISSION_LOCATION" w:val="BRX"/>
    <w:docVar w:name="LW_EMISSION_PREFIX" w:val="Brüssel,"/>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1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Soovitus:"/>
    <w:docVar w:name="LW_STATUT.CP" w:val="Soovitus:"/>
    <w:docVar w:name="LW_SUPERTITRE" w:val="&lt;UNUSED&gt;"/>
    <w:docVar w:name="LW_TITRE.OBJ" w:val="millega antakse luba alustada läbirääkimisi 2010. aasta rahvusvahelise kakaolepingu muutmiseks"/>
    <w:docVar w:name="LW_TITRE.OBJ.CP" w:val="millega antakse luba alustada läbirääkimisi 2010. aasta rahvusvahelise kakaolepingu muutmiseks"/>
    <w:docVar w:name="LW_TYPE.DOC" w:val="NÕUKOGU OTSUS,"/>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reaties.un.org/doc/Publication/UNTS/Volume%202871/v287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8F43-CF1F-48A9-BABC-8BA05D7C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962</Words>
  <Characters>7288</Characters>
  <Application>Microsoft Office Word</Application>
  <DocSecurity>0</DocSecurity>
  <Lines>134</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2021-03-01T10:04:00Z</dcterms:created>
  <dcterms:modified xsi:type="dcterms:W3CDTF">2021-03-08T09:59:00Z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