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8C841AF-F75F-450E-AE40-10CF29FFE3A9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</w:t>
      </w:r>
    </w:p>
    <w:p>
      <w:pPr>
        <w:pStyle w:val="Heading1"/>
        <w:numPr>
          <w:ilvl w:val="0"/>
          <w:numId w:val="1"/>
        </w:numPr>
        <w:rPr>
          <w:noProof/>
          <w:sz w:val="22"/>
        </w:rPr>
      </w:pPr>
      <w:r>
        <w:rPr>
          <w:noProof/>
        </w:rPr>
        <w:t>Opće pregovaračke smjernice</w:t>
      </w:r>
    </w:p>
    <w:p>
      <w:pPr>
        <w:pStyle w:val="ManualHeading2"/>
        <w:rPr>
          <w:noProof/>
        </w:rPr>
      </w:pPr>
      <w:r>
        <w:rPr>
          <w:noProof/>
        </w:rPr>
        <w:tab/>
        <w:t>Predložene izmjene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 xml:space="preserve">Preporuke za izmjene Međunarodnog sporazuma o kakau iz 2010. („Sporazum”) koje je od 2019. do 2020. sastavila Radna skupina za reviziju Međunarodnog sporazuma dobrodošle su jer su u skladu s ciljevima koje je EU predstavio u međunarodnim robnim tijelima. </w:t>
      </w:r>
    </w:p>
    <w:p>
      <w:pPr>
        <w:pStyle w:val="ManualHeading2"/>
        <w:rPr>
          <w:noProof/>
        </w:rPr>
      </w:pPr>
      <w:r>
        <w:rPr>
          <w:noProof/>
        </w:rPr>
        <w:tab/>
        <w:t>Pregovaračke smjernice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U skladu s predloženim izmjenama trebale bi se primjenjivati sljedeće opće pregovaračke smjernice:</w:t>
      </w:r>
    </w:p>
    <w:p>
      <w:pPr>
        <w:pStyle w:val="Considrant"/>
        <w:numPr>
          <w:ilvl w:val="0"/>
          <w:numId w:val="10"/>
        </w:numPr>
        <w:rPr>
          <w:noProof/>
        </w:rPr>
      </w:pPr>
      <w:r>
        <w:rPr>
          <w:noProof/>
        </w:rPr>
        <w:t>Glavna svrha Sporazuma kako je navedena u članku 1. ne izmjenjuje se.</w:t>
      </w:r>
    </w:p>
    <w:p>
      <w:pPr>
        <w:pStyle w:val="Considrant"/>
        <w:rPr>
          <w:noProof/>
        </w:rPr>
      </w:pPr>
      <w:r>
        <w:rPr>
          <w:noProof/>
        </w:rPr>
        <w:t>Sporazum bi trebalo oblikovati u skladu s krovnim načelima održivosti kako bi se ostvarilo održivo gospodarstvo kakaa. To uključuje: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 xml:space="preserve">uzimanje u obzir </w:t>
      </w:r>
      <w:r>
        <w:rPr>
          <w:noProof/>
          <w:u w:val="single"/>
        </w:rPr>
        <w:t>načela održivog razvoja</w:t>
      </w:r>
      <w:r>
        <w:rPr>
          <w:noProof/>
        </w:rPr>
        <w:t xml:space="preserve"> sadržanih, među ostalim, u Programu Ujedinjenih naroda za održivi razvoj do 2030. donesenom u New Yorku 2015.,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uzimanje u obzir Pariškog sporazuma o klimatskim promjenama i nacionalno utvrđenih doprinosa njegovih stranaka,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rad na ostvarivanju cilja da proizvodnja kakaa bude gospodarski održiva, i to tako da se proizvođačima kakaa osiguraju primanja koja bi im trebala omogućiti dostojan prihod i dostojan život,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rad na ostvarivanju cilja da proizvodnja kakaa bude održiva u pogledu okoliša, i to sprečavanjem ili zaustavljanjem krčenja šuma i propadanja prirodnih resursa,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rad na ostvarivanju cilja da proizvodnja kakaa bude društveno održiva, i to osiguravanjem poštovanja ljudskih prava i napretkom prema nultoj stopi dječjeg rada, te</w:t>
      </w:r>
    </w:p>
    <w:p>
      <w:pPr>
        <w:pStyle w:val="Bullet0"/>
        <w:numPr>
          <w:ilvl w:val="0"/>
          <w:numId w:val="11"/>
        </w:numPr>
        <w:rPr>
          <w:noProof/>
          <w:szCs w:val="24"/>
        </w:rPr>
      </w:pPr>
      <w:r>
        <w:rPr>
          <w:noProof/>
        </w:rPr>
        <w:t>primjenu načela održivog razvoja u ostatku vrijednosnog lanca.</w:t>
      </w:r>
    </w:p>
    <w:p>
      <w:pPr>
        <w:pStyle w:val="Considrant"/>
        <w:rPr>
          <w:noProof/>
        </w:rPr>
      </w:pPr>
      <w:r>
        <w:rPr>
          <w:noProof/>
        </w:rPr>
        <w:t>Međunarodni sporazum o kakau ostaje na snazi dok ga članovi ne raskinu.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ab/>
        <w:t>Detaljne pregovaračke smjernice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Preambula: za </w:t>
      </w:r>
      <w:r>
        <w:rPr>
          <w:noProof/>
          <w:u w:val="single"/>
        </w:rPr>
        <w:t>moguću izmjenu</w:t>
      </w:r>
    </w:p>
    <w:p>
      <w:pPr>
        <w:spacing w:line="276" w:lineRule="auto"/>
        <w:rPr>
          <w:noProof/>
        </w:rPr>
      </w:pPr>
      <w:r>
        <w:rPr>
          <w:noProof/>
        </w:rPr>
        <w:t>Preambula bi mogla uključivati upućivanje ne samo na „dostojan prihod”, nego i na „prihod dostatan za život”.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Članak 1. točka (j): za </w:t>
      </w:r>
      <w:r>
        <w:rPr>
          <w:noProof/>
          <w:u w:val="single"/>
        </w:rPr>
        <w:t>moguću izmjenu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umjesto „dostatnih prihoda” upućivati na „dostojne prihode” kako bi se osigurala usklađenost teksta s definicijom „dostojnog prihoda” iz članka 2. točke 21.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Članak 16. stavak 3.: za </w:t>
      </w:r>
      <w:r>
        <w:rPr>
          <w:noProof/>
          <w:u w:val="single"/>
        </w:rPr>
        <w:t>brisanje</w:t>
      </w:r>
    </w:p>
    <w:p>
      <w:pPr>
        <w:pStyle w:val="Text1"/>
        <w:rPr>
          <w:i/>
          <w:noProof/>
        </w:rPr>
      </w:pPr>
      <w:r>
        <w:rPr>
          <w:i/>
          <w:noProof/>
        </w:rPr>
        <w:t>„Na položaju izvršnog direktora naizmjenično se nalazi kandidat iz članice izvoznice i kandidat iz članice uvoznice.”.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Članak 36.: za </w:t>
      </w:r>
      <w:r>
        <w:rPr>
          <w:noProof/>
          <w:u w:val="single"/>
        </w:rPr>
        <w:t>moguću izmjenu</w:t>
      </w:r>
    </w:p>
    <w:p>
      <w:pPr>
        <w:pStyle w:val="Text1"/>
        <w:rPr>
          <w:i/>
          <w:noProof/>
        </w:rPr>
      </w:pPr>
      <w:r>
        <w:rPr>
          <w:i/>
          <w:noProof/>
        </w:rPr>
        <w:t xml:space="preserve">„U slučaju predviđene neravnoteže Vijeće može predložiti preporuke za ublažavanje negativnih učinaka te neravnoteže na primarne proizvođače. </w:t>
      </w:r>
      <w:r>
        <w:rPr>
          <w:b/>
          <w:i/>
          <w:noProof/>
        </w:rPr>
        <w:t>Međutim, te mjere ne smiju biti takve da onemogućuju konkurenciju</w:t>
      </w:r>
      <w:r>
        <w:rPr>
          <w:i/>
          <w:noProof/>
        </w:rPr>
        <w:t>.”.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Članak 42.: za </w:t>
      </w:r>
      <w:r>
        <w:rPr>
          <w:noProof/>
          <w:u w:val="single"/>
        </w:rPr>
        <w:t>moguću izmjenu</w:t>
      </w:r>
    </w:p>
    <w:p>
      <w:pPr>
        <w:spacing w:line="276" w:lineRule="auto"/>
        <w:rPr>
          <w:noProof/>
        </w:rPr>
      </w:pPr>
      <w:r>
        <w:rPr>
          <w:noProof/>
        </w:rPr>
        <w:t>Dobrodošlo je zalaganje za poboljšanje životnog standarda i uvjeta rada. Mogao bi se dodati konkretniji angažman u borbi protiv dječjeg rada.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Članak 43.: za </w:t>
      </w:r>
      <w:r>
        <w:rPr>
          <w:noProof/>
          <w:u w:val="single"/>
        </w:rPr>
        <w:t>moguću izmjenu</w:t>
      </w:r>
    </w:p>
    <w:p>
      <w:pPr>
        <w:rPr>
          <w:noProof/>
        </w:rPr>
      </w:pPr>
      <w:r>
        <w:rPr>
          <w:noProof/>
        </w:rPr>
        <w:t>Mogao bi se dodati konkretniji angažman u borbi protiv krčenja šuma, propadanja šuma i klimatskih promjena.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0C204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C428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BA40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1AAD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13C7A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32D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EFC4D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08F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08 11:00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8C841AF-F75F-450E-AE40-10CF29FFE3A9"/>
    <w:docVar w:name="LW_COVERPAGE_TYPE" w:val="1"/>
    <w:docVar w:name="LW_CROSSREFERENCE" w:val="&lt;UNUSED&gt;"/>
    <w:docVar w:name="LW_DocType" w:val="ANNEX"/>
    <w:docVar w:name="LW_EMISSION" w:val="16.3.2021."/>
    <w:docVar w:name="LW_EMISSION_ISODATE" w:val="2021-03-16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odobravanju otvaranja pregovora o izmjeni Me\u273?unarodnog sporazuma o kakau iz 2010."/>
    <w:docVar w:name="LW_OBJETACTEPRINCIPAL.CP" w:val="o odobravanju otvaranja pregovora o izmjeni Me\u273?unarodnog sporazuma o kakau iz 2010.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eporuci za odluku Vije\u263?a"/>
    <w:docVar w:name="LW_TYPEACTEPRINCIPAL.CP" w:val="Preporuci za odluku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eastAsia="Times New Roman"/>
      <w:szCs w:val="24"/>
      <w:lang w:eastAsia="fr-B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eastAsia="Times New Roman"/>
      <w:szCs w:val="24"/>
      <w:lang w:eastAsia="fr-B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380</Words>
  <Characters>2246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 Devrim (DEVCO)</dc:creator>
  <cp:keywords/>
  <dc:description/>
  <cp:lastModifiedBy>WES PDFC Administrator</cp:lastModifiedBy>
  <cp:revision>9</cp:revision>
  <dcterms:created xsi:type="dcterms:W3CDTF">2021-03-01T14:13:00Z</dcterms:created>
  <dcterms:modified xsi:type="dcterms:W3CDTF">2021-03-08T10:00:00Z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