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DC7350E-C57E-47D0-BA4A-F6AD59DFE576" style="width:450.75pt;height:389.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2018/0209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rådets ståndpunkt vad gäller antagandet av Europaparlamentets och rådets förordning om inrättande av ett program för miljö och klimatpolitik (Life) samt om upphävande av förordning (EU) nr 1293/2013</w:t>
      </w:r>
    </w:p>
    <w:p>
      <w:pPr>
        <w:pStyle w:val="ManualHeading1"/>
        <w:rPr>
          <w:noProof/>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Överlämnande av förslaget till Europaparlamentet och rådet </w:t>
            </w:r>
            <w:r>
              <w:rPr>
                <w:noProof/>
              </w:rPr>
              <w:br/>
              <w:t>(dokument COM(2018) 385 final – 2018/0209 (COD)):</w:t>
            </w:r>
          </w:p>
        </w:tc>
        <w:tc>
          <w:tcPr>
            <w:tcW w:w="2483" w:type="dxa"/>
          </w:tcPr>
          <w:p>
            <w:pPr>
              <w:jc w:val="left"/>
              <w:rPr>
                <w:noProof/>
              </w:rPr>
            </w:pPr>
            <w:r>
              <w:rPr>
                <w:noProof/>
              </w:rPr>
              <w:t>den 18 juni 2018</w:t>
            </w:r>
          </w:p>
        </w:tc>
      </w:tr>
      <w:tr>
        <w:tc>
          <w:tcPr>
            <w:tcW w:w="6804" w:type="dxa"/>
          </w:tcPr>
          <w:p>
            <w:pPr>
              <w:jc w:val="left"/>
              <w:rPr>
                <w:noProof/>
              </w:rPr>
            </w:pPr>
            <w:r>
              <w:rPr>
                <w:noProof/>
              </w:rPr>
              <w:t>Europeiska ekonomiska och sociala kommitténs yttrande:</w:t>
            </w:r>
          </w:p>
        </w:tc>
        <w:tc>
          <w:tcPr>
            <w:tcW w:w="2483" w:type="dxa"/>
          </w:tcPr>
          <w:p>
            <w:pPr>
              <w:jc w:val="left"/>
              <w:rPr>
                <w:noProof/>
              </w:rPr>
            </w:pPr>
            <w:r>
              <w:rPr>
                <w:noProof/>
              </w:rPr>
              <w:t xml:space="preserve">den 17 oktober 2018 </w:t>
            </w:r>
          </w:p>
        </w:tc>
      </w:tr>
      <w:tr>
        <w:tc>
          <w:tcPr>
            <w:tcW w:w="6804" w:type="dxa"/>
          </w:tcPr>
          <w:p>
            <w:pPr>
              <w:jc w:val="left"/>
              <w:rPr>
                <w:noProof/>
              </w:rPr>
            </w:pPr>
            <w:r>
              <w:rPr>
                <w:noProof/>
              </w:rPr>
              <w:t>Regionkommitténs yttrande:</w:t>
            </w:r>
          </w:p>
        </w:tc>
        <w:tc>
          <w:tcPr>
            <w:tcW w:w="2483" w:type="dxa"/>
          </w:tcPr>
          <w:p>
            <w:pPr>
              <w:jc w:val="left"/>
              <w:rPr>
                <w:noProof/>
              </w:rPr>
            </w:pPr>
            <w:r>
              <w:rPr>
                <w:noProof/>
              </w:rPr>
              <w:t>den 9 oktober 2018</w:t>
            </w:r>
          </w:p>
        </w:tc>
      </w:tr>
      <w:tr>
        <w:tc>
          <w:tcPr>
            <w:tcW w:w="6804" w:type="dxa"/>
          </w:tcPr>
          <w:p>
            <w:pPr>
              <w:jc w:val="left"/>
              <w:rPr>
                <w:noProof/>
              </w:rPr>
            </w:pPr>
            <w:r>
              <w:rPr>
                <w:noProof/>
              </w:rPr>
              <w:t>Europaparlamentets ståndpunkt vid första behandlingen:</w:t>
            </w:r>
          </w:p>
        </w:tc>
        <w:tc>
          <w:tcPr>
            <w:tcW w:w="2483" w:type="dxa"/>
          </w:tcPr>
          <w:p>
            <w:pPr>
              <w:jc w:val="left"/>
              <w:rPr>
                <w:noProof/>
              </w:rPr>
            </w:pPr>
            <w:r>
              <w:rPr>
                <w:noProof/>
              </w:rPr>
              <w:t>den 17 april 2019</w:t>
            </w:r>
          </w:p>
        </w:tc>
      </w:tr>
      <w:tr>
        <w:tc>
          <w:tcPr>
            <w:tcW w:w="6804" w:type="dxa"/>
          </w:tcPr>
          <w:p>
            <w:pPr>
              <w:jc w:val="left"/>
              <w:rPr>
                <w:noProof/>
              </w:rPr>
            </w:pPr>
            <w:r>
              <w:rPr>
                <w:noProof/>
              </w:rPr>
              <w:t>Antagande av rådets ståndpunkt:</w:t>
            </w:r>
          </w:p>
        </w:tc>
        <w:tc>
          <w:tcPr>
            <w:tcW w:w="2483" w:type="dxa"/>
          </w:tcPr>
          <w:p>
            <w:pPr>
              <w:jc w:val="left"/>
              <w:rPr>
                <w:noProof/>
              </w:rPr>
            </w:pPr>
            <w:r>
              <w:rPr>
                <w:noProof/>
              </w:rPr>
              <w:t>den 16 mars 2021</w:t>
            </w:r>
          </w:p>
        </w:tc>
      </w:tr>
    </w:tbl>
    <w:p>
      <w:pPr>
        <w:pStyle w:val="ManualHeading1"/>
        <w:rPr>
          <w:noProof/>
        </w:rPr>
      </w:pPr>
      <w:r>
        <w:rPr>
          <w:noProof/>
        </w:rPr>
        <w:t>2.</w:t>
      </w:r>
      <w:r>
        <w:rPr>
          <w:noProof/>
        </w:rPr>
        <w:tab/>
        <w:t>Syfte med kommissionens förslag</w:t>
      </w:r>
    </w:p>
    <w:p>
      <w:pPr>
        <w:rPr>
          <w:noProof/>
          <w:szCs w:val="24"/>
        </w:rPr>
      </w:pPr>
      <w:r>
        <w:rPr>
          <w:noProof/>
        </w:rPr>
        <w:t>Det övergripande syftet med förslaget är att stödja övergången till en modern, ren och mer cirkulär ekonomi genom att säkerställa att Life-programmet fortsätter efter 2020.</w:t>
      </w:r>
    </w:p>
    <w:p>
      <w:pPr>
        <w:rPr>
          <w:noProof/>
          <w:szCs w:val="24"/>
        </w:rPr>
      </w:pPr>
      <w:r>
        <w:rPr>
          <w:noProof/>
        </w:rPr>
        <w:t>Life-programmet är EU:s enda fond för enbart miljö- och klimatmål. Med sin relativt blygsamma budget är det inriktat på en nisch mellan å ena sidan EU-program som stöder forskning och innovation, inbegripet demonstration, å andra sidan EU-program som finansierar storskalig användning. Programmet bidrar således till att överbrygga klyftan mellan utveckling av ny kunskap och dess tillämpning.</w:t>
      </w:r>
    </w:p>
    <w:p>
      <w:pPr>
        <w:rPr>
          <w:noProof/>
          <w:szCs w:val="24"/>
        </w:rPr>
      </w:pPr>
      <w:r>
        <w:rPr>
          <w:noProof/>
        </w:rPr>
        <w:t xml:space="preserve">Förslaget är ett resultat av halvtidsutvärderingen av Life-programmet och de därmed sammanhängande samråden. </w:t>
      </w:r>
    </w:p>
    <w:p>
      <w:pPr>
        <w:rPr>
          <w:noProof/>
          <w:szCs w:val="24"/>
        </w:rPr>
      </w:pPr>
      <w:r>
        <w:rPr>
          <w:noProof/>
        </w:rPr>
        <w:t xml:space="preserve">Det baseras till stor del på den nuvarande förordningen, men dess omfattning och bredd är större: förslaget inbegriper övergången till ren energi, som för närvarande finansieras genom Horisont 2020. Till skillnad från den nuvarande Life-förordningen innehåller förslaget inga detaljerade bestämmelser om genomförandeformer, utan begränsar sig till att definiera de bredare målen och projekttyperna. </w:t>
      </w:r>
    </w:p>
    <w:p>
      <w:pPr>
        <w:pStyle w:val="ManualHeading1"/>
        <w:rPr>
          <w:noProof/>
        </w:rPr>
      </w:pPr>
      <w:r>
        <w:rPr>
          <w:noProof/>
        </w:rPr>
        <w:t>3.</w:t>
      </w:r>
      <w:r>
        <w:rPr>
          <w:noProof/>
        </w:rPr>
        <w:tab/>
        <w:t>Kommentarer till rådets ståndpunkt</w:t>
      </w:r>
    </w:p>
    <w:p>
      <w:pPr>
        <w:rPr>
          <w:noProof/>
        </w:rPr>
      </w:pPr>
      <w:r>
        <w:rPr>
          <w:noProof/>
        </w:rPr>
        <w:t>Rådets ståndpunkt avspeglar den överenskommelse som nåddes under trepartsmötena. Den omfattar de övergripande bestämmelser som fastställdes inom ramen för förhandlingarna om den fleråriga budgetramen.</w:t>
      </w:r>
    </w:p>
    <w:p>
      <w:pPr>
        <w:widowControl w:val="0"/>
        <w:rPr>
          <w:noProof/>
        </w:rPr>
      </w:pPr>
      <w:r>
        <w:rPr>
          <w:noProof/>
        </w:rPr>
        <w:t>Jämfört med Europaparlamentets första behandling innehåller rådets ståndpunkt följande huvudsakliga ändringar:</w:t>
      </w:r>
    </w:p>
    <w:p>
      <w:pPr>
        <w:pStyle w:val="Tiret0"/>
        <w:numPr>
          <w:ilvl w:val="0"/>
          <w:numId w:val="9"/>
        </w:numPr>
        <w:rPr>
          <w:noProof/>
        </w:rPr>
      </w:pPr>
      <w:r>
        <w:rPr>
          <w:noProof/>
        </w:rPr>
        <w:lastRenderedPageBreak/>
        <w:t>Den obegränsade varaktigheten för programmet avskaffas.</w:t>
      </w:r>
    </w:p>
    <w:p>
      <w:pPr>
        <w:pStyle w:val="Tiret0"/>
        <w:rPr>
          <w:noProof/>
        </w:rPr>
      </w:pPr>
      <w:r>
        <w:rPr>
          <w:noProof/>
        </w:rPr>
        <w:t>En retroaktiv tillämpning av förordningen från och med den 1 januari 2021 föreslås för att undvika ett rättsligt tomrum innan förordningen antas.</w:t>
      </w:r>
    </w:p>
    <w:p>
      <w:pPr>
        <w:pStyle w:val="Tiret0"/>
        <w:rPr>
          <w:noProof/>
        </w:rPr>
      </w:pPr>
      <w:r>
        <w:rPr>
          <w:noProof/>
        </w:rPr>
        <w:t>Det programspecifika klimatmålet och en hänvisning till ambitionen rörande biologisk mångfald inkluderas.</w:t>
      </w:r>
    </w:p>
    <w:p>
      <w:pPr>
        <w:pStyle w:val="Tiret0"/>
        <w:rPr>
          <w:noProof/>
        </w:rPr>
      </w:pPr>
      <w:r>
        <w:rPr>
          <w:noProof/>
        </w:rPr>
        <w:t>Budgetanslagen minskas, i linje med det belopp som anges i kommissionens ursprungliga förslag.</w:t>
      </w:r>
    </w:p>
    <w:p>
      <w:pPr>
        <w:pStyle w:val="Tiret0"/>
        <w:rPr>
          <w:noProof/>
        </w:rPr>
      </w:pPr>
      <w:r>
        <w:rPr>
          <w:noProof/>
        </w:rPr>
        <w:t>Kommissionens förslag om kumulativ och alternativ finansiering för att möjliggöra en smidig tillämpning av spetskompetensstämpeln finslipas.</w:t>
      </w:r>
    </w:p>
    <w:p>
      <w:pPr>
        <w:pStyle w:val="Tiret0"/>
        <w:rPr>
          <w:noProof/>
        </w:rPr>
      </w:pPr>
      <w:r>
        <w:rPr>
          <w:noProof/>
        </w:rPr>
        <w:t>Stödet till internationella avtal om anordnande av multilaterala konferenser begränsas.</w:t>
      </w:r>
    </w:p>
    <w:p>
      <w:pPr>
        <w:pStyle w:val="Tiret0"/>
        <w:rPr>
          <w:noProof/>
        </w:rPr>
      </w:pPr>
      <w:r>
        <w:rPr>
          <w:noProof/>
        </w:rPr>
        <w:t>Bestämmelsen om konsortiers deltagande i inbjudan att lämna förslag, i enlighet med nuvarande praxis, stryks.</w:t>
      </w:r>
    </w:p>
    <w:p>
      <w:pPr>
        <w:pStyle w:val="Tiret0"/>
        <w:rPr>
          <w:noProof/>
        </w:rPr>
      </w:pPr>
      <w:r>
        <w:rPr>
          <w:noProof/>
        </w:rPr>
        <w:t>Kommissionens befogenhet att fastställa kompletterande villkor för tredjeländers deltagande i programmet stryks.</w:t>
      </w:r>
    </w:p>
    <w:p>
      <w:pPr>
        <w:widowControl w:val="0"/>
        <w:rPr>
          <w:noProof/>
        </w:rPr>
      </w:pPr>
      <w:r>
        <w:rPr>
          <w:noProof/>
        </w:rPr>
        <w:t xml:space="preserve">På det hela taget utgör denna överenskommelse en god avvägning mellan medlagstiftarnas ståndpunkter, och den innebär även att kommissionens ursprungliga mål bibehålls och att ambitionsnivån förblir i stort sett densamma som i kommissionens förslag. </w:t>
      </w:r>
    </w:p>
    <w:p>
      <w:pPr>
        <w:pStyle w:val="ManualHeading1"/>
        <w:rPr>
          <w:noProof/>
        </w:rPr>
      </w:pPr>
      <w:r>
        <w:rPr>
          <w:noProof/>
        </w:rPr>
        <w:t>4.</w:t>
      </w:r>
      <w:r>
        <w:rPr>
          <w:noProof/>
        </w:rPr>
        <w:tab/>
        <w:t>Uttalanden från kommissionen</w:t>
      </w:r>
    </w:p>
    <w:p>
      <w:pPr>
        <w:rPr>
          <w:noProof/>
        </w:rPr>
      </w:pPr>
      <w:r>
        <w:rPr>
          <w:noProof/>
        </w:rPr>
        <w:t>Kommissionen har gjort tre uttalanden, som återfinns i bilagan.</w:t>
      </w:r>
    </w:p>
    <w:p>
      <w:pPr>
        <w:pStyle w:val="ManualHeading1"/>
        <w:rPr>
          <w:noProof/>
        </w:rPr>
      </w:pPr>
      <w:r>
        <w:rPr>
          <w:noProof/>
        </w:rPr>
        <w:t>5.</w:t>
      </w:r>
      <w:r>
        <w:rPr>
          <w:noProof/>
        </w:rPr>
        <w:tab/>
        <w:t>Slutsats</w:t>
      </w:r>
    </w:p>
    <w:p>
      <w:pPr>
        <w:rPr>
          <w:noProof/>
        </w:rPr>
      </w:pPr>
      <w:r>
        <w:rPr>
          <w:noProof/>
        </w:rPr>
        <w:t>Kommissionen ger sitt stöd till resultaten av förhandlingarna mellan institutionerna och kan därför godta rådets ståndpunkt vid första behandlingen.</w:t>
      </w:r>
    </w:p>
    <w:p>
      <w:pPr>
        <w:rPr>
          <w:rStyle w:val="Strong"/>
          <w:b w:val="0"/>
          <w:bCs w:val="0"/>
          <w:noProof/>
        </w:rPr>
        <w:sectPr>
          <w:footerReference w:type="default" r:id="rId10"/>
          <w:footerReference w:type="first" r:id="rId11"/>
          <w:pgSz w:w="11907" w:h="16839"/>
          <w:pgMar w:top="1134" w:right="1417" w:bottom="1134" w:left="1417" w:header="709" w:footer="709" w:gutter="0"/>
          <w:cols w:space="720"/>
          <w:docGrid w:linePitch="360"/>
        </w:sectPr>
      </w:pPr>
    </w:p>
    <w:p>
      <w:pPr>
        <w:jc w:val="center"/>
        <w:rPr>
          <w:rStyle w:val="Strong"/>
          <w:bCs w:val="0"/>
          <w:noProof/>
          <w:u w:val="single"/>
        </w:rPr>
      </w:pPr>
      <w:r>
        <w:rPr>
          <w:b/>
          <w:bCs/>
          <w:noProof/>
        </w:rPr>
        <w:lastRenderedPageBreak/>
        <w:t>TILLÄGG</w:t>
      </w:r>
    </w:p>
    <w:p>
      <w:pPr>
        <w:spacing w:after="480"/>
        <w:jc w:val="center"/>
        <w:rPr>
          <w:noProof/>
        </w:rPr>
      </w:pPr>
      <w:r>
        <w:rPr>
          <w:b/>
          <w:bCs/>
          <w:noProof/>
        </w:rPr>
        <w:t>Uttalanden från kommissionen</w:t>
      </w:r>
    </w:p>
    <w:p>
      <w:pPr>
        <w:pStyle w:val="Point0"/>
        <w:rPr>
          <w:noProof/>
        </w:rPr>
      </w:pPr>
      <w:r>
        <w:rPr>
          <w:noProof/>
        </w:rPr>
        <w:t>(1)</w:t>
      </w:r>
      <w:r>
        <w:rPr>
          <w:noProof/>
        </w:rPr>
        <w:tab/>
        <w:t>Kommissionens uttalande om den programspecifika logotypen</w:t>
      </w:r>
    </w:p>
    <w:p>
      <w:pPr>
        <w:pStyle w:val="Text1"/>
        <w:rPr>
          <w:noProof/>
        </w:rPr>
      </w:pPr>
      <w:r>
        <w:rPr>
          <w:noProof/>
        </w:rPr>
        <w:t xml:space="preserve">Kommissionen beklagar att medlagstiftarna beslutat att behålla Life-logotypen. Detta går emot den allmänna strategin att inte använda programspecifika logotyper inom ramen för den framtida långsiktiga budgeten. Kommissionens avsikt är att se till att EU:s invånare kan se unionen som en helhet genom att samma logotyp, det vill säga EU:s emblem, används av alla de olika programmen. </w:t>
      </w:r>
    </w:p>
    <w:p>
      <w:pPr>
        <w:pStyle w:val="Text1"/>
        <w:rPr>
          <w:noProof/>
        </w:rPr>
      </w:pPr>
      <w:r>
        <w:rPr>
          <w:noProof/>
        </w:rPr>
        <w:t xml:space="preserve">Emblemet är gemensamt för alla EU:s institutioner och kommer att vara en viktig del av de bindande, enkla och enhetliga kommunikations- och synlighetskrav som gäller för alla program. </w:t>
      </w:r>
    </w:p>
    <w:p>
      <w:pPr>
        <w:pStyle w:val="Text1"/>
        <w:rPr>
          <w:noProof/>
        </w:rPr>
      </w:pPr>
      <w:r>
        <w:rPr>
          <w:noProof/>
        </w:rPr>
        <w:t>För att nå fram till en gemensam överenskommelse om programmet kan kommissionen gå med på att behålla Life-logotypen på villkor att den begränsas till Life-programmet under den berörda programperioden.</w:t>
      </w:r>
    </w:p>
    <w:p>
      <w:pPr>
        <w:pStyle w:val="Text1"/>
        <w:rPr>
          <w:noProof/>
        </w:rPr>
      </w:pPr>
      <w:r>
        <w:rPr>
          <w:noProof/>
        </w:rPr>
        <w:t>Kommissionen förblir övertygad om att kommunikationen om och synliggörandet av EU:s åtgärder för en bredare publik får mycket större effekter utan programspecifika logotyper. Kommissionens står till medlagstiftarnas förfogande för att demonstrera detta i god tid före förhandlingarna om nästa programperiod.</w:t>
      </w:r>
    </w:p>
    <w:p>
      <w:pPr>
        <w:pStyle w:val="Point0"/>
        <w:rPr>
          <w:noProof/>
        </w:rPr>
      </w:pPr>
      <w:r>
        <w:rPr>
          <w:noProof/>
        </w:rPr>
        <w:t>(2)</w:t>
      </w:r>
      <w:r>
        <w:rPr>
          <w:noProof/>
        </w:rPr>
        <w:tab/>
        <w:t xml:space="preserve">Kommissionens uttalande om klausulen om avsaknad av yttrande </w:t>
      </w:r>
    </w:p>
    <w:p>
      <w:pPr>
        <w:pStyle w:val="Text1"/>
        <w:rPr>
          <w:noProof/>
        </w:rPr>
      </w:pPr>
      <w:r>
        <w:rPr>
          <w:noProof/>
        </w:rPr>
        <w:t>Kommissionen erinrar om att när lagstiftaren avviker från kriterierna i artikel 2 i förordning 182/2011 bör valet av ett annat förfarande motiveras. Kommissionen anser att villkoret för att tillämpa granskningsförfarandet, nämligen att genomförandeakten får ”betydande konsekvenser”, är kopplat till budgetbeloppet och att detta villkor inte är uppfyllt i fråga om Life-programmet.</w:t>
      </w:r>
    </w:p>
    <w:p>
      <w:pPr>
        <w:pStyle w:val="Text1"/>
        <w:rPr>
          <w:noProof/>
        </w:rPr>
      </w:pPr>
      <w:r>
        <w:rPr>
          <w:noProof/>
        </w:rPr>
        <w:t>Kommissionen betonar dessutom att det strider mot både ordalydelsen och andemeningen i förordning (EU) nr 182/2011 (EUT L 55, 28.2.2011, s. 13) att åberopa artikel 5.4 andra stycket b på ett systematiskt sätt. För att denna bestämmelse ska användas måste det finnas ett särskilt behov av att avvika från principen om att kommissionen får anta ett utkast till genomförandeakt om inget yttrande avges. Eftersom detta är ett undantag från den allmänna regel som fastställs i artikel 5.4, kan inte åberopande av andra stycket b anses ingå i lagstiftarens utrymme för skönsmässig bedömning, utan användningen måste tolkas restriktivt och därmed också motiveras.</w:t>
      </w:r>
    </w:p>
    <w:p>
      <w:pPr>
        <w:pStyle w:val="Point0"/>
        <w:rPr>
          <w:noProof/>
        </w:rPr>
      </w:pPr>
      <w:r>
        <w:rPr>
          <w:noProof/>
        </w:rPr>
        <w:t>(3)</w:t>
      </w:r>
      <w:r>
        <w:rPr>
          <w:noProof/>
        </w:rPr>
        <w:tab/>
        <w:t>Kommissionens uttalande om Life-programmets bidrag till ambitionen rörande biologisk mångfald</w:t>
      </w:r>
    </w:p>
    <w:p>
      <w:pPr>
        <w:pStyle w:val="Text1"/>
        <w:keepNext/>
        <w:keepLines/>
        <w:rPr>
          <w:noProof/>
        </w:rPr>
      </w:pPr>
      <w:r>
        <w:rPr>
          <w:noProof/>
        </w:rPr>
        <w:lastRenderedPageBreak/>
        <w:t>I enlighet med det interinstitutionella avtalet mellan Europaparlamentet, Europeiska unionens råd och Europeiska kommissionen om budgetdisciplin, samarbete i budgetfrågor och sund ekonomisk förvaltning samt om nya egna medel, inbegripet en färdplan för införandet av nya egna medel (2018/2070 (ACI)), kommer kommissionen i samarbete med rådet och parlamentet att fastställa en ändamålsenlig, transparent och heltäckande metod för att spåra utgifter för biologisk mångfald i syfte att arbeta för att uppnå ambitionen att 2024 använda 7,5 %, och 2026 och 2027 10 %, av de årliga utgifterna inom den fleråriga budgetramen för att uppnå målen i fråga om biologisk mångfald.</w:t>
      </w:r>
    </w:p>
    <w:p>
      <w:pPr>
        <w:pStyle w:val="Text1"/>
        <w:keepNext/>
        <w:rPr>
          <w:noProof/>
        </w:rPr>
      </w:pPr>
      <w:r>
        <w:rPr>
          <w:noProof/>
        </w:rPr>
        <w:t xml:space="preserve">I enlighet med definitionen av denna metod kommer kommissionen senast den 31 juli 2022 att lägga fram Life-förordningens bidrag till ambitionen rörande biologisk mångfald för Europaparlamentet och rådet. Life-programmets utgifter för målen i fråga om biologisk mångfald kommer att rapporteras årligen i programförklaringarna om driftsutgifter. Programmets bidrag till bevarandestatusen för livsmiljöer och arter kommer att analyseras i samband med den halvtidsutvärdering som planeras äga rum 2024 och som avses i artikel 19 i Life-förordningen. </w:t>
      </w:r>
    </w:p>
    <w:p>
      <w:pPr>
        <w:pStyle w:val="Text1"/>
        <w:rPr>
          <w:rStyle w:val="Strong"/>
          <w:b w:val="0"/>
          <w:bCs w:val="0"/>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B4F2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5A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2279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A44B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001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17CF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708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D9529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0:38: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C7350E-C57E-47D0-BA4A-F6AD59DFE576"/>
    <w:docVar w:name="LW_COVERPAGE_TYPE" w:val="1"/>
    <w:docVar w:name="LW_CROSSREFERENCE" w:val="&lt;UNUSED&gt;"/>
    <w:docVar w:name="LW_DocType" w:val="COM"/>
    <w:docVar w:name="LW_EMISSION" w:val="17.3.2021"/>
    <w:docVar w:name="LW_EMISSION_ISODATE" w:val="2021-03-17"/>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209"/>
    <w:docVar w:name="LW_REF.II.NEW.CP_YEAR" w:val="2018"/>
    <w:docVar w:name="LW_REF.INST.NEW" w:val="COM"/>
    <w:docVar w:name="LW_REF.INST.NEW_ADOPTED" w:val="final"/>
    <w:docVar w:name="LW_REF.INST.NEW_TEXT" w:val="(2021)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ådets ståndpunkt vad gäller antagandet av Europaparlamentets och rådets förordning om inrättande av ett program för miljö och klimatpolitik (Life) samt om upphävande av förordning (EU) nr 1293/2013"/>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Text1Char">
    <w:name w:val="Text 1 Char"/>
    <w:locked/>
    <w:rPr>
      <w:rFonts w:ascii="Times New Roman" w:hAnsi="Times New Roman" w:cs="Times New Roman"/>
      <w:sz w:val="24"/>
      <w:lang w:val="sv-SE"/>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Text1Char">
    <w:name w:val="Text 1 Char"/>
    <w:locked/>
    <w:rPr>
      <w:rFonts w:ascii="Times New Roman" w:hAnsi="Times New Roman" w:cs="Times New Roman"/>
      <w:sz w:val="24"/>
      <w:lang w:val="sv-SE"/>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973</Words>
  <Characters>6184</Characters>
  <Application>Microsoft Office Word</Application>
  <DocSecurity>0</DocSecurity>
  <Lines>121</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2021-03-11T15:02:00Z</dcterms:created>
  <dcterms:modified xsi:type="dcterms:W3CDTF">2021-03-17T09:38:00Z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