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E58A70A-3FC0-4E66-BFC3-37A735E5D759" style="width:450.35pt;height:402.8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2018/0209 (COD)</w:t>
      </w:r>
    </w:p>
    <w:p>
      <w:pPr>
        <w:pStyle w:val="Typedudocument"/>
        <w:rPr>
          <w:noProof/>
        </w:rPr>
      </w:pPr>
      <w:r>
        <w:rPr>
          <w:noProof/>
        </w:rPr>
        <w:t>SPOROČILO KOMISIJE</w:t>
      </w:r>
      <w:r>
        <w:rPr>
          <w:noProof/>
        </w:rPr>
        <w:br/>
        <w:t>EVROPSKEMU PARLAMENTU</w:t>
      </w:r>
      <w:r>
        <w:rPr>
          <w:noProof/>
        </w:rPr>
        <w:br/>
      </w:r>
      <w:r>
        <w:rPr>
          <w:noProof/>
        </w:rPr>
        <w:br/>
        <w:t xml:space="preserve">v skladu s členom 294(6) Pogodbe o delovanju Evropske unije </w:t>
      </w:r>
      <w:r>
        <w:rPr>
          <w:noProof/>
        </w:rPr>
        <w:br/>
      </w:r>
      <w:r>
        <w:rPr>
          <w:noProof/>
        </w:rPr>
        <w:br/>
        <w:t>v zvezi s</w:t>
      </w:r>
    </w:p>
    <w:p>
      <w:pPr>
        <w:pStyle w:val="Titreobjet"/>
        <w:rPr>
          <w:noProof/>
        </w:rPr>
      </w:pPr>
      <w:r>
        <w:rPr>
          <w:noProof/>
        </w:rPr>
        <w:t>stališčem Sveta o sprejetju uredbe Evropskega parlamenta in Sveta o vzpostavitvi programa za okolje in podnebne ukrepe (LIFE) ter razveljavitvi Uredbe (EU) št. 1293/2013</w:t>
      </w:r>
    </w:p>
    <w:p>
      <w:pPr>
        <w:pStyle w:val="ManualHeading1"/>
        <w:rPr>
          <w:noProof/>
        </w:rPr>
      </w:pPr>
      <w:r>
        <w:rPr>
          <w:noProof/>
        </w:rPr>
        <w:t>1.</w:t>
      </w:r>
      <w:r>
        <w:rPr>
          <w:noProof/>
        </w:rPr>
        <w:tab/>
        <w:t>Ozadje</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 xml:space="preserve">Datum predložitve predloga Evropskemu parlamentu in Svetu </w:t>
            </w:r>
            <w:r>
              <w:rPr>
                <w:noProof/>
              </w:rPr>
              <w:br/>
              <w:t>(dokument COM(2018) 385 final – 2018/0209 COD):</w:t>
            </w:r>
          </w:p>
        </w:tc>
        <w:tc>
          <w:tcPr>
            <w:tcW w:w="2483" w:type="dxa"/>
          </w:tcPr>
          <w:p>
            <w:pPr>
              <w:jc w:val="left"/>
              <w:rPr>
                <w:noProof/>
              </w:rPr>
            </w:pPr>
            <w:r>
              <w:rPr>
                <w:noProof/>
              </w:rPr>
              <w:t>18. junij 2018</w:t>
            </w:r>
          </w:p>
        </w:tc>
      </w:tr>
      <w:tr>
        <w:tc>
          <w:tcPr>
            <w:tcW w:w="6804" w:type="dxa"/>
          </w:tcPr>
          <w:p>
            <w:pPr>
              <w:jc w:val="left"/>
              <w:rPr>
                <w:noProof/>
              </w:rPr>
            </w:pPr>
            <w:r>
              <w:rPr>
                <w:noProof/>
              </w:rPr>
              <w:t>Datum mnenja Evropskega ekonomsko-socialnega odbora:</w:t>
            </w:r>
          </w:p>
        </w:tc>
        <w:tc>
          <w:tcPr>
            <w:tcW w:w="2483" w:type="dxa"/>
          </w:tcPr>
          <w:p>
            <w:pPr>
              <w:jc w:val="left"/>
              <w:rPr>
                <w:noProof/>
              </w:rPr>
            </w:pPr>
            <w:r>
              <w:rPr>
                <w:noProof/>
              </w:rPr>
              <w:t xml:space="preserve">17. oktober 2018 </w:t>
            </w:r>
          </w:p>
        </w:tc>
      </w:tr>
      <w:tr>
        <w:tc>
          <w:tcPr>
            <w:tcW w:w="6804" w:type="dxa"/>
          </w:tcPr>
          <w:p>
            <w:pPr>
              <w:jc w:val="left"/>
              <w:rPr>
                <w:noProof/>
              </w:rPr>
            </w:pPr>
            <w:r>
              <w:rPr>
                <w:noProof/>
              </w:rPr>
              <w:t>Datum mnenja Odbora regij:</w:t>
            </w:r>
          </w:p>
        </w:tc>
        <w:tc>
          <w:tcPr>
            <w:tcW w:w="2483" w:type="dxa"/>
          </w:tcPr>
          <w:p>
            <w:pPr>
              <w:jc w:val="left"/>
              <w:rPr>
                <w:noProof/>
              </w:rPr>
            </w:pPr>
            <w:r>
              <w:rPr>
                <w:noProof/>
              </w:rPr>
              <w:t>9. oktober 2018</w:t>
            </w:r>
          </w:p>
        </w:tc>
      </w:tr>
      <w:tr>
        <w:tc>
          <w:tcPr>
            <w:tcW w:w="6804" w:type="dxa"/>
          </w:tcPr>
          <w:p>
            <w:pPr>
              <w:jc w:val="left"/>
              <w:rPr>
                <w:noProof/>
              </w:rPr>
            </w:pPr>
            <w:r>
              <w:rPr>
                <w:noProof/>
              </w:rPr>
              <w:t>Datum stališča Evropskega parlamenta v prvi obravnavi:</w:t>
            </w:r>
          </w:p>
        </w:tc>
        <w:tc>
          <w:tcPr>
            <w:tcW w:w="2483" w:type="dxa"/>
          </w:tcPr>
          <w:p>
            <w:pPr>
              <w:jc w:val="left"/>
              <w:rPr>
                <w:noProof/>
              </w:rPr>
            </w:pPr>
            <w:r>
              <w:rPr>
                <w:noProof/>
              </w:rPr>
              <w:t>17. april 2019</w:t>
            </w:r>
          </w:p>
        </w:tc>
      </w:tr>
      <w:tr>
        <w:tc>
          <w:tcPr>
            <w:tcW w:w="6804" w:type="dxa"/>
          </w:tcPr>
          <w:p>
            <w:pPr>
              <w:jc w:val="left"/>
              <w:rPr>
                <w:noProof/>
              </w:rPr>
            </w:pPr>
            <w:r>
              <w:rPr>
                <w:noProof/>
              </w:rPr>
              <w:t>Datum sprejetja stališča Sveta:</w:t>
            </w:r>
          </w:p>
        </w:tc>
        <w:tc>
          <w:tcPr>
            <w:tcW w:w="2483" w:type="dxa"/>
          </w:tcPr>
          <w:p>
            <w:pPr>
              <w:jc w:val="left"/>
              <w:rPr>
                <w:noProof/>
              </w:rPr>
            </w:pPr>
            <w:r>
              <w:rPr>
                <w:noProof/>
              </w:rPr>
              <w:t>16. marec 2021</w:t>
            </w:r>
          </w:p>
        </w:tc>
      </w:tr>
    </w:tbl>
    <w:p>
      <w:pPr>
        <w:pStyle w:val="ManualHeading1"/>
        <w:rPr>
          <w:noProof/>
        </w:rPr>
      </w:pPr>
      <w:r>
        <w:rPr>
          <w:noProof/>
        </w:rPr>
        <w:t>2.</w:t>
      </w:r>
      <w:r>
        <w:rPr>
          <w:noProof/>
        </w:rPr>
        <w:tab/>
        <w:t>Cilj predloga Komisije</w:t>
      </w:r>
    </w:p>
    <w:p>
      <w:pPr>
        <w:rPr>
          <w:noProof/>
          <w:szCs w:val="24"/>
        </w:rPr>
      </w:pPr>
      <w:r>
        <w:rPr>
          <w:noProof/>
        </w:rPr>
        <w:t>Splošni cilj predloga je bil podpreti prehod na sodobno, čisto in bolj krožno gospodarstvo z zagotovitvijo nadaljevanja programa LIFE po letu 2020.</w:t>
      </w:r>
    </w:p>
    <w:p>
      <w:pPr>
        <w:rPr>
          <w:noProof/>
          <w:szCs w:val="24"/>
        </w:rPr>
      </w:pPr>
      <w:r>
        <w:rPr>
          <w:noProof/>
        </w:rPr>
        <w:t>Program LIFE je edini sklad EU, namenjen izključno za okoljske in podnebne cilje. S sorazmerno skromnim proračunom je usmerjen v nišo med programi EU za pomoč raziskavam in inovacijam, vključno z njihovimi predstavitvenimi dejavnostmi, na eni strani ter programi EU za financiranje obsežnega uvajanja na drugi strani. Program tako pripomore k zapolnjevanju vrzeli med razvojem novega znanja in njegovo uporabo.</w:t>
      </w:r>
    </w:p>
    <w:p>
      <w:pPr>
        <w:rPr>
          <w:noProof/>
          <w:szCs w:val="24"/>
        </w:rPr>
      </w:pPr>
      <w:r>
        <w:rPr>
          <w:noProof/>
        </w:rPr>
        <w:t xml:space="preserve">Predlog je sledil rezultatom vmesne ocene programa LIFE in povezanih dejavnosti posvetovanja. </w:t>
      </w:r>
    </w:p>
    <w:p>
      <w:pPr>
        <w:rPr>
          <w:noProof/>
          <w:szCs w:val="24"/>
        </w:rPr>
      </w:pPr>
      <w:r>
        <w:rPr>
          <w:noProof/>
        </w:rPr>
        <w:t xml:space="preserve">Podlaga zanj je bila predvsem sedanja uredba, pri čemer sta se povečala obseg in področje uporabe, da bi se vključil prehod na čisto energijo, ki se trenutno financira v okviru programa Obzorje 2020. Za razliko od sedanje uredbe LIFE predlog ni vseboval podrobnih določb o načinih izvajanja, temveč se je omejil na opredelitev širših ciljev in vrst projektov. </w:t>
      </w:r>
    </w:p>
    <w:p>
      <w:pPr>
        <w:pStyle w:val="ManualHeading1"/>
        <w:rPr>
          <w:noProof/>
        </w:rPr>
      </w:pPr>
      <w:r>
        <w:rPr>
          <w:noProof/>
        </w:rPr>
        <w:t>3.</w:t>
      </w:r>
      <w:r>
        <w:rPr>
          <w:noProof/>
        </w:rPr>
        <w:tab/>
        <w:t>Pripombe k stališču Sveta</w:t>
      </w:r>
    </w:p>
    <w:p>
      <w:pPr>
        <w:rPr>
          <w:noProof/>
        </w:rPr>
      </w:pPr>
      <w:r>
        <w:rPr>
          <w:noProof/>
        </w:rPr>
        <w:t>Stališče Sveta odraža dogovor iz trialogov. Vključuje horizontalne določbe, ki so bile opredeljene v okviru pogajanj o večletnem finančnem okviru (VFO).</w:t>
      </w:r>
    </w:p>
    <w:p>
      <w:pPr>
        <w:widowControl w:val="0"/>
        <w:rPr>
          <w:noProof/>
        </w:rPr>
      </w:pPr>
      <w:r>
        <w:rPr>
          <w:noProof/>
        </w:rPr>
        <w:t>V primerjavi s prvo obravnavo v Evropskem parlamentu stališče Sveta vključuje naslednje glavne spremembe:</w:t>
      </w:r>
    </w:p>
    <w:p>
      <w:pPr>
        <w:pStyle w:val="Tiret0"/>
        <w:numPr>
          <w:ilvl w:val="0"/>
          <w:numId w:val="9"/>
        </w:numPr>
        <w:rPr>
          <w:noProof/>
        </w:rPr>
      </w:pPr>
      <w:r>
        <w:rPr>
          <w:noProof/>
        </w:rPr>
        <w:lastRenderedPageBreak/>
        <w:t>odprava časovne neomejenosti programa;</w:t>
      </w:r>
    </w:p>
    <w:p>
      <w:pPr>
        <w:pStyle w:val="Tiret0"/>
        <w:rPr>
          <w:noProof/>
        </w:rPr>
      </w:pPr>
      <w:r>
        <w:rPr>
          <w:noProof/>
        </w:rPr>
        <w:t>predlog retroaktivne uporabe uredbe od 1. januarja 2021, da bi se preprečila pravna praznina pred njenim sprejetjem;</w:t>
      </w:r>
    </w:p>
    <w:p>
      <w:pPr>
        <w:pStyle w:val="Tiret0"/>
        <w:rPr>
          <w:noProof/>
        </w:rPr>
      </w:pPr>
      <w:r>
        <w:rPr>
          <w:noProof/>
        </w:rPr>
        <w:t>vključitev podnebnega cilja, specifičnega za program, in sklicevanja na cilje na področju biotske raznovrstnosti;</w:t>
      </w:r>
    </w:p>
    <w:p>
      <w:pPr>
        <w:pStyle w:val="Tiret0"/>
        <w:rPr>
          <w:noProof/>
        </w:rPr>
      </w:pPr>
      <w:r>
        <w:rPr>
          <w:noProof/>
        </w:rPr>
        <w:t>zmanjšanje proračunskih sredstev v skladu z zneskom, predvidenim v prvotnem predlogu Komisije;</w:t>
      </w:r>
    </w:p>
    <w:p>
      <w:pPr>
        <w:pStyle w:val="Tiret0"/>
        <w:rPr>
          <w:noProof/>
        </w:rPr>
      </w:pPr>
      <w:r>
        <w:rPr>
          <w:noProof/>
        </w:rPr>
        <w:t>izboljšanje predloga Komisije o kumulativnem in alternativnem financiranju, da se omogoči nemotena uporaba pečata odličnosti;</w:t>
      </w:r>
    </w:p>
    <w:p>
      <w:pPr>
        <w:pStyle w:val="Tiret0"/>
        <w:rPr>
          <w:noProof/>
        </w:rPr>
      </w:pPr>
      <w:r>
        <w:rPr>
          <w:noProof/>
        </w:rPr>
        <w:t>omejitev podpore mednarodnim sporazumom za organizacijo večstranskih konferenc;</w:t>
      </w:r>
    </w:p>
    <w:p>
      <w:pPr>
        <w:pStyle w:val="Tiret0"/>
        <w:rPr>
          <w:noProof/>
        </w:rPr>
      </w:pPr>
      <w:r>
        <w:rPr>
          <w:noProof/>
        </w:rPr>
        <w:t>odprava določbe o sodelovanju konzorcijev pri razpisih za zbiranje predlogov v skladu s sedanjo prakso in</w:t>
      </w:r>
    </w:p>
    <w:p>
      <w:pPr>
        <w:pStyle w:val="Tiret0"/>
        <w:rPr>
          <w:noProof/>
        </w:rPr>
      </w:pPr>
      <w:r>
        <w:rPr>
          <w:noProof/>
        </w:rPr>
        <w:t>črtanje pooblastila Komisije za opredelitev dodatnih pogojev za udeležbo tretjih držav v programu.</w:t>
      </w:r>
    </w:p>
    <w:p>
      <w:pPr>
        <w:widowControl w:val="0"/>
        <w:rPr>
          <w:noProof/>
        </w:rPr>
      </w:pPr>
      <w:r>
        <w:rPr>
          <w:noProof/>
        </w:rPr>
        <w:t xml:space="preserve">Ta dogovor na splošno pomeni uravnoteženost med stališči sozakonodajalcev ter ohranja prvotne cilje Komisije in podobno raven ambicioznosti, kot jo je vseboval predlog Komisije. </w:t>
      </w:r>
    </w:p>
    <w:p>
      <w:pPr>
        <w:pStyle w:val="ManualHeading1"/>
        <w:rPr>
          <w:noProof/>
        </w:rPr>
      </w:pPr>
      <w:r>
        <w:rPr>
          <w:noProof/>
        </w:rPr>
        <w:t>4.</w:t>
      </w:r>
      <w:r>
        <w:rPr>
          <w:noProof/>
        </w:rPr>
        <w:tab/>
        <w:t>Izjave Komisije</w:t>
      </w:r>
    </w:p>
    <w:p>
      <w:pPr>
        <w:rPr>
          <w:noProof/>
        </w:rPr>
      </w:pPr>
      <w:r>
        <w:rPr>
          <w:noProof/>
        </w:rPr>
        <w:t>Komisija je dala tri izjave, ki so v Prilogi.</w:t>
      </w:r>
    </w:p>
    <w:p>
      <w:pPr>
        <w:pStyle w:val="ManualHeading1"/>
        <w:rPr>
          <w:noProof/>
        </w:rPr>
      </w:pPr>
      <w:r>
        <w:rPr>
          <w:noProof/>
        </w:rPr>
        <w:t>5.</w:t>
      </w:r>
      <w:r>
        <w:rPr>
          <w:noProof/>
        </w:rPr>
        <w:tab/>
        <w:t>Zaključek</w:t>
      </w:r>
    </w:p>
    <w:p>
      <w:pPr>
        <w:rPr>
          <w:noProof/>
        </w:rPr>
      </w:pPr>
      <w:r>
        <w:rPr>
          <w:noProof/>
        </w:rPr>
        <w:t>Komisija podpira rezultate medinstitucionalnih pogajanj in lahko zato sprejme stališče Sveta v prvi obravnavi.</w:t>
      </w:r>
    </w:p>
    <w:p>
      <w:pPr>
        <w:rPr>
          <w:rStyle w:val="Strong"/>
          <w:b w:val="0"/>
          <w:bCs w:val="0"/>
          <w:noProof/>
        </w:rPr>
        <w:sectPr>
          <w:footerReference w:type="default" r:id="rId10"/>
          <w:footerReference w:type="first" r:id="rId11"/>
          <w:pgSz w:w="11907" w:h="16839"/>
          <w:pgMar w:top="1134" w:right="1417" w:bottom="1134" w:left="1417" w:header="709" w:footer="709" w:gutter="0"/>
          <w:cols w:space="720"/>
          <w:docGrid w:linePitch="360"/>
        </w:sectPr>
      </w:pPr>
    </w:p>
    <w:p>
      <w:pPr>
        <w:jc w:val="center"/>
        <w:rPr>
          <w:rStyle w:val="Strong"/>
          <w:bCs w:val="0"/>
          <w:noProof/>
          <w:u w:val="single"/>
        </w:rPr>
      </w:pPr>
      <w:r>
        <w:rPr>
          <w:b/>
          <w:bCs/>
          <w:noProof/>
        </w:rPr>
        <w:lastRenderedPageBreak/>
        <w:t>DODATEK</w:t>
      </w:r>
    </w:p>
    <w:p>
      <w:pPr>
        <w:spacing w:after="480"/>
        <w:jc w:val="center"/>
        <w:rPr>
          <w:noProof/>
        </w:rPr>
      </w:pPr>
      <w:r>
        <w:rPr>
          <w:b/>
          <w:bCs/>
          <w:noProof/>
        </w:rPr>
        <w:t>Izjave Komisije</w:t>
      </w:r>
    </w:p>
    <w:p>
      <w:pPr>
        <w:pStyle w:val="Point0"/>
        <w:rPr>
          <w:noProof/>
        </w:rPr>
      </w:pPr>
      <w:r>
        <w:rPr>
          <w:noProof/>
        </w:rPr>
        <w:t>(1)</w:t>
      </w:r>
      <w:r>
        <w:rPr>
          <w:noProof/>
        </w:rPr>
        <w:tab/>
        <w:t>Izjava Komisije o logotipu posameznih programov</w:t>
      </w:r>
    </w:p>
    <w:p>
      <w:pPr>
        <w:pStyle w:val="Text1"/>
        <w:rPr>
          <w:noProof/>
        </w:rPr>
      </w:pPr>
      <w:r>
        <w:rPr>
          <w:noProof/>
        </w:rPr>
        <w:t xml:space="preserve">Komisija obžaluje, da sta se sozakonodajalca odločila ohraniti logotip programa LIFE. To je v nasprotju s horizontalnim pristopom, v skladu s katerim se v okviru prihodnjega dolgoročnega proračuna ne uporabljajo logotipi posameznih programov. Namen Komisije je zagotoviti, da lahko Evropejke in Evropejci Unijo dojemajo kot celoto zaradi uporabe enotnega evropskega emblema za različne programe. </w:t>
      </w:r>
    </w:p>
    <w:p>
      <w:pPr>
        <w:pStyle w:val="Text1"/>
        <w:rPr>
          <w:noProof/>
        </w:rPr>
      </w:pPr>
      <w:r>
        <w:rPr>
          <w:noProof/>
        </w:rPr>
        <w:t xml:space="preserve">Ta emblem je skupen vsem institucijam EU ter bo pomemben del preprostih, usklajenih in zavezujočih zahtev glede komunikacije in prepoznavnosti, ki veljajo za vse programe. </w:t>
      </w:r>
    </w:p>
    <w:p>
      <w:pPr>
        <w:pStyle w:val="Text1"/>
        <w:rPr>
          <w:noProof/>
        </w:rPr>
      </w:pPr>
      <w:r>
        <w:rPr>
          <w:noProof/>
        </w:rPr>
        <w:t>Da bi dosegli splošni dogovor glede programa, se Komisija lahko strinja, da se logotip programa LIFE ohrani pod pogojem, da ostaja omejen na program LIFE v zadevnem programskem obdobju.</w:t>
      </w:r>
    </w:p>
    <w:p>
      <w:pPr>
        <w:pStyle w:val="Text1"/>
        <w:rPr>
          <w:noProof/>
        </w:rPr>
      </w:pPr>
      <w:r>
        <w:rPr>
          <w:noProof/>
        </w:rPr>
        <w:t>Komisija je še vedno prepričana, da sta komunikacija in prepoznavnost ukrepov EU za širšo javnost učinkovitejši brez logotipov posameznih programov. Komisija je to sozakonodajalcema pripravljena dokazati precej pred pogajanji za naslednje programsko obdobje.</w:t>
      </w:r>
    </w:p>
    <w:p>
      <w:pPr>
        <w:pStyle w:val="Point0"/>
        <w:rPr>
          <w:noProof/>
        </w:rPr>
      </w:pPr>
      <w:r>
        <w:rPr>
          <w:noProof/>
        </w:rPr>
        <w:t>(2)</w:t>
      </w:r>
      <w:r>
        <w:rPr>
          <w:noProof/>
        </w:rPr>
        <w:tab/>
        <w:t xml:space="preserve">Izjava Komisije o „klavzuli o nepredložitvi mnenja“ </w:t>
      </w:r>
    </w:p>
    <w:p>
      <w:pPr>
        <w:pStyle w:val="Text1"/>
        <w:rPr>
          <w:noProof/>
        </w:rPr>
      </w:pPr>
      <w:r>
        <w:rPr>
          <w:noProof/>
        </w:rPr>
        <w:t>Komisija opozarja, da bi morala biti v primeru, ko zakonodajalec odstopa od meril iz člena 2 Uredbe (EU) št. 182/2011, njegova izbira drugačnega postopka utemeljena. Komisija meni, da se pogoj za uporabo postopka pregleda, in sicer, da ima izvedbeni akt „bistvene posledice“, nanaša na znesek zadevnega proračuna in da ta pogoj v primeru programa LIFE ni izpolnjen.</w:t>
      </w:r>
    </w:p>
    <w:p>
      <w:pPr>
        <w:pStyle w:val="Text1"/>
        <w:rPr>
          <w:noProof/>
        </w:rPr>
      </w:pPr>
      <w:r>
        <w:rPr>
          <w:noProof/>
        </w:rPr>
        <w:t>Poleg tega Komisija poudarja, da je sistematično sklicevanje na točko (b) drugega pododstavka člena 5(4) v nasprotju s črko in duhom Uredbe (EU) št. 182/2011 (UL L 55, 28.2.2011, str. 13). Ta določba se uporablja samo, če obstaja posebna potreba po odmiku od načelnega pravila, po katerem lahko Komisija sprejme osnutek izvedbenega akta, kadar ni podano mnenje. Ker gre za izjemo od splošnega pravila iz člena 5(4), se uporaba točke (b) drugega pododstavka ne more šteti za „diskrecijsko pravico“ zakonodajalca, ampak jo je treba razlagati restriktivno in njeno uporabo utemeljiti.</w:t>
      </w:r>
    </w:p>
    <w:p>
      <w:pPr>
        <w:pStyle w:val="Point0"/>
        <w:rPr>
          <w:noProof/>
        </w:rPr>
      </w:pPr>
      <w:r>
        <w:rPr>
          <w:noProof/>
        </w:rPr>
        <w:t>(3)</w:t>
      </w:r>
      <w:r>
        <w:rPr>
          <w:noProof/>
        </w:rPr>
        <w:tab/>
        <w:t>Izjava Komisije o prispevku programa LIFE k ciljem na področju biotske raznovrstnosti</w:t>
      </w:r>
    </w:p>
    <w:p>
      <w:pPr>
        <w:pStyle w:val="Text1"/>
        <w:keepNext/>
        <w:keepLines/>
        <w:rPr>
          <w:noProof/>
        </w:rPr>
      </w:pPr>
      <w:r>
        <w:rPr>
          <w:noProof/>
        </w:rPr>
        <w:lastRenderedPageBreak/>
        <w:t>V skladu z Medinstitucionalnim sporazumom med Evropskim parlamentom, Svetom Evropske unije in Evropsko komisijo o proračunski disciplini, sodelovanju v proračunskih zadevah in dobrem finančnem poslovodenju ter novih virih lastnih sredstev, vključno s časovnim načrtom za uvedbo novih virov lastnih sredstev (2018/2070(ACI)), bo Komisija v sodelovanju s Svetom in Parlamentom določila učinkovito, pregledno in celovito metodologijo za spremljanje odhodkov za biotsko raznovrstnost, z namenom prizadevati si, da bi za cilje na področju biotske raznovrstnosti v letu 2024 namenili 7,5 % letne porabe v okviru VFO, v letih 2026 in 2027 pa 10 %.</w:t>
      </w:r>
    </w:p>
    <w:p>
      <w:pPr>
        <w:pStyle w:val="Text1"/>
        <w:keepNext/>
        <w:rPr>
          <w:noProof/>
        </w:rPr>
      </w:pPr>
      <w:r>
        <w:rPr>
          <w:noProof/>
        </w:rPr>
        <w:t xml:space="preserve">Po opredelitvi te metodologije bo Komisija do 31. julija 2022 Evropskemu parlamentu in Svetu predložila prispevke uredbe LIFE k ciljem na področju biotske raznovrstnosti. O porabi programa LIFE za cilje na področju biotske raznovrstnosti se bo letno poročalo v izjavah o programih za operativne odhodke. Njegov prispevek k stanju ohranjenosti habitatov in vrst se bo analiziral v okviru vmesne ocene, ki je predvidena v letu 2024 in določena v členu 19 uredbe LIFE. </w:t>
      </w:r>
    </w:p>
    <w:p>
      <w:pPr>
        <w:pStyle w:val="Text1"/>
        <w:rPr>
          <w:rStyle w:val="Strong"/>
          <w:b w:val="0"/>
          <w:bCs w:val="0"/>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B4F26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A645A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C3227978"/>
    <w:lvl w:ilvl="0">
      <w:start w:val="1"/>
      <w:numFmt w:val="decimal"/>
      <w:pStyle w:val="ListNumber2"/>
      <w:lvlText w:val="%1."/>
      <w:lvlJc w:val="left"/>
      <w:pPr>
        <w:tabs>
          <w:tab w:val="num" w:pos="643"/>
        </w:tabs>
        <w:ind w:left="643" w:hanging="360"/>
      </w:pPr>
    </w:lvl>
  </w:abstractNum>
  <w:abstractNum w:abstractNumId="3">
    <w:nsid w:val="FFFFFF81"/>
    <w:multiLevelType w:val="singleLevel"/>
    <w:tmpl w:val="30A44B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A0015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17CFC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708DD0"/>
    <w:lvl w:ilvl="0">
      <w:start w:val="1"/>
      <w:numFmt w:val="decimal"/>
      <w:pStyle w:val="ListNumber"/>
      <w:lvlText w:val="%1."/>
      <w:lvlJc w:val="left"/>
      <w:pPr>
        <w:tabs>
          <w:tab w:val="num" w:pos="360"/>
        </w:tabs>
        <w:ind w:left="360" w:hanging="360"/>
      </w:pPr>
    </w:lvl>
  </w:abstractNum>
  <w:abstractNum w:abstractNumId="7">
    <w:nsid w:val="FFFFFF89"/>
    <w:multiLevelType w:val="singleLevel"/>
    <w:tmpl w:val="D9529F1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revisionView w:markup="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3-17 10:38:4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AE58A70A-3FC0-4E66-BFC3-37A735E5D759"/>
    <w:docVar w:name="LW_COVERPAGE_TYPE" w:val="1"/>
    <w:docVar w:name="LW_CROSSREFERENCE" w:val="&lt;UNUSED&gt;"/>
    <w:docVar w:name="LW_DocType" w:val="COM"/>
    <w:docVar w:name="LW_EMISSION" w:val="17.3.2021"/>
    <w:docVar w:name="LW_EMISSION_ISODATE" w:val="2021-03-17"/>
    <w:docVar w:name="LW_EMISSION_LOCATION" w:val="BRX"/>
    <w:docVar w:name="LW_EMISSION_PREFIX" w:val="Bruselj, "/>
    <w:docVar w:name="LW_EMISSION_SUFFIX" w:val=" "/>
    <w:docVar w:name="LW_ID_DOCMODEL" w:val="SJ-028"/>
    <w:docVar w:name="LW_ID_DOCSTRUCTURE" w:val="COM/PL/CODEC"/>
    <w:docVar w:name="LW_ID_DOCTYPE" w:val="SJ-028"/>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209"/>
    <w:docVar w:name="LW_REF.II.NEW.CP_YEAR" w:val="2018"/>
    <w:docVar w:name="LW_REF.INST.NEW" w:val="COM"/>
    <w:docVar w:name="LW_REF.INST.NEW_ADOPTED" w:val="final"/>
    <w:docVar w:name="LW_REF.INST.NEW_TEXT" w:val="(2021) 1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tali\u353?\u269?em Sveta o sprejetju uredbe Evropskega parlamenta in Sveta o vzpostavitvi programa za okolje in podnebne ukrepe (LIFE) ter razveljavitvi Uredbe (EU) \u353?t. 1293/2013"/>
    <w:docVar w:name="LW_TYPE.DOC.CP" w:val="SPORO\u268?ILO KOMISIJE_x000b_EVROPSKEMU PARLAMENTU_x000b__x000b_v skladu s \u269?lenom 294(6) Pogodbe o delovanju Evropske unije _x000b__x000b_v zvezi 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customStyle="1" w:styleId="Text1Char">
    <w:name w:val="Text 1 Char"/>
    <w:locked/>
    <w:rPr>
      <w:rFonts w:ascii="Times New Roman" w:hAnsi="Times New Roman" w:cs="Times New Roman"/>
      <w:sz w:val="24"/>
      <w:lang w:val="sl-SI"/>
    </w:rPr>
  </w:style>
  <w:style w:type="paragraph" w:styleId="ListParagraph">
    <w:name w:val="List Paragraph"/>
    <w:basedOn w:val="Normal"/>
    <w:uiPriority w:val="34"/>
    <w:qFormat/>
    <w:pPr>
      <w:ind w:left="720"/>
      <w:contextualSpacing/>
    </w:pPr>
  </w:style>
  <w:style w:type="character" w:styleId="Strong">
    <w:name w:val="Strong"/>
    <w:qFormat/>
    <w:rPr>
      <w:b/>
      <w:bCs/>
    </w:rPr>
  </w:style>
  <w:style w:type="character" w:styleId="Hyperlink">
    <w:name w:val="Hyperlink"/>
    <w:uiPriority w:val="99"/>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sl-S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customStyle="1" w:styleId="Text1Char">
    <w:name w:val="Text 1 Char"/>
    <w:locked/>
    <w:rPr>
      <w:rFonts w:ascii="Times New Roman" w:hAnsi="Times New Roman" w:cs="Times New Roman"/>
      <w:sz w:val="24"/>
      <w:lang w:val="sl-SI"/>
    </w:rPr>
  </w:style>
  <w:style w:type="paragraph" w:styleId="ListParagraph">
    <w:name w:val="List Paragraph"/>
    <w:basedOn w:val="Normal"/>
    <w:uiPriority w:val="34"/>
    <w:qFormat/>
    <w:pPr>
      <w:ind w:left="720"/>
      <w:contextualSpacing/>
    </w:pPr>
  </w:style>
  <w:style w:type="character" w:styleId="Strong">
    <w:name w:val="Strong"/>
    <w:qFormat/>
    <w:rPr>
      <w:b/>
      <w:bCs/>
    </w:rPr>
  </w:style>
  <w:style w:type="character" w:styleId="Hyperlink">
    <w:name w:val="Hyperlink"/>
    <w:uiPriority w:val="99"/>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Title">
    <w:name w:val="Title"/>
    <w:basedOn w:val="Normal"/>
    <w:next w:val="Normal"/>
    <w:link w:val="TitleChar"/>
    <w:uiPriority w:val="10"/>
    <w:qFormat/>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sl-S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5</Pages>
  <Words>926</Words>
  <Characters>5514</Characters>
  <Application>Microsoft Office Word</Application>
  <DocSecurity>0</DocSecurity>
  <Lines>117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2021-03-11T15:10:00Z</dcterms:created>
  <dcterms:modified xsi:type="dcterms:W3CDTF">2021-03-17T09:38:00Z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Green (DQC version 03)</vt:lpwstr>
  </property>
</Properties>
</file>